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06F85">
      <w:pPr>
        <w:rPr>
          <w:rFonts w:hint="eastAsia" w:ascii="仿宋_GB2312" w:hAnsi="仿宋_GB2312" w:eastAsia="仿宋_GB2312" w:cs="仿宋_GB2312"/>
          <w:color w:val="auto"/>
          <w:sz w:val="36"/>
          <w:szCs w:val="36"/>
        </w:rPr>
      </w:pPr>
    </w:p>
    <w:p w14:paraId="483596AA">
      <w:pPr>
        <w:rPr>
          <w:rFonts w:hint="eastAsia" w:ascii="仿宋_GB2312" w:hAnsi="仿宋_GB2312" w:eastAsia="仿宋_GB2312" w:cs="仿宋_GB2312"/>
          <w:color w:val="auto"/>
          <w:sz w:val="36"/>
          <w:szCs w:val="36"/>
        </w:rPr>
      </w:pPr>
    </w:p>
    <w:p w14:paraId="652F3445">
      <w:pPr>
        <w:adjustRightInd w:val="0"/>
        <w:snapToGrid w:val="0"/>
        <w:jc w:val="center"/>
        <w:outlineLvl w:val="0"/>
        <w:rPr>
          <w:rFonts w:hint="eastAsia" w:ascii="方正小标宋_GBK" w:eastAsia="方正小标宋_GBK"/>
          <w:bCs/>
          <w:color w:val="auto"/>
          <w:sz w:val="72"/>
          <w:szCs w:val="72"/>
        </w:rPr>
      </w:pPr>
      <w:r>
        <w:rPr>
          <w:rFonts w:hint="eastAsia" w:ascii="方正楷体_GB2312" w:hAnsi="方正楷体_GB2312" w:eastAsia="方正楷体_GB2312" w:cs="方正楷体_GB2312"/>
          <w:bCs/>
          <w:color w:val="auto"/>
          <w:sz w:val="72"/>
          <w:szCs w:val="72"/>
        </w:rPr>
        <w:t>建设项目环境影响报告表</w:t>
      </w:r>
    </w:p>
    <w:p w14:paraId="2D371A7B">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1C78EA9A">
      <w:pPr>
        <w:adjustRightInd w:val="0"/>
        <w:snapToGrid w:val="0"/>
        <w:spacing w:line="288" w:lineRule="auto"/>
        <w:jc w:val="center"/>
        <w:outlineLvl w:val="0"/>
        <w:rPr>
          <w:rFonts w:ascii="华文仿宋" w:hAnsi="华文仿宋" w:eastAsia="华文仿宋" w:cs="华文仿宋"/>
          <w:color w:val="auto"/>
          <w:kern w:val="44"/>
          <w:sz w:val="44"/>
          <w:szCs w:val="44"/>
        </w:rPr>
      </w:pPr>
    </w:p>
    <w:p w14:paraId="7439020A">
      <w:pPr>
        <w:jc w:val="center"/>
        <w:rPr>
          <w:rFonts w:eastAsia="仿宋"/>
          <w:color w:val="auto"/>
          <w:sz w:val="52"/>
          <w:szCs w:val="52"/>
        </w:rPr>
      </w:pPr>
    </w:p>
    <w:p w14:paraId="50BB0709">
      <w:pPr>
        <w:ind w:firstLine="1040"/>
        <w:rPr>
          <w:rFonts w:eastAsia="仿宋"/>
          <w:color w:val="auto"/>
          <w:sz w:val="44"/>
          <w:szCs w:val="44"/>
        </w:rPr>
      </w:pPr>
    </w:p>
    <w:p w14:paraId="6C36B15D">
      <w:pPr>
        <w:ind w:firstLine="1040"/>
        <w:rPr>
          <w:rFonts w:eastAsia="仿宋"/>
          <w:color w:val="auto"/>
          <w:sz w:val="44"/>
          <w:szCs w:val="44"/>
        </w:rPr>
      </w:pPr>
    </w:p>
    <w:p w14:paraId="0CF28AD6">
      <w:pPr>
        <w:ind w:firstLine="1040"/>
        <w:rPr>
          <w:rFonts w:eastAsia="仿宋"/>
          <w:color w:val="auto"/>
          <w:sz w:val="44"/>
          <w:szCs w:val="44"/>
        </w:rPr>
      </w:pPr>
    </w:p>
    <w:p w14:paraId="55E45276">
      <w:pPr>
        <w:pStyle w:val="2"/>
        <w:rPr>
          <w:rFonts w:eastAsia="仿宋"/>
          <w:color w:val="auto"/>
          <w:sz w:val="44"/>
          <w:szCs w:val="44"/>
        </w:rPr>
      </w:pPr>
    </w:p>
    <w:p w14:paraId="3B573C29">
      <w:pPr>
        <w:rPr>
          <w:color w:val="auto"/>
        </w:rPr>
      </w:pPr>
    </w:p>
    <w:p w14:paraId="609ED2F1">
      <w:pPr>
        <w:ind w:firstLine="1040"/>
        <w:rPr>
          <w:rFonts w:eastAsia="仿宋"/>
          <w:color w:val="auto"/>
          <w:sz w:val="44"/>
          <w:szCs w:val="44"/>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7"/>
        <w:gridCol w:w="5893"/>
      </w:tblGrid>
      <w:tr w14:paraId="0222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restart"/>
            <w:tcBorders>
              <w:tl2br w:val="nil"/>
              <w:tr2bl w:val="nil"/>
            </w:tcBorders>
            <w:noWrap w:val="0"/>
            <w:vAlign w:val="top"/>
          </w:tcPr>
          <w:p w14:paraId="0FA35026">
            <w:pPr>
              <w:adjustRightInd w:val="0"/>
              <w:snapToGrid w:val="0"/>
              <w:spacing w:line="288" w:lineRule="auto"/>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项目名称：</w:t>
            </w:r>
          </w:p>
        </w:tc>
        <w:tc>
          <w:tcPr>
            <w:tcW w:w="5893" w:type="dxa"/>
            <w:tcBorders>
              <w:bottom w:val="single" w:color="000000" w:sz="4" w:space="0"/>
            </w:tcBorders>
            <w:noWrap w:val="0"/>
            <w:vAlign w:val="center"/>
          </w:tcPr>
          <w:p w14:paraId="7DF7E706">
            <w:pPr>
              <w:adjustRightInd w:val="0"/>
              <w:snapToGrid w:val="0"/>
              <w:spacing w:line="288"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涟水呈颖模塑有限公司年产</w:t>
            </w:r>
            <w:r>
              <w:rPr>
                <w:rFonts w:hint="eastAsia" w:eastAsia="仿宋_GB2312" w:cs="Times New Roman"/>
                <w:color w:val="auto"/>
                <w:sz w:val="32"/>
                <w:szCs w:val="32"/>
                <w:vertAlign w:val="baseline"/>
                <w:lang w:val="en-US" w:eastAsia="zh-CN"/>
              </w:rPr>
              <w:t>5</w:t>
            </w:r>
            <w:r>
              <w:rPr>
                <w:rFonts w:hint="default" w:ascii="Times New Roman" w:hAnsi="Times New Roman" w:eastAsia="仿宋_GB2312" w:cs="Times New Roman"/>
                <w:color w:val="auto"/>
                <w:sz w:val="32"/>
                <w:szCs w:val="32"/>
                <w:vertAlign w:val="baseline"/>
                <w:lang w:val="en-US" w:eastAsia="zh-CN"/>
              </w:rPr>
              <w:t>0万</w:t>
            </w:r>
            <w:r>
              <w:rPr>
                <w:rFonts w:hint="eastAsia" w:ascii="仿宋_GB2312" w:eastAsia="仿宋_GB2312"/>
                <w:color w:val="auto"/>
                <w:sz w:val="32"/>
                <w:szCs w:val="32"/>
                <w:vertAlign w:val="baseline"/>
                <w:lang w:val="en-US" w:eastAsia="zh-CN"/>
              </w:rPr>
              <w:t>件</w:t>
            </w:r>
          </w:p>
        </w:tc>
      </w:tr>
      <w:tr w14:paraId="079A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continue"/>
            <w:tcBorders>
              <w:tl2br w:val="nil"/>
              <w:tr2bl w:val="nil"/>
            </w:tcBorders>
            <w:noWrap w:val="0"/>
            <w:vAlign w:val="top"/>
          </w:tcPr>
          <w:p w14:paraId="72A81E21">
            <w:pPr>
              <w:adjustRightInd w:val="0"/>
              <w:snapToGrid w:val="0"/>
              <w:spacing w:line="288" w:lineRule="auto"/>
              <w:jc w:val="center"/>
              <w:rPr>
                <w:color w:val="auto"/>
              </w:rPr>
            </w:pPr>
          </w:p>
        </w:tc>
        <w:tc>
          <w:tcPr>
            <w:tcW w:w="5893" w:type="dxa"/>
            <w:tcBorders>
              <w:bottom w:val="single" w:color="000000" w:sz="4" w:space="0"/>
            </w:tcBorders>
            <w:noWrap w:val="0"/>
            <w:vAlign w:val="center"/>
          </w:tcPr>
          <w:p w14:paraId="511BEC5F">
            <w:pPr>
              <w:adjustRightInd w:val="0"/>
              <w:snapToGrid w:val="0"/>
              <w:spacing w:line="288" w:lineRule="auto"/>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塑料手柄加工项目</w:t>
            </w:r>
          </w:p>
        </w:tc>
      </w:tr>
      <w:tr w14:paraId="5A68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26325DC7">
            <w:pPr>
              <w:adjustRightInd w:val="0"/>
              <w:snapToGrid w:val="0"/>
              <w:spacing w:line="288" w:lineRule="auto"/>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建设单位（盖章）：</w:t>
            </w:r>
          </w:p>
        </w:tc>
        <w:tc>
          <w:tcPr>
            <w:tcW w:w="5893" w:type="dxa"/>
            <w:tcBorders>
              <w:top w:val="single" w:color="000000" w:sz="4" w:space="0"/>
              <w:bottom w:val="single" w:color="000000" w:sz="4" w:space="0"/>
            </w:tcBorders>
            <w:noWrap w:val="0"/>
            <w:vAlign w:val="center"/>
          </w:tcPr>
          <w:p w14:paraId="02061905">
            <w:pPr>
              <w:adjustRightInd w:val="0"/>
              <w:snapToGrid w:val="0"/>
              <w:spacing w:line="288"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涟水呈颖模塑有限公司</w:t>
            </w:r>
          </w:p>
        </w:tc>
      </w:tr>
      <w:tr w14:paraId="78BA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46915AC7">
            <w:pPr>
              <w:adjustRightInd w:val="0"/>
              <w:snapToGrid w:val="0"/>
              <w:spacing w:line="288" w:lineRule="auto"/>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编制日期：</w:t>
            </w:r>
          </w:p>
        </w:tc>
        <w:tc>
          <w:tcPr>
            <w:tcW w:w="5893" w:type="dxa"/>
            <w:tcBorders>
              <w:top w:val="single" w:color="000000" w:sz="4" w:space="0"/>
              <w:bottom w:val="single" w:color="000000" w:sz="4" w:space="0"/>
            </w:tcBorders>
            <w:noWrap w:val="0"/>
            <w:vAlign w:val="center"/>
          </w:tcPr>
          <w:p w14:paraId="70A5604E">
            <w:pPr>
              <w:tabs>
                <w:tab w:val="left" w:pos="1497"/>
              </w:tabs>
              <w:adjustRightInd w:val="0"/>
              <w:snapToGrid w:val="0"/>
              <w:spacing w:line="288" w:lineRule="auto"/>
              <w:jc w:val="center"/>
              <w:rPr>
                <w:rFonts w:hint="default" w:ascii="仿宋_GB2312" w:eastAsia="仿宋_GB2312"/>
                <w:color w:val="auto"/>
                <w:sz w:val="32"/>
                <w:szCs w:val="32"/>
                <w:vertAlign w:val="baseline"/>
                <w:lang w:val="en-US" w:eastAsia="zh-CN"/>
              </w:rPr>
            </w:pPr>
            <w:r>
              <w:rPr>
                <w:rFonts w:hint="eastAsia" w:ascii="Times New Roman" w:hAnsi="Times New Roman" w:eastAsia="仿宋_GB2312"/>
                <w:color w:val="auto"/>
                <w:sz w:val="32"/>
                <w:szCs w:val="32"/>
                <w:vertAlign w:val="baseline"/>
                <w:lang w:val="en-US" w:eastAsia="zh-CN"/>
              </w:rPr>
              <w:t>202</w:t>
            </w:r>
            <w:r>
              <w:rPr>
                <w:rFonts w:hint="eastAsia" w:eastAsia="仿宋_GB2312"/>
                <w:color w:val="auto"/>
                <w:sz w:val="32"/>
                <w:szCs w:val="32"/>
                <w:vertAlign w:val="baseline"/>
                <w:lang w:val="en-US" w:eastAsia="zh-CN"/>
              </w:rPr>
              <w:t>5</w:t>
            </w:r>
            <w:r>
              <w:rPr>
                <w:rFonts w:hint="eastAsia" w:ascii="Times New Roman" w:hAnsi="Times New Roman" w:eastAsia="仿宋_GB2312"/>
                <w:color w:val="auto"/>
                <w:sz w:val="32"/>
                <w:szCs w:val="32"/>
                <w:vertAlign w:val="baseline"/>
                <w:lang w:val="en-US" w:eastAsia="zh-CN"/>
              </w:rPr>
              <w:t>年</w:t>
            </w:r>
            <w:r>
              <w:rPr>
                <w:rFonts w:hint="eastAsia" w:eastAsia="仿宋_GB2312"/>
                <w:color w:val="auto"/>
                <w:sz w:val="32"/>
                <w:szCs w:val="32"/>
                <w:vertAlign w:val="baseline"/>
                <w:lang w:val="en-US" w:eastAsia="zh-CN"/>
              </w:rPr>
              <w:t>4</w:t>
            </w:r>
            <w:r>
              <w:rPr>
                <w:rFonts w:hint="eastAsia" w:ascii="Times New Roman" w:hAnsi="Times New Roman" w:eastAsia="仿宋_GB2312"/>
                <w:color w:val="auto"/>
                <w:sz w:val="32"/>
                <w:szCs w:val="32"/>
                <w:vertAlign w:val="baseline"/>
                <w:lang w:val="en-US" w:eastAsia="zh-CN"/>
              </w:rPr>
              <w:t>月</w:t>
            </w:r>
          </w:p>
        </w:tc>
      </w:tr>
    </w:tbl>
    <w:p w14:paraId="392B5BFC">
      <w:pPr>
        <w:adjustRightInd w:val="0"/>
        <w:snapToGrid w:val="0"/>
        <w:spacing w:line="288" w:lineRule="auto"/>
        <w:ind w:firstLine="1040"/>
        <w:rPr>
          <w:rFonts w:ascii="仿宋_GB2312" w:eastAsia="仿宋_GB2312"/>
          <w:color w:val="auto"/>
          <w:sz w:val="36"/>
          <w:szCs w:val="36"/>
        </w:rPr>
      </w:pPr>
    </w:p>
    <w:p w14:paraId="436B539D">
      <w:pPr>
        <w:pStyle w:val="2"/>
        <w:rPr>
          <w:rFonts w:ascii="仿宋_GB2312" w:eastAsia="仿宋_GB2312"/>
          <w:color w:val="auto"/>
          <w:sz w:val="36"/>
          <w:szCs w:val="36"/>
        </w:rPr>
      </w:pPr>
    </w:p>
    <w:p w14:paraId="329F14B2">
      <w:pPr>
        <w:rPr>
          <w:rFonts w:ascii="仿宋_GB2312" w:eastAsia="仿宋_GB2312"/>
          <w:color w:val="auto"/>
          <w:sz w:val="36"/>
          <w:szCs w:val="36"/>
        </w:rPr>
      </w:pPr>
    </w:p>
    <w:p w14:paraId="506CE48B">
      <w:pPr>
        <w:pStyle w:val="2"/>
        <w:rPr>
          <w:rFonts w:ascii="仿宋_GB2312" w:eastAsia="仿宋_GB2312"/>
          <w:color w:val="auto"/>
          <w:sz w:val="36"/>
          <w:szCs w:val="36"/>
        </w:rPr>
      </w:pPr>
    </w:p>
    <w:p w14:paraId="2C92E8E8">
      <w:pPr>
        <w:pStyle w:val="2"/>
        <w:rPr>
          <w:rFonts w:ascii="仿宋_GB2312" w:eastAsia="仿宋_GB2312"/>
          <w:color w:val="auto"/>
          <w:sz w:val="36"/>
          <w:szCs w:val="36"/>
        </w:rPr>
      </w:pPr>
    </w:p>
    <w:p w14:paraId="539B24E4">
      <w:pPr>
        <w:rPr>
          <w:color w:val="auto"/>
        </w:rPr>
      </w:pPr>
    </w:p>
    <w:p w14:paraId="2728132E">
      <w:pPr>
        <w:adjustRightInd w:val="0"/>
        <w:snapToGrid w:val="0"/>
        <w:spacing w:line="288" w:lineRule="auto"/>
        <w:ind w:firstLine="1040"/>
        <w:rPr>
          <w:rFonts w:hint="eastAsia" w:ascii="仿宋_GB2312" w:eastAsia="仿宋_GB2312"/>
          <w:color w:val="auto"/>
          <w:sz w:val="36"/>
          <w:szCs w:val="36"/>
        </w:rPr>
      </w:pPr>
    </w:p>
    <w:p w14:paraId="3CF5177A">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6D4D279F">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4889D65">
      <w:pPr>
        <w:pStyle w:val="16"/>
        <w:jc w:val="center"/>
        <w:outlineLvl w:val="0"/>
        <w:rPr>
          <w:rFonts w:hint="eastAsia" w:ascii="黑体" w:hAnsi="黑体" w:eastAsia="黑体"/>
          <w:snapToGrid w:val="0"/>
          <w:color w:val="auto"/>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7687E30">
      <w:pPr>
        <w:pStyle w:val="16"/>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6"/>
        <w:gridCol w:w="2521"/>
        <w:gridCol w:w="2330"/>
        <w:gridCol w:w="3063"/>
      </w:tblGrid>
      <w:tr w14:paraId="1DC5A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2C078433">
            <w:pPr>
              <w:adjustRightInd w:val="0"/>
              <w:snapToGrid w:val="0"/>
              <w:jc w:val="center"/>
              <w:rPr>
                <w:rFonts w:ascii="宋体" w:hAnsi="宋体" w:cs="宋体"/>
                <w:color w:val="auto"/>
                <w:szCs w:val="21"/>
              </w:rPr>
            </w:pPr>
            <w:r>
              <w:rPr>
                <w:rFonts w:hint="eastAsia" w:ascii="宋体" w:hAnsi="宋体" w:cs="宋体"/>
                <w:color w:val="auto"/>
                <w:szCs w:val="21"/>
              </w:rPr>
              <w:t>建设项目名称</w:t>
            </w:r>
          </w:p>
        </w:tc>
        <w:tc>
          <w:tcPr>
            <w:tcW w:w="7914" w:type="dxa"/>
            <w:gridSpan w:val="3"/>
            <w:noWrap w:val="0"/>
            <w:vAlign w:val="center"/>
          </w:tcPr>
          <w:p w14:paraId="6A309D5E">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涟水呈颖模塑有限公司年产50万件塑料手柄加工项目</w:t>
            </w:r>
          </w:p>
        </w:tc>
      </w:tr>
      <w:tr w14:paraId="0F0B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4ECB884">
            <w:pPr>
              <w:adjustRightInd w:val="0"/>
              <w:snapToGrid w:val="0"/>
              <w:jc w:val="center"/>
              <w:rPr>
                <w:rFonts w:ascii="宋体" w:hAnsi="宋体" w:cs="宋体"/>
                <w:color w:val="auto"/>
                <w:szCs w:val="21"/>
              </w:rPr>
            </w:pPr>
            <w:r>
              <w:rPr>
                <w:rFonts w:hint="eastAsia" w:ascii="宋体" w:hAnsi="宋体" w:cs="宋体"/>
                <w:color w:val="auto"/>
                <w:szCs w:val="21"/>
              </w:rPr>
              <w:t>项目代码</w:t>
            </w:r>
          </w:p>
        </w:tc>
        <w:tc>
          <w:tcPr>
            <w:tcW w:w="7914" w:type="dxa"/>
            <w:gridSpan w:val="3"/>
            <w:noWrap w:val="0"/>
            <w:vAlign w:val="center"/>
          </w:tcPr>
          <w:p w14:paraId="5480238D">
            <w:pPr>
              <w:adjustRightInd w:val="0"/>
              <w:snapToGrid w:val="0"/>
              <w:jc w:val="center"/>
              <w:rPr>
                <w:rFonts w:cs="宋体"/>
                <w:color w:val="auto"/>
                <w:szCs w:val="21"/>
              </w:rPr>
            </w:pPr>
            <w:r>
              <w:rPr>
                <w:rFonts w:hint="eastAsia" w:cs="宋体"/>
                <w:color w:val="auto"/>
                <w:szCs w:val="21"/>
              </w:rPr>
              <w:t>2504-320860-89-01-809229</w:t>
            </w:r>
          </w:p>
        </w:tc>
      </w:tr>
      <w:tr w14:paraId="67EE0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29F55646">
            <w:pPr>
              <w:adjustRightInd w:val="0"/>
              <w:snapToGrid w:val="0"/>
              <w:jc w:val="center"/>
              <w:rPr>
                <w:rFonts w:hint="eastAsia" w:ascii="宋体" w:hAnsi="宋体" w:cs="宋体"/>
                <w:color w:val="auto"/>
                <w:szCs w:val="21"/>
              </w:rPr>
            </w:pPr>
            <w:r>
              <w:rPr>
                <w:rFonts w:hint="eastAsia" w:ascii="宋体" w:hAnsi="宋体" w:cs="宋体"/>
                <w:color w:val="auto"/>
                <w:szCs w:val="21"/>
              </w:rPr>
              <w:t>建设单位联系人</w:t>
            </w:r>
          </w:p>
        </w:tc>
        <w:tc>
          <w:tcPr>
            <w:tcW w:w="2521" w:type="dxa"/>
            <w:noWrap w:val="0"/>
            <w:vAlign w:val="center"/>
          </w:tcPr>
          <w:p w14:paraId="77F51725">
            <w:pPr>
              <w:adjustRightInd w:val="0"/>
              <w:snapToGrid w:val="0"/>
              <w:jc w:val="center"/>
              <w:rPr>
                <w:rFonts w:hint="default" w:eastAsia="宋体" w:cs="宋体"/>
                <w:color w:val="auto"/>
                <w:szCs w:val="21"/>
                <w:lang w:val="en-US" w:eastAsia="zh-CN"/>
              </w:rPr>
            </w:pPr>
            <w:r>
              <w:rPr>
                <w:rFonts w:hint="default" w:eastAsia="宋体" w:cs="宋体"/>
                <w:color w:val="auto"/>
                <w:szCs w:val="21"/>
                <w:lang w:val="en-US" w:eastAsia="zh-CN"/>
              </w:rPr>
              <w:t>童三姣</w:t>
            </w:r>
          </w:p>
        </w:tc>
        <w:tc>
          <w:tcPr>
            <w:tcW w:w="2330" w:type="dxa"/>
            <w:noWrap w:val="0"/>
            <w:vAlign w:val="center"/>
          </w:tcPr>
          <w:p w14:paraId="61104D16">
            <w:pPr>
              <w:adjustRightInd w:val="0"/>
              <w:snapToGrid w:val="0"/>
              <w:jc w:val="center"/>
              <w:rPr>
                <w:rFonts w:cs="宋体"/>
                <w:color w:val="auto"/>
                <w:szCs w:val="21"/>
              </w:rPr>
            </w:pPr>
            <w:r>
              <w:rPr>
                <w:rFonts w:hint="eastAsia" w:cs="宋体"/>
                <w:color w:val="auto"/>
                <w:szCs w:val="21"/>
              </w:rPr>
              <w:t>联系方式</w:t>
            </w:r>
          </w:p>
        </w:tc>
        <w:tc>
          <w:tcPr>
            <w:tcW w:w="3063" w:type="dxa"/>
            <w:noWrap w:val="0"/>
            <w:vAlign w:val="center"/>
          </w:tcPr>
          <w:p w14:paraId="31CE4989">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18121671898</w:t>
            </w:r>
          </w:p>
        </w:tc>
      </w:tr>
      <w:tr w14:paraId="6C5E2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2B3F677">
            <w:pPr>
              <w:adjustRightInd w:val="0"/>
              <w:snapToGrid w:val="0"/>
              <w:jc w:val="center"/>
              <w:rPr>
                <w:rFonts w:ascii="宋体" w:hAnsi="宋体" w:cs="宋体"/>
                <w:color w:val="auto"/>
                <w:szCs w:val="21"/>
              </w:rPr>
            </w:pPr>
            <w:r>
              <w:rPr>
                <w:rFonts w:hint="eastAsia" w:ascii="宋体" w:hAnsi="宋体" w:cs="宋体"/>
                <w:color w:val="auto"/>
                <w:szCs w:val="21"/>
              </w:rPr>
              <w:t>建设地点</w:t>
            </w:r>
          </w:p>
        </w:tc>
        <w:tc>
          <w:tcPr>
            <w:tcW w:w="7914" w:type="dxa"/>
            <w:gridSpan w:val="3"/>
            <w:noWrap w:val="0"/>
            <w:vAlign w:val="center"/>
          </w:tcPr>
          <w:p w14:paraId="0E591F24">
            <w:pPr>
              <w:adjustRightInd w:val="0"/>
              <w:snapToGrid w:val="0"/>
              <w:jc w:val="center"/>
              <w:rPr>
                <w:rFonts w:cs="宋体"/>
                <w:color w:val="auto"/>
                <w:szCs w:val="21"/>
              </w:rPr>
            </w:pPr>
            <w:r>
              <w:rPr>
                <w:rFonts w:hint="eastAsia" w:cs="宋体"/>
                <w:color w:val="auto"/>
                <w:szCs w:val="21"/>
                <w:u w:val="single"/>
              </w:rPr>
              <w:t>江苏省淮安市涟水县经济开发区炎黄大道99号上水创业园28号厂房</w:t>
            </w:r>
          </w:p>
        </w:tc>
      </w:tr>
      <w:tr w14:paraId="0DA19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1A7AADFD">
            <w:pPr>
              <w:adjustRightInd w:val="0"/>
              <w:snapToGrid w:val="0"/>
              <w:jc w:val="center"/>
              <w:rPr>
                <w:rFonts w:ascii="宋体" w:hAnsi="宋体" w:cs="宋体"/>
                <w:color w:val="auto"/>
                <w:szCs w:val="21"/>
              </w:rPr>
            </w:pPr>
            <w:r>
              <w:rPr>
                <w:rFonts w:hint="eastAsia" w:ascii="宋体" w:hAnsi="宋体" w:cs="宋体"/>
                <w:color w:val="auto"/>
                <w:szCs w:val="21"/>
              </w:rPr>
              <w:t>地理坐标</w:t>
            </w:r>
          </w:p>
        </w:tc>
        <w:tc>
          <w:tcPr>
            <w:tcW w:w="7914" w:type="dxa"/>
            <w:gridSpan w:val="3"/>
            <w:noWrap w:val="0"/>
            <w:vAlign w:val="center"/>
          </w:tcPr>
          <w:p w14:paraId="01DA9E15">
            <w:pPr>
              <w:jc w:val="center"/>
              <w:rPr>
                <w:rFonts w:hint="eastAsia" w:cs="宋体"/>
                <w:color w:val="auto"/>
                <w:szCs w:val="21"/>
              </w:rPr>
            </w:pPr>
            <w:r>
              <w:rPr>
                <w:rFonts w:hint="eastAsia" w:cs="宋体"/>
                <w:color w:val="auto"/>
                <w:szCs w:val="21"/>
              </w:rPr>
              <w:t>北纬：</w:t>
            </w:r>
            <w:r>
              <w:rPr>
                <w:rFonts w:hint="eastAsia" w:cs="宋体"/>
                <w:color w:val="auto"/>
                <w:szCs w:val="21"/>
                <w:u w:val="single"/>
              </w:rPr>
              <w:t>33</w:t>
            </w:r>
            <w:r>
              <w:rPr>
                <w:rFonts w:hint="eastAsia" w:cs="宋体"/>
                <w:color w:val="auto"/>
                <w:szCs w:val="21"/>
              </w:rPr>
              <w:t>度</w:t>
            </w:r>
            <w:r>
              <w:rPr>
                <w:rFonts w:hint="eastAsia" w:cs="宋体"/>
                <w:color w:val="auto"/>
                <w:szCs w:val="21"/>
                <w:u w:val="single"/>
              </w:rPr>
              <w:t>4</w:t>
            </w:r>
            <w:r>
              <w:rPr>
                <w:rFonts w:hint="eastAsia" w:cs="宋体"/>
                <w:color w:val="auto"/>
                <w:szCs w:val="21"/>
                <w:u w:val="single"/>
                <w:lang w:val="en-US" w:eastAsia="zh-CN"/>
              </w:rPr>
              <w:t>7</w:t>
            </w:r>
            <w:r>
              <w:rPr>
                <w:rFonts w:hint="eastAsia" w:cs="宋体"/>
                <w:color w:val="auto"/>
                <w:szCs w:val="21"/>
              </w:rPr>
              <w:t>分</w:t>
            </w:r>
            <w:r>
              <w:rPr>
                <w:rFonts w:hint="eastAsia" w:cs="宋体"/>
                <w:color w:val="auto"/>
                <w:szCs w:val="21"/>
                <w:u w:val="single"/>
                <w:lang w:val="en-US" w:eastAsia="zh-CN"/>
              </w:rPr>
              <w:t>53.748</w:t>
            </w:r>
            <w:r>
              <w:rPr>
                <w:rFonts w:hint="eastAsia" w:cs="宋体"/>
                <w:color w:val="auto"/>
                <w:szCs w:val="21"/>
              </w:rPr>
              <w:t>秒，东经：</w:t>
            </w:r>
            <w:r>
              <w:rPr>
                <w:rFonts w:hint="eastAsia" w:cs="宋体"/>
                <w:color w:val="auto"/>
                <w:szCs w:val="21"/>
                <w:u w:val="single"/>
              </w:rPr>
              <w:t>119</w:t>
            </w:r>
            <w:r>
              <w:rPr>
                <w:rFonts w:hint="eastAsia" w:cs="宋体"/>
                <w:color w:val="auto"/>
                <w:szCs w:val="21"/>
              </w:rPr>
              <w:t>度</w:t>
            </w:r>
            <w:r>
              <w:rPr>
                <w:rFonts w:hint="eastAsia" w:cs="宋体"/>
                <w:color w:val="auto"/>
                <w:szCs w:val="21"/>
                <w:u w:val="single"/>
              </w:rPr>
              <w:t>1</w:t>
            </w:r>
            <w:r>
              <w:rPr>
                <w:rFonts w:hint="eastAsia" w:cs="宋体"/>
                <w:color w:val="auto"/>
                <w:szCs w:val="21"/>
                <w:u w:val="single"/>
                <w:lang w:val="en-US" w:eastAsia="zh-CN"/>
              </w:rPr>
              <w:t>2</w:t>
            </w:r>
            <w:r>
              <w:rPr>
                <w:rFonts w:hint="eastAsia" w:cs="宋体"/>
                <w:color w:val="auto"/>
                <w:szCs w:val="21"/>
              </w:rPr>
              <w:t>分</w:t>
            </w:r>
            <w:r>
              <w:rPr>
                <w:rFonts w:hint="eastAsia" w:cs="宋体"/>
                <w:color w:val="auto"/>
                <w:szCs w:val="21"/>
                <w:u w:val="single"/>
                <w:lang w:val="en-US" w:eastAsia="zh-CN"/>
              </w:rPr>
              <w:t>46.705</w:t>
            </w:r>
            <w:r>
              <w:rPr>
                <w:rFonts w:hint="eastAsia" w:cs="宋体"/>
                <w:color w:val="auto"/>
                <w:szCs w:val="21"/>
              </w:rPr>
              <w:t>秒</w:t>
            </w:r>
          </w:p>
        </w:tc>
      </w:tr>
      <w:tr w14:paraId="3DCD6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56" w:type="dxa"/>
            <w:noWrap w:val="0"/>
            <w:tcMar>
              <w:top w:w="16" w:type="dxa"/>
              <w:left w:w="16" w:type="dxa"/>
              <w:right w:w="16" w:type="dxa"/>
            </w:tcMar>
            <w:vAlign w:val="center"/>
          </w:tcPr>
          <w:p w14:paraId="3A979F36">
            <w:pPr>
              <w:adjustRightInd w:val="0"/>
              <w:snapToGrid w:val="0"/>
              <w:jc w:val="center"/>
              <w:rPr>
                <w:rFonts w:hint="eastAsia" w:ascii="宋体" w:hAnsi="宋体" w:cs="宋体"/>
                <w:color w:val="auto"/>
                <w:szCs w:val="21"/>
              </w:rPr>
            </w:pPr>
            <w:r>
              <w:rPr>
                <w:rFonts w:hint="eastAsia" w:ascii="宋体" w:hAnsi="宋体" w:cs="宋体"/>
                <w:color w:val="auto"/>
                <w:szCs w:val="21"/>
              </w:rPr>
              <w:t>国民经济</w:t>
            </w:r>
          </w:p>
          <w:p w14:paraId="14D9C0C0">
            <w:pPr>
              <w:adjustRightInd w:val="0"/>
              <w:snapToGrid w:val="0"/>
              <w:jc w:val="center"/>
              <w:rPr>
                <w:rFonts w:ascii="宋体" w:hAnsi="宋体" w:cs="宋体"/>
                <w:color w:val="auto"/>
                <w:szCs w:val="21"/>
              </w:rPr>
            </w:pPr>
            <w:r>
              <w:rPr>
                <w:rFonts w:hint="eastAsia" w:ascii="宋体" w:hAnsi="宋体" w:cs="宋体"/>
                <w:color w:val="auto"/>
                <w:szCs w:val="21"/>
              </w:rPr>
              <w:t>行业类别</w:t>
            </w:r>
          </w:p>
        </w:tc>
        <w:tc>
          <w:tcPr>
            <w:tcW w:w="2521" w:type="dxa"/>
            <w:noWrap w:val="0"/>
            <w:vAlign w:val="center"/>
          </w:tcPr>
          <w:p w14:paraId="6E828AD5">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C2929塑料零件及其他塑料制品制造</w:t>
            </w:r>
          </w:p>
          <w:p w14:paraId="058447BA">
            <w:pPr>
              <w:adjustRightInd w:val="0"/>
              <w:snapToGrid w:val="0"/>
              <w:jc w:val="center"/>
              <w:rPr>
                <w:rFonts w:hint="default"/>
                <w:color w:val="auto"/>
                <w:lang w:val="en-US" w:eastAsia="zh-CN"/>
              </w:rPr>
            </w:pPr>
            <w:r>
              <w:rPr>
                <w:rFonts w:hint="eastAsia" w:ascii="Times New Roman" w:hAnsi="Times New Roman" w:eastAsia="宋体" w:cs="Times New Roman"/>
                <w:color w:val="auto"/>
                <w:lang w:val="en-US" w:eastAsia="zh-CN"/>
              </w:rPr>
              <w:t>C3062玻璃纤维增强塑料制品制造</w:t>
            </w:r>
          </w:p>
        </w:tc>
        <w:tc>
          <w:tcPr>
            <w:tcW w:w="2330" w:type="dxa"/>
            <w:noWrap w:val="0"/>
            <w:vAlign w:val="center"/>
          </w:tcPr>
          <w:p w14:paraId="5EA116A7">
            <w:pPr>
              <w:adjustRightInd w:val="0"/>
              <w:snapToGrid w:val="0"/>
              <w:jc w:val="center"/>
              <w:rPr>
                <w:rFonts w:cs="宋体"/>
                <w:color w:val="auto"/>
                <w:szCs w:val="21"/>
              </w:rPr>
            </w:pPr>
            <w:r>
              <w:rPr>
                <w:rFonts w:hint="eastAsia" w:cs="宋体"/>
                <w:color w:val="auto"/>
                <w:szCs w:val="21"/>
              </w:rPr>
              <w:t>建设项目</w:t>
            </w:r>
          </w:p>
          <w:p w14:paraId="65FEE521">
            <w:pPr>
              <w:adjustRightInd w:val="0"/>
              <w:snapToGrid w:val="0"/>
              <w:jc w:val="center"/>
              <w:rPr>
                <w:rFonts w:cs="宋体"/>
                <w:color w:val="auto"/>
                <w:szCs w:val="21"/>
              </w:rPr>
            </w:pPr>
            <w:r>
              <w:rPr>
                <w:rFonts w:hint="eastAsia" w:cs="宋体"/>
                <w:color w:val="auto"/>
                <w:szCs w:val="21"/>
              </w:rPr>
              <w:t>行业类别</w:t>
            </w:r>
          </w:p>
        </w:tc>
        <w:tc>
          <w:tcPr>
            <w:tcW w:w="3063" w:type="dxa"/>
            <w:noWrap w:val="0"/>
            <w:vAlign w:val="center"/>
          </w:tcPr>
          <w:p w14:paraId="6939E02B">
            <w:pPr>
              <w:adjustRightInd w:val="0"/>
              <w:snapToGrid w:val="0"/>
              <w:jc w:val="center"/>
              <w:rPr>
                <w:rFonts w:hint="eastAsia"/>
                <w:color w:val="auto"/>
                <w:lang w:val="en-US" w:eastAsia="zh-CN"/>
              </w:rPr>
            </w:pPr>
            <w:r>
              <w:rPr>
                <w:rFonts w:hint="eastAsia"/>
                <w:color w:val="auto"/>
                <w:lang w:val="en-US" w:eastAsia="zh-CN"/>
              </w:rPr>
              <w:t>二十六、橡胶和塑料制品业52塑料制品业292</w:t>
            </w:r>
          </w:p>
          <w:p w14:paraId="391D4AD9">
            <w:pPr>
              <w:adjustRightInd w:val="0"/>
              <w:snapToGrid w:val="0"/>
              <w:jc w:val="center"/>
              <w:rPr>
                <w:rFonts w:hint="default"/>
                <w:color w:val="auto"/>
                <w:lang w:val="en-US" w:eastAsia="zh-CN"/>
              </w:rPr>
            </w:pPr>
            <w:r>
              <w:rPr>
                <w:rFonts w:hint="default" w:ascii="Times New Roman" w:hAnsi="Times New Roman" w:eastAsia="宋体" w:cs="Times New Roman"/>
                <w:color w:val="auto"/>
                <w:lang w:val="en-US" w:eastAsia="zh-CN"/>
              </w:rPr>
              <w:t>二十七、非金属矿物制品业</w:t>
            </w:r>
            <w:r>
              <w:rPr>
                <w:rFonts w:hint="eastAsia" w:ascii="Times New Roman" w:hAnsi="Times New Roman" w:eastAsia="宋体" w:cs="Times New Roman"/>
                <w:color w:val="auto"/>
                <w:lang w:val="en-US" w:eastAsia="zh-CN"/>
              </w:rPr>
              <w:t>58</w:t>
            </w:r>
            <w:r>
              <w:rPr>
                <w:rFonts w:hint="default" w:ascii="Times New Roman" w:hAnsi="Times New Roman" w:eastAsia="宋体" w:cs="Times New Roman"/>
                <w:color w:val="auto"/>
                <w:lang w:val="en-US" w:eastAsia="zh-CN"/>
              </w:rPr>
              <w:t>玻璃纤维和玻璃纤维增强塑料制品制造306</w:t>
            </w:r>
          </w:p>
        </w:tc>
      </w:tr>
      <w:tr w14:paraId="41E46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56" w:type="dxa"/>
            <w:noWrap w:val="0"/>
            <w:tcMar>
              <w:top w:w="16" w:type="dxa"/>
              <w:left w:w="16" w:type="dxa"/>
              <w:right w:w="16" w:type="dxa"/>
            </w:tcMar>
            <w:vAlign w:val="center"/>
          </w:tcPr>
          <w:p w14:paraId="45E36779">
            <w:pPr>
              <w:adjustRightInd w:val="0"/>
              <w:snapToGrid w:val="0"/>
              <w:jc w:val="center"/>
              <w:rPr>
                <w:rFonts w:ascii="宋体" w:hAnsi="宋体" w:cs="宋体"/>
                <w:color w:val="auto"/>
                <w:szCs w:val="21"/>
              </w:rPr>
            </w:pPr>
            <w:r>
              <w:rPr>
                <w:rFonts w:hint="eastAsia" w:ascii="宋体" w:hAnsi="宋体" w:cs="宋体"/>
                <w:color w:val="auto"/>
                <w:szCs w:val="21"/>
              </w:rPr>
              <w:t>建设性质</w:t>
            </w:r>
          </w:p>
        </w:tc>
        <w:tc>
          <w:tcPr>
            <w:tcW w:w="2521" w:type="dxa"/>
            <w:noWrap w:val="0"/>
            <w:vAlign w:val="center"/>
          </w:tcPr>
          <w:p w14:paraId="4F41BAA2">
            <w:pPr>
              <w:jc w:val="left"/>
              <w:rPr>
                <w:rFonts w:cs="宋体"/>
                <w:color w:val="auto"/>
                <w:szCs w:val="21"/>
              </w:rPr>
            </w:pPr>
            <w:r>
              <w:rPr>
                <w:rFonts w:hint="eastAsia" w:cs="宋体"/>
                <w:color w:val="auto"/>
                <w:szCs w:val="21"/>
              </w:rPr>
              <w:t>☑新建（迁建）</w:t>
            </w:r>
          </w:p>
          <w:p w14:paraId="00C57769">
            <w:pPr>
              <w:jc w:val="left"/>
              <w:rPr>
                <w:rFonts w:hint="eastAsia" w:cs="宋体"/>
                <w:color w:val="auto"/>
                <w:szCs w:val="21"/>
              </w:rPr>
            </w:pPr>
            <w:r>
              <w:rPr>
                <w:rFonts w:hint="eastAsia" w:cs="宋体"/>
                <w:color w:val="auto"/>
                <w:szCs w:val="21"/>
              </w:rPr>
              <w:t>□改建</w:t>
            </w:r>
          </w:p>
          <w:p w14:paraId="6B9D88B1">
            <w:pPr>
              <w:jc w:val="left"/>
              <w:rPr>
                <w:rFonts w:hint="eastAsia" w:cs="宋体"/>
                <w:color w:val="auto"/>
                <w:szCs w:val="21"/>
              </w:rPr>
            </w:pPr>
            <w:r>
              <w:rPr>
                <w:rFonts w:hint="eastAsia" w:cs="宋体"/>
                <w:color w:val="auto"/>
                <w:szCs w:val="21"/>
              </w:rPr>
              <w:t>□扩建</w:t>
            </w:r>
          </w:p>
          <w:p w14:paraId="332F1052">
            <w:pPr>
              <w:jc w:val="left"/>
              <w:rPr>
                <w:rFonts w:cs="宋体"/>
                <w:color w:val="auto"/>
                <w:szCs w:val="21"/>
              </w:rPr>
            </w:pPr>
            <w:r>
              <w:rPr>
                <w:rFonts w:hint="eastAsia" w:cs="宋体"/>
                <w:color w:val="auto"/>
                <w:szCs w:val="21"/>
                <w:lang w:eastAsia="zh-CN"/>
              </w:rPr>
              <w:t>□</w:t>
            </w:r>
            <w:r>
              <w:rPr>
                <w:rFonts w:hint="eastAsia" w:cs="宋体"/>
                <w:color w:val="auto"/>
                <w:szCs w:val="21"/>
              </w:rPr>
              <w:t>技术改造</w:t>
            </w:r>
          </w:p>
        </w:tc>
        <w:tc>
          <w:tcPr>
            <w:tcW w:w="2330" w:type="dxa"/>
            <w:noWrap w:val="0"/>
            <w:vAlign w:val="center"/>
          </w:tcPr>
          <w:p w14:paraId="22E8D079">
            <w:pPr>
              <w:adjustRightInd w:val="0"/>
              <w:snapToGrid w:val="0"/>
              <w:jc w:val="center"/>
              <w:rPr>
                <w:rFonts w:hint="eastAsia" w:cs="宋体"/>
                <w:color w:val="auto"/>
                <w:szCs w:val="21"/>
              </w:rPr>
            </w:pPr>
            <w:r>
              <w:rPr>
                <w:rFonts w:hint="eastAsia" w:cs="宋体"/>
                <w:color w:val="auto"/>
                <w:szCs w:val="21"/>
              </w:rPr>
              <w:t>建设项目</w:t>
            </w:r>
          </w:p>
          <w:p w14:paraId="253DE70C">
            <w:pPr>
              <w:adjustRightInd w:val="0"/>
              <w:snapToGrid w:val="0"/>
              <w:jc w:val="center"/>
              <w:rPr>
                <w:rFonts w:cs="宋体"/>
                <w:color w:val="auto"/>
                <w:szCs w:val="21"/>
              </w:rPr>
            </w:pPr>
            <w:r>
              <w:rPr>
                <w:rFonts w:hint="eastAsia" w:cs="宋体"/>
                <w:color w:val="auto"/>
                <w:szCs w:val="21"/>
              </w:rPr>
              <w:t>申报情形</w:t>
            </w:r>
          </w:p>
        </w:tc>
        <w:tc>
          <w:tcPr>
            <w:tcW w:w="3063" w:type="dxa"/>
            <w:noWrap w:val="0"/>
            <w:vAlign w:val="center"/>
          </w:tcPr>
          <w:p w14:paraId="129A8D81">
            <w:pPr>
              <w:jc w:val="left"/>
              <w:rPr>
                <w:rFonts w:hint="eastAsia" w:cs="宋体"/>
                <w:color w:val="auto"/>
                <w:szCs w:val="21"/>
              </w:rPr>
            </w:pPr>
            <w:r>
              <w:rPr>
                <w:rFonts w:hint="eastAsia" w:cs="宋体"/>
                <w:color w:val="auto"/>
                <w:szCs w:val="21"/>
              </w:rPr>
              <w:t>☑首次申报项目</w:t>
            </w:r>
          </w:p>
          <w:p w14:paraId="01D9E340">
            <w:pPr>
              <w:jc w:val="left"/>
              <w:rPr>
                <w:rFonts w:cs="宋体"/>
                <w:color w:val="auto"/>
                <w:szCs w:val="21"/>
              </w:rPr>
            </w:pPr>
            <w:r>
              <w:rPr>
                <w:rFonts w:hint="eastAsia" w:cs="宋体"/>
                <w:color w:val="auto"/>
                <w:szCs w:val="21"/>
              </w:rPr>
              <w:t>□不予批准后再次申报项目</w:t>
            </w:r>
          </w:p>
          <w:p w14:paraId="66D6AD63">
            <w:pPr>
              <w:jc w:val="left"/>
              <w:rPr>
                <w:rFonts w:hint="eastAsia" w:cs="宋体"/>
                <w:color w:val="auto"/>
                <w:szCs w:val="21"/>
              </w:rPr>
            </w:pPr>
            <w:r>
              <w:rPr>
                <w:rFonts w:hint="eastAsia" w:cs="宋体"/>
                <w:color w:val="auto"/>
                <w:szCs w:val="21"/>
              </w:rPr>
              <w:t>□超五年重新审核项目</w:t>
            </w:r>
          </w:p>
          <w:p w14:paraId="61CC833B">
            <w:pPr>
              <w:jc w:val="left"/>
              <w:rPr>
                <w:rFonts w:cs="宋体"/>
                <w:color w:val="auto"/>
                <w:szCs w:val="21"/>
              </w:rPr>
            </w:pPr>
            <w:r>
              <w:rPr>
                <w:rFonts w:hint="eastAsia" w:cs="宋体"/>
                <w:color w:val="auto"/>
                <w:szCs w:val="21"/>
              </w:rPr>
              <w:t>□重大变动重新报批项目</w:t>
            </w:r>
          </w:p>
        </w:tc>
      </w:tr>
      <w:tr w14:paraId="4D290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56" w:type="dxa"/>
            <w:noWrap w:val="0"/>
            <w:tcMar>
              <w:top w:w="16" w:type="dxa"/>
              <w:left w:w="16" w:type="dxa"/>
              <w:right w:w="16" w:type="dxa"/>
            </w:tcMar>
            <w:vAlign w:val="center"/>
          </w:tcPr>
          <w:p w14:paraId="4D29C1A6">
            <w:pPr>
              <w:adjustRightInd w:val="0"/>
              <w:snapToGrid w:val="0"/>
              <w:jc w:val="center"/>
              <w:rPr>
                <w:rFonts w:hint="eastAsia"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14:paraId="31C059A3">
            <w:pPr>
              <w:adjustRightInd w:val="0"/>
              <w:snapToGrid w:val="0"/>
              <w:jc w:val="center"/>
              <w:rPr>
                <w:rFonts w:ascii="宋体" w:hAnsi="宋体" w:cs="宋体"/>
                <w:color w:val="auto"/>
                <w:szCs w:val="21"/>
              </w:rPr>
            </w:pPr>
            <w:r>
              <w:rPr>
                <w:rFonts w:hint="eastAsia" w:ascii="宋体" w:hAnsi="宋体" w:cs="宋体"/>
                <w:color w:val="auto"/>
                <w:szCs w:val="21"/>
              </w:rPr>
              <w:t>备案）部门（选填）</w:t>
            </w:r>
          </w:p>
        </w:tc>
        <w:tc>
          <w:tcPr>
            <w:tcW w:w="2521" w:type="dxa"/>
            <w:noWrap w:val="0"/>
            <w:vAlign w:val="center"/>
          </w:tcPr>
          <w:p w14:paraId="393635E9">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江苏涟水经济开发区管理委员会</w:t>
            </w:r>
          </w:p>
        </w:tc>
        <w:tc>
          <w:tcPr>
            <w:tcW w:w="2330" w:type="dxa"/>
            <w:noWrap w:val="0"/>
            <w:vAlign w:val="center"/>
          </w:tcPr>
          <w:p w14:paraId="0F817E90">
            <w:pPr>
              <w:adjustRightInd w:val="0"/>
              <w:snapToGrid w:val="0"/>
              <w:jc w:val="center"/>
              <w:rPr>
                <w:rFonts w:hint="eastAsia" w:cs="宋体"/>
                <w:color w:val="auto"/>
                <w:szCs w:val="21"/>
              </w:rPr>
            </w:pPr>
            <w:r>
              <w:rPr>
                <w:rFonts w:hint="eastAsia" w:cs="宋体"/>
                <w:color w:val="auto"/>
                <w:szCs w:val="21"/>
              </w:rPr>
              <w:t>项目审批（核准</w:t>
            </w:r>
            <w:r>
              <w:rPr>
                <w:rFonts w:cs="宋体"/>
                <w:color w:val="auto"/>
                <w:szCs w:val="21"/>
              </w:rPr>
              <w:t>/</w:t>
            </w:r>
          </w:p>
          <w:p w14:paraId="056FF811">
            <w:pPr>
              <w:adjustRightInd w:val="0"/>
              <w:snapToGrid w:val="0"/>
              <w:jc w:val="center"/>
              <w:rPr>
                <w:rFonts w:hint="eastAsia" w:cs="宋体"/>
                <w:color w:val="auto"/>
                <w:szCs w:val="21"/>
              </w:rPr>
            </w:pPr>
            <w:r>
              <w:rPr>
                <w:rFonts w:hint="eastAsia" w:cs="宋体"/>
                <w:color w:val="auto"/>
                <w:szCs w:val="21"/>
              </w:rPr>
              <w:t>备案）文号（选填）</w:t>
            </w:r>
          </w:p>
        </w:tc>
        <w:tc>
          <w:tcPr>
            <w:tcW w:w="3063" w:type="dxa"/>
            <w:noWrap w:val="0"/>
            <w:vAlign w:val="center"/>
          </w:tcPr>
          <w:p w14:paraId="4E12C626">
            <w:pPr>
              <w:adjustRightInd w:val="0"/>
              <w:snapToGrid w:val="0"/>
              <w:jc w:val="center"/>
              <w:rPr>
                <w:rFonts w:hint="eastAsia" w:eastAsia="宋体" w:cs="宋体"/>
                <w:color w:val="auto"/>
                <w:szCs w:val="21"/>
                <w:lang w:eastAsia="zh-CN"/>
              </w:rPr>
            </w:pPr>
            <w:r>
              <w:rPr>
                <w:rFonts w:hint="eastAsia" w:eastAsia="宋体" w:cs="宋体"/>
                <w:color w:val="auto"/>
                <w:szCs w:val="21"/>
                <w:lang w:eastAsia="zh-CN"/>
              </w:rPr>
              <w:t>涟区开发备〔2025〕52号</w:t>
            </w:r>
          </w:p>
        </w:tc>
      </w:tr>
      <w:tr w14:paraId="556FC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AF12403">
            <w:pPr>
              <w:adjustRightInd w:val="0"/>
              <w:snapToGrid w:val="0"/>
              <w:jc w:val="center"/>
              <w:rPr>
                <w:rFonts w:ascii="宋体" w:hAnsi="宋体" w:cs="宋体"/>
                <w:color w:val="auto"/>
                <w:szCs w:val="21"/>
              </w:rPr>
            </w:pPr>
            <w:r>
              <w:rPr>
                <w:rFonts w:hint="eastAsia" w:ascii="宋体" w:hAnsi="宋体" w:cs="宋体"/>
                <w:color w:val="auto"/>
                <w:szCs w:val="21"/>
              </w:rPr>
              <w:t>总投资（万元）</w:t>
            </w:r>
          </w:p>
        </w:tc>
        <w:tc>
          <w:tcPr>
            <w:tcW w:w="2521" w:type="dxa"/>
            <w:noWrap w:val="0"/>
            <w:vAlign w:val="center"/>
          </w:tcPr>
          <w:p w14:paraId="44450FCB">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1000</w:t>
            </w:r>
          </w:p>
        </w:tc>
        <w:tc>
          <w:tcPr>
            <w:tcW w:w="2330" w:type="dxa"/>
            <w:noWrap w:val="0"/>
            <w:tcMar>
              <w:top w:w="16" w:type="dxa"/>
              <w:left w:w="16" w:type="dxa"/>
              <w:right w:w="16" w:type="dxa"/>
            </w:tcMar>
            <w:vAlign w:val="center"/>
          </w:tcPr>
          <w:p w14:paraId="4DACE971">
            <w:pPr>
              <w:adjustRightInd w:val="0"/>
              <w:snapToGrid w:val="0"/>
              <w:jc w:val="center"/>
              <w:rPr>
                <w:rFonts w:cs="宋体"/>
                <w:color w:val="auto"/>
                <w:szCs w:val="21"/>
              </w:rPr>
            </w:pPr>
            <w:r>
              <w:rPr>
                <w:rFonts w:hint="eastAsia" w:cs="宋体"/>
                <w:color w:val="auto"/>
                <w:szCs w:val="21"/>
              </w:rPr>
              <w:t>环保投资（万元）</w:t>
            </w:r>
          </w:p>
        </w:tc>
        <w:tc>
          <w:tcPr>
            <w:tcW w:w="3063" w:type="dxa"/>
            <w:noWrap w:val="0"/>
            <w:vAlign w:val="center"/>
          </w:tcPr>
          <w:p w14:paraId="4EA6D950">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20</w:t>
            </w:r>
          </w:p>
        </w:tc>
      </w:tr>
      <w:tr w14:paraId="26CC0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5344CD6">
            <w:pPr>
              <w:adjustRightInd w:val="0"/>
              <w:snapToGrid w:val="0"/>
              <w:jc w:val="center"/>
              <w:rPr>
                <w:rFonts w:ascii="宋体" w:hAnsi="宋体" w:cs="宋体"/>
                <w:color w:val="auto"/>
                <w:szCs w:val="21"/>
              </w:rPr>
            </w:pPr>
            <w:r>
              <w:rPr>
                <w:rFonts w:hint="eastAsia" w:ascii="宋体" w:hAnsi="宋体" w:cs="宋体"/>
                <w:color w:val="auto"/>
                <w:szCs w:val="21"/>
              </w:rPr>
              <w:t>环保投资占比（</w:t>
            </w:r>
            <w:r>
              <w:rPr>
                <w:rFonts w:ascii="宋体" w:hAnsi="宋体" w:cs="宋体"/>
                <w:color w:val="auto"/>
                <w:szCs w:val="21"/>
              </w:rPr>
              <w:t>%</w:t>
            </w:r>
            <w:r>
              <w:rPr>
                <w:rFonts w:hint="eastAsia" w:ascii="宋体" w:hAnsi="宋体" w:cs="宋体"/>
                <w:color w:val="auto"/>
                <w:szCs w:val="21"/>
              </w:rPr>
              <w:t>）</w:t>
            </w:r>
          </w:p>
        </w:tc>
        <w:tc>
          <w:tcPr>
            <w:tcW w:w="2521" w:type="dxa"/>
            <w:noWrap w:val="0"/>
            <w:vAlign w:val="center"/>
          </w:tcPr>
          <w:p w14:paraId="632340FD">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2</w:t>
            </w:r>
          </w:p>
        </w:tc>
        <w:tc>
          <w:tcPr>
            <w:tcW w:w="2330" w:type="dxa"/>
            <w:noWrap w:val="0"/>
            <w:tcMar>
              <w:top w:w="16" w:type="dxa"/>
              <w:left w:w="16" w:type="dxa"/>
              <w:right w:w="16" w:type="dxa"/>
            </w:tcMar>
            <w:vAlign w:val="center"/>
          </w:tcPr>
          <w:p w14:paraId="0E5E2D37">
            <w:pPr>
              <w:adjustRightInd w:val="0"/>
              <w:snapToGrid w:val="0"/>
              <w:jc w:val="center"/>
              <w:rPr>
                <w:rFonts w:cs="宋体"/>
                <w:color w:val="auto"/>
                <w:szCs w:val="21"/>
              </w:rPr>
            </w:pPr>
            <w:r>
              <w:rPr>
                <w:rFonts w:hint="eastAsia" w:cs="宋体"/>
                <w:color w:val="auto"/>
                <w:szCs w:val="21"/>
              </w:rPr>
              <w:t>施工工期</w:t>
            </w:r>
          </w:p>
        </w:tc>
        <w:tc>
          <w:tcPr>
            <w:tcW w:w="3063" w:type="dxa"/>
            <w:noWrap w:val="0"/>
            <w:vAlign w:val="center"/>
          </w:tcPr>
          <w:p w14:paraId="33AB2FB7">
            <w:pPr>
              <w:adjustRightInd w:val="0"/>
              <w:snapToGrid w:val="0"/>
              <w:jc w:val="center"/>
              <w:rPr>
                <w:rFonts w:hint="eastAsia" w:eastAsia="宋体" w:cs="宋体"/>
                <w:color w:val="auto"/>
                <w:szCs w:val="21"/>
                <w:lang w:val="en-US" w:eastAsia="zh-CN"/>
              </w:rPr>
            </w:pPr>
            <w:r>
              <w:rPr>
                <w:rFonts w:hint="eastAsia" w:cs="宋体"/>
                <w:color w:val="auto"/>
                <w:szCs w:val="21"/>
                <w:lang w:val="en-US" w:eastAsia="zh-CN"/>
              </w:rPr>
              <w:t>/</w:t>
            </w:r>
          </w:p>
        </w:tc>
      </w:tr>
      <w:tr w14:paraId="73592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D907EB1">
            <w:pPr>
              <w:adjustRightInd w:val="0"/>
              <w:snapToGrid w:val="0"/>
              <w:jc w:val="center"/>
              <w:rPr>
                <w:rFonts w:hint="eastAsia" w:ascii="宋体" w:hAnsi="宋体" w:cs="宋体"/>
                <w:color w:val="auto"/>
                <w:szCs w:val="21"/>
              </w:rPr>
            </w:pPr>
            <w:r>
              <w:rPr>
                <w:rFonts w:hint="eastAsia" w:ascii="宋体" w:hAnsi="宋体" w:cs="宋体"/>
                <w:color w:val="auto"/>
                <w:szCs w:val="21"/>
              </w:rPr>
              <w:t>是否开工建设</w:t>
            </w:r>
          </w:p>
        </w:tc>
        <w:tc>
          <w:tcPr>
            <w:tcW w:w="2521" w:type="dxa"/>
            <w:noWrap w:val="0"/>
            <w:vAlign w:val="center"/>
          </w:tcPr>
          <w:p w14:paraId="4AAF329F">
            <w:pPr>
              <w:adjustRightInd w:val="0"/>
              <w:snapToGrid w:val="0"/>
              <w:rPr>
                <w:rFonts w:cs="宋体"/>
                <w:color w:val="auto"/>
                <w:szCs w:val="21"/>
              </w:rPr>
            </w:pPr>
            <w:r>
              <w:rPr>
                <w:rFonts w:hint="eastAsia" w:cs="宋体"/>
                <w:color w:val="auto"/>
                <w:szCs w:val="21"/>
              </w:rPr>
              <w:sym w:font="Wingdings 2" w:char="0052"/>
            </w:r>
            <w:r>
              <w:rPr>
                <w:rFonts w:hint="eastAsia" w:cs="宋体"/>
                <w:color w:val="auto"/>
                <w:szCs w:val="21"/>
              </w:rPr>
              <w:t>否</w:t>
            </w:r>
          </w:p>
          <w:p w14:paraId="5C95D80B">
            <w:pPr>
              <w:adjustRightInd w:val="0"/>
              <w:snapToGrid w:val="0"/>
              <w:rPr>
                <w:rFonts w:hint="default" w:eastAsia="宋体" w:cs="宋体"/>
                <w:color w:val="auto"/>
                <w:szCs w:val="21"/>
                <w:lang w:val="en-US" w:eastAsia="zh-CN"/>
              </w:rPr>
            </w:pPr>
            <w:r>
              <w:rPr>
                <w:rFonts w:hint="eastAsia" w:cs="宋体"/>
                <w:color w:val="auto"/>
                <w:szCs w:val="21"/>
                <w:lang w:eastAsia="zh-CN"/>
              </w:rPr>
              <w:sym w:font="Wingdings 2" w:char="00A3"/>
            </w:r>
            <w:r>
              <w:rPr>
                <w:rFonts w:hint="eastAsia" w:cs="宋体"/>
                <w:color w:val="auto"/>
                <w:szCs w:val="21"/>
              </w:rPr>
              <w:t>是：</w:t>
            </w:r>
          </w:p>
        </w:tc>
        <w:tc>
          <w:tcPr>
            <w:tcW w:w="2330" w:type="dxa"/>
            <w:noWrap w:val="0"/>
            <w:tcMar>
              <w:top w:w="16" w:type="dxa"/>
              <w:left w:w="16" w:type="dxa"/>
              <w:right w:w="16" w:type="dxa"/>
            </w:tcMar>
            <w:vAlign w:val="center"/>
          </w:tcPr>
          <w:p w14:paraId="4DFCF92F">
            <w:pPr>
              <w:adjustRightInd w:val="0"/>
              <w:snapToGrid w:val="0"/>
              <w:jc w:val="center"/>
              <w:rPr>
                <w:rFonts w:hint="eastAsia" w:cs="宋体"/>
                <w:color w:val="auto"/>
                <w:szCs w:val="21"/>
              </w:rPr>
            </w:pPr>
            <w:r>
              <w:rPr>
                <w:rFonts w:hint="eastAsia" w:cs="宋体"/>
                <w:color w:val="auto"/>
                <w:szCs w:val="21"/>
              </w:rPr>
              <w:t>用地（用海）</w:t>
            </w:r>
          </w:p>
          <w:p w14:paraId="0D960F8A">
            <w:pPr>
              <w:adjustRightInd w:val="0"/>
              <w:snapToGrid w:val="0"/>
              <w:jc w:val="center"/>
              <w:rPr>
                <w:rFonts w:hint="eastAsia" w:cs="宋体"/>
                <w:color w:val="auto"/>
                <w:szCs w:val="21"/>
              </w:rPr>
            </w:pPr>
            <w:r>
              <w:rPr>
                <w:rFonts w:hint="eastAsia" w:cs="宋体"/>
                <w:color w:val="auto"/>
                <w:szCs w:val="21"/>
              </w:rPr>
              <w:t>面积（m</w:t>
            </w:r>
            <w:r>
              <w:rPr>
                <w:rFonts w:hint="eastAsia" w:cs="宋体"/>
                <w:color w:val="auto"/>
                <w:szCs w:val="21"/>
                <w:vertAlign w:val="superscript"/>
              </w:rPr>
              <w:t>2</w:t>
            </w:r>
            <w:r>
              <w:rPr>
                <w:rFonts w:hint="eastAsia" w:cs="宋体"/>
                <w:color w:val="auto"/>
                <w:szCs w:val="21"/>
              </w:rPr>
              <w:t>）</w:t>
            </w:r>
          </w:p>
        </w:tc>
        <w:tc>
          <w:tcPr>
            <w:tcW w:w="3063" w:type="dxa"/>
            <w:noWrap w:val="0"/>
            <w:vAlign w:val="center"/>
          </w:tcPr>
          <w:p w14:paraId="26CD2961">
            <w:pPr>
              <w:adjustRightInd w:val="0"/>
              <w:snapToGrid w:val="0"/>
              <w:jc w:val="center"/>
              <w:rPr>
                <w:rFonts w:hint="default" w:cs="宋体"/>
                <w:color w:val="auto"/>
                <w:szCs w:val="21"/>
                <w:lang w:val="en-US"/>
              </w:rPr>
            </w:pPr>
            <w:r>
              <w:rPr>
                <w:rFonts w:hint="eastAsia" w:cs="宋体"/>
                <w:color w:val="auto"/>
                <w:szCs w:val="21"/>
                <w:lang w:val="en-US" w:eastAsia="zh-CN"/>
              </w:rPr>
              <w:t>1364.21</w:t>
            </w:r>
          </w:p>
        </w:tc>
      </w:tr>
      <w:tr w14:paraId="1A14B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56" w:type="dxa"/>
            <w:noWrap w:val="0"/>
            <w:vAlign w:val="center"/>
          </w:tcPr>
          <w:p w14:paraId="25A56DD9">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7914" w:type="dxa"/>
            <w:gridSpan w:val="3"/>
            <w:noWrap w:val="0"/>
            <w:vAlign w:val="center"/>
          </w:tcPr>
          <w:p w14:paraId="23BB2083">
            <w:pPr>
              <w:autoSpaceDE w:val="0"/>
              <w:autoSpaceDN w:val="0"/>
              <w:adjustRightInd w:val="0"/>
              <w:snapToGrid w:val="0"/>
              <w:jc w:val="center"/>
              <w:rPr>
                <w:rFonts w:hint="eastAsia" w:cs="宋体"/>
                <w:color w:val="auto"/>
                <w:kern w:val="0"/>
                <w:szCs w:val="21"/>
              </w:rPr>
            </w:pPr>
            <w:r>
              <w:rPr>
                <w:rFonts w:hint="eastAsia" w:cs="宋体"/>
                <w:color w:val="auto"/>
                <w:kern w:val="0"/>
                <w:szCs w:val="21"/>
              </w:rPr>
              <w:t>无</w:t>
            </w:r>
          </w:p>
        </w:tc>
      </w:tr>
      <w:tr w14:paraId="4702A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7D5C4273">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szCs w:val="21"/>
              </w:rPr>
              <w:t>规划情况</w:t>
            </w:r>
          </w:p>
        </w:tc>
        <w:tc>
          <w:tcPr>
            <w:tcW w:w="7914" w:type="dxa"/>
            <w:gridSpan w:val="3"/>
            <w:noWrap w:val="0"/>
            <w:vAlign w:val="center"/>
          </w:tcPr>
          <w:p w14:paraId="333E7AF2">
            <w:pPr>
              <w:autoSpaceDE w:val="0"/>
              <w:autoSpaceDN w:val="0"/>
              <w:adjustRightInd w:val="0"/>
              <w:snapToGrid w:val="0"/>
              <w:spacing w:line="360" w:lineRule="auto"/>
              <w:rPr>
                <w:rFonts w:hint="eastAsia"/>
                <w:b w:val="0"/>
                <w:bCs/>
                <w:color w:val="auto"/>
                <w:szCs w:val="21"/>
              </w:rPr>
            </w:pPr>
            <w:r>
              <w:rPr>
                <w:b w:val="0"/>
                <w:bCs/>
                <w:color w:val="auto"/>
                <w:szCs w:val="21"/>
              </w:rPr>
              <w:t>规划文件1：《涟水县经济开发区控制性详细规划》</w:t>
            </w:r>
          </w:p>
          <w:p w14:paraId="467B886E">
            <w:pPr>
              <w:pStyle w:val="7"/>
              <w:rPr>
                <w:rFonts w:hint="eastAsia"/>
                <w:b w:val="0"/>
                <w:bCs/>
                <w:color w:val="auto"/>
                <w:kern w:val="2"/>
                <w:sz w:val="21"/>
                <w:szCs w:val="21"/>
                <w:lang w:val="en-US" w:eastAsia="zh-CN"/>
              </w:rPr>
            </w:pPr>
            <w:r>
              <w:rPr>
                <w:b w:val="0"/>
                <w:bCs/>
                <w:color w:val="auto"/>
                <w:kern w:val="2"/>
                <w:sz w:val="21"/>
                <w:szCs w:val="21"/>
                <w:lang w:val="en-US" w:eastAsia="zh-CN"/>
              </w:rPr>
              <w:t>批准机关及文号</w:t>
            </w:r>
            <w:r>
              <w:rPr>
                <w:rFonts w:hint="eastAsia"/>
                <w:b w:val="0"/>
                <w:bCs/>
                <w:color w:val="auto"/>
                <w:kern w:val="2"/>
                <w:sz w:val="21"/>
                <w:szCs w:val="21"/>
                <w:lang w:val="en-US" w:eastAsia="zh-CN"/>
              </w:rPr>
              <w:t>：</w:t>
            </w:r>
            <w:r>
              <w:rPr>
                <w:b w:val="0"/>
                <w:bCs/>
                <w:color w:val="auto"/>
                <w:kern w:val="2"/>
                <w:sz w:val="21"/>
                <w:szCs w:val="21"/>
                <w:lang w:val="en-US" w:eastAsia="zh-CN"/>
              </w:rPr>
              <w:t>涟水县人民政府、涟政复</w:t>
            </w:r>
            <w:r>
              <w:rPr>
                <w:rFonts w:hint="eastAsia"/>
                <w:b w:val="0"/>
                <w:bCs/>
                <w:color w:val="auto"/>
                <w:kern w:val="2"/>
                <w:sz w:val="21"/>
                <w:szCs w:val="21"/>
                <w:lang w:val="en-US" w:eastAsia="zh-CN"/>
              </w:rPr>
              <w:t>〔2007〕50号</w:t>
            </w:r>
          </w:p>
          <w:p w14:paraId="4AC4E8F6">
            <w:pPr>
              <w:autoSpaceDE w:val="0"/>
              <w:autoSpaceDN w:val="0"/>
              <w:adjustRightInd w:val="0"/>
              <w:snapToGrid w:val="0"/>
              <w:spacing w:line="360" w:lineRule="auto"/>
              <w:rPr>
                <w:b w:val="0"/>
                <w:bCs/>
                <w:color w:val="auto"/>
                <w:szCs w:val="21"/>
              </w:rPr>
            </w:pPr>
            <w:r>
              <w:rPr>
                <w:b w:val="0"/>
                <w:bCs/>
                <w:color w:val="auto"/>
                <w:szCs w:val="21"/>
              </w:rPr>
              <w:t>规划文件2：《涟水县城市总体规划（2013-2020）》</w:t>
            </w:r>
          </w:p>
          <w:p w14:paraId="49A237BB">
            <w:pPr>
              <w:autoSpaceDE w:val="0"/>
              <w:autoSpaceDN w:val="0"/>
              <w:adjustRightInd w:val="0"/>
              <w:snapToGrid w:val="0"/>
              <w:spacing w:line="360" w:lineRule="auto"/>
              <w:rPr>
                <w:b w:val="0"/>
                <w:bCs/>
                <w:color w:val="auto"/>
                <w:szCs w:val="21"/>
              </w:rPr>
            </w:pPr>
            <w:r>
              <w:rPr>
                <w:b w:val="0"/>
                <w:bCs/>
                <w:color w:val="auto"/>
                <w:szCs w:val="21"/>
              </w:rPr>
              <w:t>批准机关及文号</w:t>
            </w:r>
            <w:r>
              <w:rPr>
                <w:rFonts w:hint="eastAsia"/>
                <w:b w:val="0"/>
                <w:bCs/>
                <w:color w:val="auto"/>
                <w:szCs w:val="21"/>
                <w:lang w:eastAsia="zh-CN"/>
              </w:rPr>
              <w:t>：</w:t>
            </w:r>
            <w:r>
              <w:rPr>
                <w:b w:val="0"/>
                <w:bCs/>
                <w:color w:val="auto"/>
                <w:szCs w:val="21"/>
              </w:rPr>
              <w:t>淮安市人民政府、淮政复</w:t>
            </w:r>
            <w:r>
              <w:rPr>
                <w:rFonts w:hint="eastAsia"/>
                <w:b w:val="0"/>
                <w:bCs/>
                <w:color w:val="auto"/>
                <w:szCs w:val="21"/>
                <w:lang w:eastAsia="zh-CN"/>
              </w:rPr>
              <w:t>〔2016〕15号</w:t>
            </w:r>
          </w:p>
          <w:p w14:paraId="5BE26A89">
            <w:pPr>
              <w:autoSpaceDE w:val="0"/>
              <w:autoSpaceDN w:val="0"/>
              <w:adjustRightInd w:val="0"/>
              <w:snapToGrid w:val="0"/>
              <w:spacing w:line="360" w:lineRule="auto"/>
              <w:rPr>
                <w:rFonts w:cs="宋体"/>
                <w:color w:val="auto"/>
                <w:kern w:val="0"/>
                <w:szCs w:val="21"/>
              </w:rPr>
            </w:pPr>
            <w:r>
              <w:rPr>
                <w:rFonts w:hint="eastAsia"/>
                <w:b w:val="0"/>
                <w:bCs/>
                <w:color w:val="auto"/>
                <w:szCs w:val="21"/>
              </w:rPr>
              <w:t>规划文件3：《江苏涟水经济开发区开发建设规划（2022</w:t>
            </w:r>
            <w:r>
              <w:rPr>
                <w:rFonts w:hint="eastAsia"/>
                <w:b w:val="0"/>
                <w:bCs/>
                <w:color w:val="auto"/>
                <w:szCs w:val="21"/>
                <w:lang w:eastAsia="zh-CN"/>
              </w:rPr>
              <w:t>—</w:t>
            </w:r>
            <w:r>
              <w:rPr>
                <w:rFonts w:hint="eastAsia"/>
                <w:b w:val="0"/>
                <w:bCs/>
                <w:color w:val="auto"/>
                <w:szCs w:val="21"/>
              </w:rPr>
              <w:t>2035年）》</w:t>
            </w:r>
          </w:p>
        </w:tc>
      </w:tr>
      <w:tr w14:paraId="7C294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noWrap w:val="0"/>
            <w:vAlign w:val="center"/>
          </w:tcPr>
          <w:p w14:paraId="62F2926E">
            <w:pPr>
              <w:adjustRightInd w:val="0"/>
              <w:snapToGrid w:val="0"/>
              <w:jc w:val="center"/>
              <w:rPr>
                <w:rFonts w:ascii="宋体" w:hAnsi="宋体" w:cs="宋体"/>
                <w:color w:val="auto"/>
                <w:szCs w:val="21"/>
              </w:rPr>
            </w:pPr>
            <w:r>
              <w:rPr>
                <w:rFonts w:hint="eastAsia" w:ascii="宋体" w:hAnsi="宋体" w:cs="宋体"/>
                <w:color w:val="auto"/>
                <w:szCs w:val="21"/>
              </w:rPr>
              <w:t>规划环境影响</w:t>
            </w:r>
          </w:p>
          <w:p w14:paraId="587BA603">
            <w:pPr>
              <w:adjustRightInd w:val="0"/>
              <w:snapToGrid w:val="0"/>
              <w:jc w:val="center"/>
              <w:rPr>
                <w:rFonts w:hint="eastAsia" w:ascii="宋体" w:hAnsi="宋体" w:cs="宋体"/>
                <w:color w:val="auto"/>
                <w:kern w:val="0"/>
                <w:szCs w:val="21"/>
              </w:rPr>
            </w:pPr>
            <w:r>
              <w:rPr>
                <w:rFonts w:hint="eastAsia" w:ascii="宋体" w:hAnsi="宋体" w:cs="宋体"/>
                <w:color w:val="auto"/>
                <w:szCs w:val="21"/>
              </w:rPr>
              <w:t>评价情况</w:t>
            </w:r>
          </w:p>
        </w:tc>
        <w:tc>
          <w:tcPr>
            <w:tcW w:w="7914" w:type="dxa"/>
            <w:gridSpan w:val="3"/>
            <w:noWrap w:val="0"/>
            <w:vAlign w:val="center"/>
          </w:tcPr>
          <w:p w14:paraId="3C1E8256">
            <w:pPr>
              <w:autoSpaceDE w:val="0"/>
              <w:autoSpaceDN w:val="0"/>
              <w:adjustRightInd w:val="0"/>
              <w:snapToGrid w:val="0"/>
              <w:jc w:val="both"/>
              <w:rPr>
                <w:rFonts w:hint="eastAsia" w:cs="宋体"/>
                <w:color w:val="auto"/>
                <w:kern w:val="0"/>
                <w:szCs w:val="21"/>
              </w:rPr>
            </w:pPr>
            <w:r>
              <w:rPr>
                <w:rFonts w:hint="eastAsia" w:cs="宋体"/>
                <w:color w:val="auto"/>
                <w:kern w:val="0"/>
                <w:szCs w:val="21"/>
              </w:rPr>
              <w:t>规划环评文件名称：《江苏涟水经济开发区环境影响报告书》</w:t>
            </w:r>
          </w:p>
          <w:p w14:paraId="112BE98C">
            <w:pPr>
              <w:autoSpaceDE w:val="0"/>
              <w:autoSpaceDN w:val="0"/>
              <w:adjustRightInd w:val="0"/>
              <w:snapToGrid w:val="0"/>
              <w:jc w:val="both"/>
              <w:rPr>
                <w:rFonts w:hint="eastAsia" w:cs="宋体"/>
                <w:color w:val="auto"/>
                <w:kern w:val="0"/>
                <w:szCs w:val="21"/>
              </w:rPr>
            </w:pPr>
            <w:r>
              <w:rPr>
                <w:rFonts w:hint="eastAsia" w:cs="宋体"/>
                <w:color w:val="auto"/>
                <w:kern w:val="0"/>
                <w:szCs w:val="21"/>
              </w:rPr>
              <w:t>审查机关：</w:t>
            </w:r>
            <w:r>
              <w:rPr>
                <w:rFonts w:hint="eastAsia" w:cs="宋体"/>
                <w:color w:val="auto"/>
                <w:kern w:val="0"/>
                <w:szCs w:val="21"/>
                <w:lang w:val="en-US" w:eastAsia="zh-CN"/>
              </w:rPr>
              <w:t>原</w:t>
            </w:r>
            <w:r>
              <w:rPr>
                <w:rFonts w:hint="eastAsia" w:cs="宋体"/>
                <w:color w:val="auto"/>
                <w:kern w:val="0"/>
                <w:szCs w:val="21"/>
              </w:rPr>
              <w:t>江苏省环境保护厅</w:t>
            </w:r>
          </w:p>
          <w:p w14:paraId="2E626EC5">
            <w:pPr>
              <w:autoSpaceDE w:val="0"/>
              <w:autoSpaceDN w:val="0"/>
              <w:adjustRightInd w:val="0"/>
              <w:snapToGrid w:val="0"/>
              <w:jc w:val="both"/>
              <w:rPr>
                <w:rFonts w:hint="eastAsia" w:cs="宋体"/>
                <w:color w:val="auto"/>
                <w:kern w:val="0"/>
                <w:szCs w:val="21"/>
              </w:rPr>
            </w:pPr>
            <w:r>
              <w:rPr>
                <w:rFonts w:hint="eastAsia" w:cs="宋体"/>
                <w:color w:val="auto"/>
                <w:kern w:val="0"/>
                <w:szCs w:val="21"/>
              </w:rPr>
              <w:t>审查文件名称及文号：《关于对江苏涟水经济开发区环境影响报告书的批复》（苏环管〔2007〕173号）</w:t>
            </w:r>
          </w:p>
          <w:p w14:paraId="6E1F5E27">
            <w:pPr>
              <w:autoSpaceDE w:val="0"/>
              <w:autoSpaceDN w:val="0"/>
              <w:adjustRightInd w:val="0"/>
              <w:snapToGrid w:val="0"/>
              <w:jc w:val="both"/>
              <w:rPr>
                <w:rFonts w:hint="eastAsia" w:cs="宋体"/>
                <w:color w:val="auto"/>
                <w:kern w:val="0"/>
                <w:szCs w:val="21"/>
              </w:rPr>
            </w:pPr>
            <w:r>
              <w:rPr>
                <w:rFonts w:hint="eastAsia" w:cs="宋体"/>
                <w:color w:val="auto"/>
                <w:kern w:val="0"/>
                <w:szCs w:val="21"/>
              </w:rPr>
              <w:t>规划环评文件名称：《江苏涟水经济开发区片区规划环境影响跟踪评价报告书》</w:t>
            </w:r>
          </w:p>
          <w:p w14:paraId="6FA24A88">
            <w:pPr>
              <w:autoSpaceDE w:val="0"/>
              <w:autoSpaceDN w:val="0"/>
              <w:adjustRightInd w:val="0"/>
              <w:snapToGrid w:val="0"/>
              <w:jc w:val="both"/>
              <w:rPr>
                <w:rFonts w:hint="eastAsia" w:cs="宋体"/>
                <w:color w:val="auto"/>
                <w:kern w:val="0"/>
                <w:szCs w:val="21"/>
              </w:rPr>
            </w:pPr>
            <w:r>
              <w:rPr>
                <w:rFonts w:hint="eastAsia" w:cs="宋体"/>
                <w:color w:val="auto"/>
                <w:kern w:val="0"/>
                <w:szCs w:val="21"/>
              </w:rPr>
              <w:t>审查机关：</w:t>
            </w:r>
            <w:r>
              <w:rPr>
                <w:rFonts w:hint="eastAsia" w:cs="宋体"/>
                <w:color w:val="auto"/>
                <w:kern w:val="0"/>
                <w:szCs w:val="21"/>
                <w:lang w:val="en-US" w:eastAsia="zh-CN"/>
              </w:rPr>
              <w:t>原</w:t>
            </w:r>
            <w:r>
              <w:rPr>
                <w:rFonts w:hint="eastAsia" w:cs="宋体"/>
                <w:color w:val="auto"/>
                <w:kern w:val="0"/>
                <w:szCs w:val="21"/>
              </w:rPr>
              <w:t>江苏省环境保护厅</w:t>
            </w:r>
          </w:p>
          <w:p w14:paraId="0248D768">
            <w:pPr>
              <w:autoSpaceDE w:val="0"/>
              <w:autoSpaceDN w:val="0"/>
              <w:adjustRightInd w:val="0"/>
              <w:snapToGrid w:val="0"/>
              <w:jc w:val="both"/>
              <w:rPr>
                <w:rFonts w:hint="eastAsia" w:cs="宋体"/>
                <w:color w:val="auto"/>
                <w:kern w:val="0"/>
                <w:szCs w:val="21"/>
              </w:rPr>
            </w:pPr>
            <w:r>
              <w:rPr>
                <w:rFonts w:hint="eastAsia" w:cs="宋体"/>
                <w:color w:val="auto"/>
                <w:kern w:val="0"/>
                <w:szCs w:val="21"/>
              </w:rPr>
              <w:t>审查文件名称及文号：《关于对江苏涟水经济开发区片区规划环境影响跟踪评价报告书的审核意见》（苏环审〔2015〕51号）</w:t>
            </w:r>
          </w:p>
          <w:p w14:paraId="75152D9C">
            <w:pPr>
              <w:autoSpaceDE w:val="0"/>
              <w:autoSpaceDN w:val="0"/>
              <w:adjustRightInd w:val="0"/>
              <w:snapToGrid w:val="0"/>
              <w:jc w:val="both"/>
              <w:rPr>
                <w:rFonts w:hint="eastAsia" w:eastAsia="宋体" w:cs="宋体"/>
                <w:color w:val="auto"/>
                <w:kern w:val="0"/>
                <w:szCs w:val="21"/>
              </w:rPr>
            </w:pPr>
            <w:r>
              <w:rPr>
                <w:rFonts w:hint="eastAsia" w:eastAsia="宋体" w:cs="宋体"/>
                <w:color w:val="auto"/>
                <w:kern w:val="0"/>
                <w:szCs w:val="21"/>
              </w:rPr>
              <w:t>规划环评文件名称：《江苏涟水经济开发区开发建设规划</w:t>
            </w:r>
            <w:r>
              <w:rPr>
                <w:rFonts w:hint="eastAsia" w:eastAsia="宋体" w:cs="宋体"/>
                <w:color w:val="auto"/>
                <w:kern w:val="0"/>
                <w:szCs w:val="21"/>
                <w:lang w:eastAsia="zh-CN"/>
              </w:rPr>
              <w:t>（</w:t>
            </w:r>
            <w:r>
              <w:rPr>
                <w:rFonts w:hint="eastAsia" w:eastAsia="宋体" w:cs="宋体"/>
                <w:color w:val="auto"/>
                <w:kern w:val="0"/>
                <w:szCs w:val="21"/>
                <w:lang w:val="en-US" w:eastAsia="zh-CN"/>
              </w:rPr>
              <w:t>2022-2035</w:t>
            </w:r>
            <w:r>
              <w:rPr>
                <w:rFonts w:hint="eastAsia" w:eastAsia="宋体" w:cs="宋体"/>
                <w:color w:val="auto"/>
                <w:kern w:val="0"/>
                <w:szCs w:val="21"/>
                <w:lang w:eastAsia="zh-CN"/>
              </w:rPr>
              <w:t>）</w:t>
            </w:r>
            <w:r>
              <w:rPr>
                <w:rFonts w:hint="eastAsia" w:eastAsia="宋体" w:cs="宋体"/>
                <w:color w:val="auto"/>
                <w:kern w:val="0"/>
                <w:szCs w:val="21"/>
              </w:rPr>
              <w:t>环境影响报告书》</w:t>
            </w:r>
          </w:p>
          <w:p w14:paraId="274A77B7">
            <w:pPr>
              <w:autoSpaceDE w:val="0"/>
              <w:autoSpaceDN w:val="0"/>
              <w:adjustRightInd w:val="0"/>
              <w:snapToGrid w:val="0"/>
              <w:jc w:val="both"/>
              <w:rPr>
                <w:rFonts w:hint="eastAsia" w:eastAsia="宋体" w:cs="宋体"/>
                <w:color w:val="auto"/>
                <w:kern w:val="0"/>
                <w:szCs w:val="21"/>
              </w:rPr>
            </w:pPr>
            <w:r>
              <w:rPr>
                <w:rFonts w:hint="eastAsia" w:cs="宋体"/>
                <w:color w:val="auto"/>
                <w:kern w:val="0"/>
                <w:szCs w:val="21"/>
                <w:lang w:val="en-US" w:eastAsia="zh-CN"/>
              </w:rPr>
              <w:t>召集</w:t>
            </w:r>
            <w:r>
              <w:rPr>
                <w:rFonts w:hint="eastAsia" w:eastAsia="宋体" w:cs="宋体"/>
                <w:color w:val="auto"/>
                <w:kern w:val="0"/>
                <w:szCs w:val="21"/>
              </w:rPr>
              <w:t>审查机关：江苏省环境保护厅</w:t>
            </w:r>
          </w:p>
          <w:p w14:paraId="5DB46DD6">
            <w:pPr>
              <w:autoSpaceDE w:val="0"/>
              <w:autoSpaceDN w:val="0"/>
              <w:adjustRightInd w:val="0"/>
              <w:snapToGrid w:val="0"/>
              <w:jc w:val="both"/>
              <w:rPr>
                <w:rFonts w:hint="eastAsia"/>
                <w:color w:val="auto"/>
              </w:rPr>
            </w:pPr>
            <w:r>
              <w:rPr>
                <w:rFonts w:hint="eastAsia" w:eastAsia="宋体" w:cs="宋体"/>
                <w:color w:val="auto"/>
                <w:kern w:val="0"/>
                <w:szCs w:val="21"/>
              </w:rPr>
              <w:t>审查文件名称及文号：《</w:t>
            </w:r>
            <w:r>
              <w:rPr>
                <w:rFonts w:hint="eastAsia" w:eastAsia="宋体" w:cs="宋体"/>
                <w:color w:val="auto"/>
                <w:kern w:val="0"/>
                <w:szCs w:val="21"/>
                <w:lang w:val="en-US" w:eastAsia="zh-CN"/>
              </w:rPr>
              <w:t>关于江苏涟水经济开发区开发建设规划（2022</w:t>
            </w:r>
            <w:r>
              <w:rPr>
                <w:rFonts w:hint="eastAsia" w:cs="宋体"/>
                <w:color w:val="auto"/>
                <w:kern w:val="0"/>
                <w:szCs w:val="21"/>
                <w:lang w:val="en-US" w:eastAsia="zh-CN"/>
              </w:rPr>
              <w:t>—</w:t>
            </w:r>
            <w:r>
              <w:rPr>
                <w:rFonts w:hint="eastAsia" w:eastAsia="宋体" w:cs="宋体"/>
                <w:color w:val="auto"/>
                <w:kern w:val="0"/>
                <w:szCs w:val="21"/>
                <w:lang w:val="en-US" w:eastAsia="zh-CN"/>
              </w:rPr>
              <w:t>2035年）环境影响报告书的审查意见</w:t>
            </w:r>
            <w:r>
              <w:rPr>
                <w:rFonts w:hint="eastAsia" w:eastAsia="宋体" w:cs="宋体"/>
                <w:color w:val="auto"/>
                <w:kern w:val="0"/>
                <w:szCs w:val="21"/>
              </w:rPr>
              <w:t>》（苏环</w:t>
            </w:r>
            <w:r>
              <w:rPr>
                <w:rFonts w:hint="eastAsia" w:eastAsia="宋体" w:cs="宋体"/>
                <w:color w:val="auto"/>
                <w:kern w:val="0"/>
                <w:szCs w:val="21"/>
                <w:lang w:val="en-US" w:eastAsia="zh-CN"/>
              </w:rPr>
              <w:t>审</w:t>
            </w:r>
            <w:r>
              <w:rPr>
                <w:rFonts w:hint="eastAsia" w:eastAsia="宋体" w:cs="宋体"/>
                <w:color w:val="auto"/>
                <w:kern w:val="0"/>
                <w:szCs w:val="21"/>
              </w:rPr>
              <w:t>〔20</w:t>
            </w:r>
            <w:r>
              <w:rPr>
                <w:rFonts w:hint="eastAsia" w:eastAsia="宋体" w:cs="宋体"/>
                <w:color w:val="auto"/>
                <w:kern w:val="0"/>
                <w:szCs w:val="21"/>
                <w:lang w:val="en-US" w:eastAsia="zh-CN"/>
              </w:rPr>
              <w:t>23</w:t>
            </w:r>
            <w:r>
              <w:rPr>
                <w:rFonts w:hint="eastAsia" w:eastAsia="宋体" w:cs="宋体"/>
                <w:color w:val="auto"/>
                <w:kern w:val="0"/>
                <w:szCs w:val="21"/>
              </w:rPr>
              <w:t>〕</w:t>
            </w:r>
            <w:r>
              <w:rPr>
                <w:rFonts w:hint="eastAsia" w:eastAsia="宋体" w:cs="宋体"/>
                <w:color w:val="auto"/>
                <w:kern w:val="0"/>
                <w:szCs w:val="21"/>
                <w:lang w:val="en-US" w:eastAsia="zh-CN"/>
              </w:rPr>
              <w:t>81</w:t>
            </w:r>
            <w:r>
              <w:rPr>
                <w:rFonts w:hint="eastAsia" w:eastAsia="宋体" w:cs="宋体"/>
                <w:color w:val="auto"/>
                <w:kern w:val="0"/>
                <w:szCs w:val="21"/>
              </w:rPr>
              <w:t>号）</w:t>
            </w:r>
          </w:p>
        </w:tc>
      </w:tr>
      <w:tr w14:paraId="12F3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2B050FEE">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规划及规划环境影响评价符合性分析</w:t>
            </w:r>
          </w:p>
        </w:tc>
        <w:tc>
          <w:tcPr>
            <w:tcW w:w="7914" w:type="dxa"/>
            <w:gridSpan w:val="3"/>
            <w:noWrap w:val="0"/>
            <w:vAlign w:val="center"/>
          </w:tcPr>
          <w:p w14:paraId="5BF5B1F4">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涟水县工业园成立于2000年6月，总体规划面积7.16km</w:t>
            </w:r>
            <w:r>
              <w:rPr>
                <w:rFonts w:hint="eastAsia" w:ascii="Times New Roman" w:hAnsi="Times New Roman"/>
                <w:b w:val="0"/>
                <w:color w:val="auto"/>
                <w:sz w:val="24"/>
                <w:vertAlign w:val="superscript"/>
              </w:rPr>
              <w:t>2</w:t>
            </w:r>
            <w:r>
              <w:rPr>
                <w:rFonts w:hint="eastAsia" w:ascii="Times New Roman" w:hAnsi="Times New Roman"/>
                <w:b w:val="0"/>
                <w:color w:val="auto"/>
                <w:sz w:val="24"/>
              </w:rPr>
              <w:t>，其中启动区面积4.86km</w:t>
            </w:r>
            <w:r>
              <w:rPr>
                <w:rFonts w:hint="eastAsia" w:ascii="Times New Roman" w:hAnsi="Times New Roman"/>
                <w:b w:val="0"/>
                <w:color w:val="auto"/>
                <w:sz w:val="24"/>
                <w:vertAlign w:val="superscript"/>
              </w:rPr>
              <w:t>2</w:t>
            </w:r>
            <w:r>
              <w:rPr>
                <w:rFonts w:hint="eastAsia" w:ascii="Times New Roman" w:hAnsi="Times New Roman"/>
                <w:b w:val="0"/>
                <w:color w:val="auto"/>
                <w:sz w:val="24"/>
              </w:rPr>
              <w:t>。后根据《关于进一步核减现有各类开发区（园区）规划面积的函》（苏国土资传发〔2004〕28号文），涟水工业园规划面积由7.16km</w:t>
            </w:r>
            <w:r>
              <w:rPr>
                <w:rFonts w:hint="eastAsia" w:ascii="Times New Roman" w:hAnsi="Times New Roman"/>
                <w:b w:val="0"/>
                <w:color w:val="auto"/>
                <w:sz w:val="24"/>
                <w:vertAlign w:val="superscript"/>
              </w:rPr>
              <w:t>2</w:t>
            </w:r>
            <w:r>
              <w:rPr>
                <w:rFonts w:hint="eastAsia" w:ascii="Times New Roman" w:hAnsi="Times New Roman"/>
                <w:b w:val="0"/>
                <w:color w:val="auto"/>
                <w:sz w:val="24"/>
              </w:rPr>
              <w:t>核减为2.5km</w:t>
            </w:r>
            <w:r>
              <w:rPr>
                <w:rFonts w:hint="eastAsia" w:ascii="Times New Roman" w:hAnsi="Times New Roman"/>
                <w:b w:val="0"/>
                <w:color w:val="auto"/>
                <w:sz w:val="24"/>
                <w:vertAlign w:val="superscript"/>
              </w:rPr>
              <w:t>2</w:t>
            </w:r>
            <w:r>
              <w:rPr>
                <w:rFonts w:hint="eastAsia" w:ascii="Times New Roman" w:hAnsi="Times New Roman"/>
                <w:b w:val="0"/>
                <w:color w:val="auto"/>
                <w:sz w:val="24"/>
              </w:rPr>
              <w:t>，东至广陵路，南至淮河路南335米处，西至盐河，北至炎黄大道。2006年5月，根据</w:t>
            </w:r>
            <w:r>
              <w:rPr>
                <w:rFonts w:hint="eastAsia" w:ascii="Times New Roman" w:hAnsi="Times New Roman"/>
                <w:b w:val="0"/>
                <w:color w:val="auto"/>
                <w:sz w:val="24"/>
                <w:lang w:eastAsia="zh-CN"/>
              </w:rPr>
              <w:t>国家发展改革委〔2006〕37号</w:t>
            </w:r>
            <w:r>
              <w:rPr>
                <w:rFonts w:hint="eastAsia" w:ascii="Times New Roman" w:hAnsi="Times New Roman"/>
                <w:b w:val="0"/>
                <w:color w:val="auto"/>
                <w:sz w:val="24"/>
              </w:rPr>
              <w:t>公告，涟水工业园被确定为省级开发区，同时更名为江苏涟水经济开发区。《江苏涟水经济开发区环境影响报告书》于2007年8月14日通过原江苏省环境保护厅审批，2015年5月涟水经济开发区管委会委托江苏省环科咨询股份有限公司编制了《江苏涟水经济开发区片区规划环境影响跟踪评价报告书》，并获得省厅《关于对江苏涟水经济开发区片区规划环境影响跟踪评价报告书的审核意见》（苏环审〔2015〕51号）。2022年，管委会委托编制了《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w:t>
            </w:r>
            <w:r>
              <w:rPr>
                <w:rFonts w:hint="eastAsia" w:ascii="Times New Roman" w:hAnsi="Times New Roman"/>
                <w:b w:val="0"/>
                <w:color w:val="auto"/>
                <w:sz w:val="24"/>
                <w:lang w:eastAsia="zh-CN"/>
              </w:rPr>
              <w:t>》《</w:t>
            </w:r>
            <w:r>
              <w:rPr>
                <w:rFonts w:hint="eastAsia" w:ascii="Times New Roman" w:hAnsi="Times New Roman"/>
                <w:b w:val="0"/>
                <w:color w:val="auto"/>
                <w:sz w:val="24"/>
              </w:rPr>
              <w:t>江苏涟水经济开发区开发建设规划（2022-2035）环境影响报告书》于2023年10月获得了省生态环境厅《关于江苏涟水经济开发区开发建设规划（2022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2035年）环境影响报告书的审查意见》（苏环审〔2023〕81号）。</w:t>
            </w:r>
          </w:p>
          <w:p w14:paraId="16228018">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1、规划面积及规划范围</w:t>
            </w:r>
          </w:p>
          <w:p w14:paraId="3BDCBAB3">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2035年）》：规划总面积14.28km</w:t>
            </w:r>
            <w:r>
              <w:rPr>
                <w:rFonts w:hint="eastAsia" w:ascii="Times New Roman" w:hAnsi="Times New Roman"/>
                <w:b w:val="0"/>
                <w:color w:val="auto"/>
                <w:sz w:val="24"/>
                <w:vertAlign w:val="superscript"/>
              </w:rPr>
              <w:t>2</w:t>
            </w:r>
            <w:r>
              <w:rPr>
                <w:rFonts w:hint="eastAsia" w:ascii="Times New Roman" w:hAnsi="Times New Roman"/>
                <w:b w:val="0"/>
                <w:color w:val="auto"/>
                <w:sz w:val="24"/>
              </w:rPr>
              <w:t>，以盐河为界，分为东区2.9km</w:t>
            </w:r>
            <w:r>
              <w:rPr>
                <w:rFonts w:hint="eastAsia" w:ascii="Times New Roman" w:hAnsi="Times New Roman"/>
                <w:b w:val="0"/>
                <w:color w:val="auto"/>
                <w:sz w:val="24"/>
                <w:vertAlign w:val="superscript"/>
              </w:rPr>
              <w:t>2</w:t>
            </w:r>
            <w:r>
              <w:rPr>
                <w:rFonts w:hint="eastAsia" w:ascii="Times New Roman" w:hAnsi="Times New Roman"/>
                <w:b w:val="0"/>
                <w:color w:val="auto"/>
                <w:sz w:val="24"/>
              </w:rPr>
              <w:t>和西区11.38km</w:t>
            </w:r>
            <w:r>
              <w:rPr>
                <w:rFonts w:hint="eastAsia" w:ascii="Times New Roman" w:hAnsi="Times New Roman"/>
                <w:b w:val="0"/>
                <w:color w:val="auto"/>
                <w:sz w:val="24"/>
                <w:vertAlign w:val="superscript"/>
              </w:rPr>
              <w:t>2</w:t>
            </w:r>
            <w:r>
              <w:rPr>
                <w:rFonts w:hint="eastAsia" w:ascii="Times New Roman" w:hAnsi="Times New Roman"/>
                <w:b w:val="0"/>
                <w:color w:val="auto"/>
                <w:sz w:val="24"/>
              </w:rPr>
              <w:t>，规划范围为北达北环路，西临连淮扬镇铁路，南至清涟大道、渠北西路，东跨盐河至广陵路合围区域。</w:t>
            </w:r>
          </w:p>
          <w:p w14:paraId="1AA6AA1A">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本项目位于江苏省淮安市涟水经济开发区</w:t>
            </w:r>
            <w:r>
              <w:rPr>
                <w:rFonts w:hint="eastAsia" w:ascii="Times New Roman" w:hAnsi="Times New Roman"/>
                <w:b w:val="0"/>
                <w:color w:val="auto"/>
                <w:sz w:val="24"/>
                <w:lang w:val="en-US" w:eastAsia="zh-CN"/>
              </w:rPr>
              <w:t>炎黄大道99号</w:t>
            </w:r>
            <w:r>
              <w:rPr>
                <w:rFonts w:hint="eastAsia" w:ascii="Times New Roman" w:hAnsi="Times New Roman"/>
                <w:b w:val="0"/>
                <w:color w:val="auto"/>
                <w:sz w:val="24"/>
              </w:rPr>
              <w:t>，属于规划范围内的西区</w:t>
            </w:r>
            <w:r>
              <w:rPr>
                <w:rFonts w:hint="eastAsia" w:ascii="Times New Roman" w:hAnsi="Times New Roman"/>
                <w:b w:val="0"/>
                <w:color w:val="auto"/>
                <w:sz w:val="24"/>
                <w:lang w:eastAsia="zh-CN"/>
              </w:rPr>
              <w:t>，</w:t>
            </w:r>
            <w:r>
              <w:rPr>
                <w:rFonts w:hint="eastAsia" w:ascii="Times New Roman" w:hAnsi="Times New Roman"/>
                <w:b w:val="0"/>
                <w:color w:val="auto"/>
                <w:sz w:val="24"/>
                <w:lang w:val="en-US" w:eastAsia="zh-CN"/>
              </w:rPr>
              <w:t>具体位置关系见附图5</w:t>
            </w:r>
            <w:r>
              <w:rPr>
                <w:rFonts w:hint="eastAsia" w:ascii="Times New Roman" w:hAnsi="Times New Roman"/>
                <w:b w:val="0"/>
                <w:color w:val="auto"/>
                <w:sz w:val="24"/>
              </w:rPr>
              <w:t>。</w:t>
            </w:r>
          </w:p>
          <w:p w14:paraId="04F8DA44">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2、产业定位和布局</w:t>
            </w:r>
          </w:p>
          <w:p w14:paraId="34608DC3">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高质量推动“项目引建、产业转型、园区升级”三大突破，培育构建装备制造、纺织服装、电子信息、绿色食品4大主导产业，实施“腾笼换鸟”，优化产业布局，形成四大主导产业组团，即装备制造产业组团、纺织服装产业组团、电子信息产业组团、绿色食品产业组团。本次规划将保留符合上一轮规划产业定位的企业。随着新一轮规划的实施，开发区将不再鼓励引进建材、医药等行业企业。</w:t>
            </w:r>
          </w:p>
          <w:p w14:paraId="69D8E31F">
            <w:pPr>
              <w:pStyle w:val="5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表1-1 江苏涟水经济开发区产业准入条件及空间布局约束</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17"/>
              <w:gridCol w:w="6586"/>
            </w:tblGrid>
            <w:tr w14:paraId="3E08F6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21" w:type="pct"/>
                  <w:gridSpan w:val="2"/>
                  <w:tcBorders>
                    <w:tl2br w:val="nil"/>
                    <w:tr2bl w:val="nil"/>
                  </w:tcBorders>
                  <w:vAlign w:val="center"/>
                </w:tcPr>
                <w:p w14:paraId="3E23948A">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类别</w:t>
                  </w:r>
                </w:p>
              </w:tc>
              <w:tc>
                <w:tcPr>
                  <w:tcW w:w="4278" w:type="pct"/>
                  <w:tcBorders>
                    <w:tl2br w:val="nil"/>
                    <w:tr2bl w:val="nil"/>
                  </w:tcBorders>
                  <w:vAlign w:val="center"/>
                </w:tcPr>
                <w:p w14:paraId="147315C4">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环境准入条件</w:t>
                  </w:r>
                </w:p>
              </w:tc>
            </w:tr>
            <w:tr w14:paraId="4B698B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restart"/>
                  <w:tcBorders>
                    <w:tl2br w:val="nil"/>
                    <w:tr2bl w:val="nil"/>
                  </w:tcBorders>
                  <w:vAlign w:val="center"/>
                </w:tcPr>
                <w:p w14:paraId="27EAB435">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产业准入</w:t>
                  </w:r>
                </w:p>
              </w:tc>
              <w:tc>
                <w:tcPr>
                  <w:tcW w:w="465" w:type="pct"/>
                  <w:tcBorders>
                    <w:tl2br w:val="nil"/>
                    <w:tr2bl w:val="nil"/>
                  </w:tcBorders>
                  <w:vAlign w:val="center"/>
                </w:tcPr>
                <w:p w14:paraId="09A2141A">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主导产业</w:t>
                  </w:r>
                </w:p>
              </w:tc>
              <w:tc>
                <w:tcPr>
                  <w:tcW w:w="4278" w:type="pct"/>
                  <w:tcBorders>
                    <w:tl2br w:val="nil"/>
                    <w:tr2bl w:val="nil"/>
                  </w:tcBorders>
                  <w:vAlign w:val="center"/>
                </w:tcPr>
                <w:p w14:paraId="5D8EF1CC">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主要发展装备制造、纺织服装、电子信息、绿色食品4大主导产业。保留符合上一轮规划产业定位的企业，禁止引进建材、医药等行业企业。</w:t>
                  </w:r>
                </w:p>
              </w:tc>
            </w:tr>
            <w:tr w14:paraId="5D79DC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4F650D43">
                  <w:pPr>
                    <w:pStyle w:val="30"/>
                    <w:bidi w:val="0"/>
                    <w:rPr>
                      <w:rFonts w:hint="default" w:ascii="Times New Roman" w:hAnsi="Times New Roman" w:cs="Times New Roman"/>
                      <w:b w:val="0"/>
                      <w:bCs w:val="0"/>
                      <w:color w:val="auto"/>
                      <w:lang w:val="en-US" w:eastAsia="zh-CN"/>
                    </w:rPr>
                  </w:pPr>
                </w:p>
              </w:tc>
              <w:tc>
                <w:tcPr>
                  <w:tcW w:w="465" w:type="pct"/>
                  <w:vMerge w:val="restart"/>
                  <w:tcBorders>
                    <w:tl2br w:val="nil"/>
                    <w:tr2bl w:val="nil"/>
                  </w:tcBorders>
                  <w:vAlign w:val="center"/>
                </w:tcPr>
                <w:p w14:paraId="5D528AD7">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禁止引入</w:t>
                  </w:r>
                </w:p>
              </w:tc>
              <w:tc>
                <w:tcPr>
                  <w:tcW w:w="4278" w:type="pct"/>
                  <w:tcBorders>
                    <w:tl2br w:val="nil"/>
                    <w:tr2bl w:val="nil"/>
                  </w:tcBorders>
                  <w:vAlign w:val="center"/>
                </w:tcPr>
                <w:p w14:paraId="0CB319CC">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1、含酿造工艺的项目。</w:t>
                  </w:r>
                </w:p>
              </w:tc>
            </w:tr>
            <w:tr w14:paraId="18C4C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3BF8D43D">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7E289146">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1276AF3E">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2、使用高VOCs含量的溶剂型涂料、油墨、</w:t>
                  </w:r>
                  <w:r>
                    <w:rPr>
                      <w:rFonts w:hint="eastAsia" w:ascii="Times New Roman" w:cs="Times New Roman"/>
                      <w:color w:val="auto"/>
                      <w:lang w:val="en-US" w:eastAsia="zh-CN"/>
                    </w:rPr>
                    <w:t>胶黏剂</w:t>
                  </w:r>
                  <w:r>
                    <w:rPr>
                      <w:rFonts w:hint="default" w:ascii="Times New Roman" w:hAnsi="Times New Roman" w:cs="Times New Roman"/>
                      <w:color w:val="auto"/>
                      <w:lang w:val="en-US" w:eastAsia="zh-CN"/>
                    </w:rPr>
                    <w:t>等项目。</w:t>
                  </w:r>
                </w:p>
              </w:tc>
            </w:tr>
            <w:tr w14:paraId="745AA5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F3D5181">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2AE48995">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49A3C5ED">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3、新建排放铅、汞、铬、镉和类金属砷的项目。</w:t>
                  </w:r>
                </w:p>
              </w:tc>
            </w:tr>
            <w:tr w14:paraId="37A12B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7FA62C22">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408A7F1A">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14CA7EE4">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4、属于《淮河流域水污染防治暂行条例》中禁止的项目。</w:t>
                  </w:r>
                </w:p>
              </w:tc>
            </w:tr>
            <w:tr w14:paraId="0F570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tcBorders>
                    <w:tl2br w:val="nil"/>
                    <w:tr2bl w:val="nil"/>
                  </w:tcBorders>
                  <w:vAlign w:val="center"/>
                </w:tcPr>
                <w:p w14:paraId="3A82860D">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48935E80">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8810EF7">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5、属于《环境保护综合名录（2021年版</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》中</w:t>
                  </w:r>
                  <w:r>
                    <w:rPr>
                      <w:rFonts w:hint="eastAsia" w:ascii="Times New Roman" w:cs="Times New Roman"/>
                      <w:color w:val="auto"/>
                      <w:lang w:val="en-US" w:eastAsia="zh-CN"/>
                    </w:rPr>
                    <w:t>“</w:t>
                  </w:r>
                  <w:r>
                    <w:rPr>
                      <w:rFonts w:hint="default" w:ascii="Times New Roman" w:hAnsi="Times New Roman" w:cs="Times New Roman"/>
                      <w:color w:val="auto"/>
                      <w:lang w:val="en-US" w:eastAsia="zh-CN"/>
                    </w:rPr>
                    <w:t>高污染、高环境风险</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产品名录的项目；国家和地方产业政策规定的淘汰类或禁止类的建设项目和工艺。</w:t>
                  </w:r>
                </w:p>
              </w:tc>
            </w:tr>
            <w:tr w14:paraId="386D8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6A64FDD7">
                  <w:pPr>
                    <w:pStyle w:val="30"/>
                    <w:bidi w:val="0"/>
                    <w:rPr>
                      <w:rFonts w:hint="default" w:ascii="Times New Roman" w:hAnsi="Times New Roman" w:cs="Times New Roman"/>
                      <w:b w:val="0"/>
                      <w:bCs w:val="0"/>
                      <w:color w:val="auto"/>
                      <w:lang w:val="en-US" w:eastAsia="zh-CN"/>
                    </w:rPr>
                  </w:pPr>
                </w:p>
              </w:tc>
              <w:tc>
                <w:tcPr>
                  <w:tcW w:w="465" w:type="pct"/>
                  <w:vMerge w:val="restart"/>
                  <w:tcBorders>
                    <w:tl2br w:val="nil"/>
                    <w:tr2bl w:val="nil"/>
                  </w:tcBorders>
                  <w:vAlign w:val="center"/>
                </w:tcPr>
                <w:p w14:paraId="2163FBDF">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限制引入</w:t>
                  </w:r>
                </w:p>
              </w:tc>
              <w:tc>
                <w:tcPr>
                  <w:tcW w:w="4278" w:type="pct"/>
                  <w:tcBorders>
                    <w:tl2br w:val="nil"/>
                    <w:tr2bl w:val="nil"/>
                  </w:tcBorders>
                  <w:vAlign w:val="center"/>
                </w:tcPr>
                <w:p w14:paraId="04255B6D">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1、《产业结构调整指导目录》及修订、《江苏省工业和信息产业结构调整限制淘汰目录和能耗限额》中限制项目。</w:t>
                  </w:r>
                </w:p>
              </w:tc>
            </w:tr>
            <w:tr w14:paraId="2A39B3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716BF06">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5E2EFBCF">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0C8BD7A">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2、污染治理措施达不到《挥发性有机物（VOCs）污染防治技术政策》、</w:t>
                  </w:r>
                </w:p>
                <w:p w14:paraId="10665CD3">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《江苏省重点行业挥发性有机物污染控制指南》等要求的项目。</w:t>
                  </w:r>
                </w:p>
              </w:tc>
            </w:tr>
            <w:tr w14:paraId="73D780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3F4FEEF9">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7C175437">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06C9A64A">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3、属于《淮河流域水污染防治暂行条例》中限制的项目。</w:t>
                  </w:r>
                </w:p>
              </w:tc>
            </w:tr>
            <w:tr w14:paraId="08B3BD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440048D3">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65F0928F">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33D38B9">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4、开发区印染排水量不得突破7000吨/日。</w:t>
                  </w:r>
                </w:p>
              </w:tc>
            </w:tr>
            <w:tr w14:paraId="5494E7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restart"/>
                  <w:tcBorders>
                    <w:tl2br w:val="nil"/>
                    <w:tr2bl w:val="nil"/>
                  </w:tcBorders>
                  <w:vAlign w:val="center"/>
                </w:tcPr>
                <w:p w14:paraId="603A8FDF">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空间布局约束</w:t>
                  </w:r>
                </w:p>
              </w:tc>
              <w:tc>
                <w:tcPr>
                  <w:tcW w:w="4278" w:type="pct"/>
                  <w:tcBorders>
                    <w:tl2br w:val="nil"/>
                    <w:tr2bl w:val="nil"/>
                  </w:tcBorders>
                  <w:vAlign w:val="center"/>
                </w:tcPr>
                <w:p w14:paraId="4D48ADB2">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落实江苏省、淮安市</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三线一单</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江苏省生态空间管控区域规划</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江苏省国家级生态保护红线规划</w:t>
                  </w:r>
                  <w:r>
                    <w:rPr>
                      <w:rFonts w:hint="eastAsia" w:ascii="Times New Roman" w:cs="Times New Roman"/>
                      <w:color w:val="auto"/>
                      <w:lang w:val="en-US" w:eastAsia="zh-CN"/>
                    </w:rPr>
                    <w:t>》等</w:t>
                  </w:r>
                  <w:r>
                    <w:rPr>
                      <w:rFonts w:hint="default" w:ascii="Times New Roman" w:hAnsi="Times New Roman" w:cs="Times New Roman"/>
                      <w:color w:val="auto"/>
                      <w:lang w:val="en-US" w:eastAsia="zh-CN"/>
                    </w:rPr>
                    <w:t>管控要求。</w:t>
                  </w:r>
                </w:p>
              </w:tc>
            </w:tr>
            <w:tr w14:paraId="3C1EC8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3F8F61C3">
                  <w:pPr>
                    <w:pStyle w:val="30"/>
                    <w:bidi w:val="0"/>
                    <w:rPr>
                      <w:rFonts w:hint="default" w:ascii="Times New Roman" w:hAnsi="Times New Roman" w:cs="Times New Roman"/>
                      <w:color w:val="auto"/>
                      <w:lang w:val="en-US" w:eastAsia="zh-CN"/>
                    </w:rPr>
                  </w:pPr>
                </w:p>
              </w:tc>
              <w:tc>
                <w:tcPr>
                  <w:tcW w:w="4278" w:type="pct"/>
                  <w:tcBorders>
                    <w:tl2br w:val="nil"/>
                    <w:tr2bl w:val="nil"/>
                  </w:tcBorders>
                  <w:vAlign w:val="center"/>
                </w:tcPr>
                <w:p w14:paraId="62BEF1B5">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区内规划的水域和防护绿地，禁止与环境保护功能无关的建设活动。</w:t>
                  </w:r>
                </w:p>
              </w:tc>
            </w:tr>
            <w:tr w14:paraId="3D5D6F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6B0B5B3E">
                  <w:pPr>
                    <w:pStyle w:val="30"/>
                    <w:bidi w:val="0"/>
                    <w:rPr>
                      <w:rFonts w:hint="default" w:ascii="Times New Roman" w:hAnsi="Times New Roman" w:cs="Times New Roman"/>
                      <w:color w:val="auto"/>
                      <w:lang w:val="en-US" w:eastAsia="zh-CN"/>
                    </w:rPr>
                  </w:pPr>
                </w:p>
              </w:tc>
              <w:tc>
                <w:tcPr>
                  <w:tcW w:w="4278" w:type="pct"/>
                  <w:tcBorders>
                    <w:tl2br w:val="nil"/>
                    <w:tr2bl w:val="nil"/>
                  </w:tcBorders>
                  <w:vAlign w:val="center"/>
                </w:tcPr>
                <w:p w14:paraId="6634D5FD">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工业用地与居住用地、商住混合用地、学校之间须设置适当的空间隔离带。</w:t>
                  </w:r>
                </w:p>
              </w:tc>
            </w:tr>
          </w:tbl>
          <w:p w14:paraId="38AFDDE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Times New Roman" w:hAnsi="Times New Roman" w:eastAsia="宋体"/>
                <w:b w:val="0"/>
                <w:color w:val="auto"/>
                <w:sz w:val="24"/>
                <w:lang w:eastAsia="zh-CN"/>
              </w:rPr>
            </w:pPr>
            <w:r>
              <w:rPr>
                <w:rFonts w:hint="eastAsia" w:ascii="Times New Roman" w:hAnsi="Times New Roman"/>
                <w:b w:val="0"/>
                <w:color w:val="auto"/>
                <w:sz w:val="24"/>
              </w:rPr>
              <w:t>本项目为</w:t>
            </w:r>
            <w:r>
              <w:rPr>
                <w:rFonts w:hint="eastAsia" w:ascii="Times New Roman" w:hAnsi="Times New Roman"/>
                <w:b w:val="0"/>
                <w:color w:val="auto"/>
                <w:sz w:val="24"/>
                <w:lang w:val="en-US" w:eastAsia="zh-CN"/>
              </w:rPr>
              <w:t>涟水呈颖模塑有限公司年产50万件塑料手柄加工项目</w:t>
            </w:r>
            <w:r>
              <w:rPr>
                <w:rFonts w:hint="eastAsia" w:ascii="Times New Roman" w:hAnsi="Times New Roman"/>
                <w:b w:val="0"/>
                <w:color w:val="auto"/>
                <w:sz w:val="24"/>
              </w:rPr>
              <w:t>，行业类别属于C2929塑料零件及其他塑料制品制造</w:t>
            </w:r>
            <w:r>
              <w:rPr>
                <w:rFonts w:hint="eastAsia" w:ascii="Times New Roman" w:hAnsi="Times New Roman"/>
                <w:b w:val="0"/>
                <w:color w:val="auto"/>
                <w:sz w:val="24"/>
                <w:lang w:val="en-US" w:eastAsia="zh-CN"/>
              </w:rPr>
              <w:t>和</w:t>
            </w:r>
            <w:r>
              <w:rPr>
                <w:rFonts w:hint="eastAsia" w:ascii="Times New Roman" w:hAnsi="Times New Roman"/>
                <w:b w:val="0"/>
                <w:color w:val="auto"/>
                <w:sz w:val="24"/>
                <w:lang w:eastAsia="zh-CN"/>
              </w:rPr>
              <w:t>C3062玻璃纤维增强塑料制品制造</w:t>
            </w:r>
            <w:r>
              <w:rPr>
                <w:rFonts w:hint="eastAsia" w:ascii="Times New Roman" w:hAnsi="Times New Roman"/>
                <w:b w:val="0"/>
                <w:color w:val="auto"/>
                <w:sz w:val="24"/>
              </w:rPr>
              <w:t>，本项目不属于园区主导产业，也不属于园区禁止引入和</w:t>
            </w:r>
            <w:r>
              <w:rPr>
                <w:rFonts w:hint="eastAsia" w:ascii="Times New Roman" w:hAnsi="Times New Roman"/>
                <w:b w:val="0"/>
                <w:color w:val="auto"/>
                <w:sz w:val="24"/>
                <w:lang w:val="en-US" w:eastAsia="zh-CN"/>
              </w:rPr>
              <w:t>限制</w:t>
            </w:r>
            <w:r>
              <w:rPr>
                <w:rFonts w:hint="eastAsia" w:ascii="Times New Roman" w:hAnsi="Times New Roman"/>
                <w:b w:val="0"/>
                <w:color w:val="auto"/>
                <w:sz w:val="24"/>
              </w:rPr>
              <w:t>引入的产业，属于允许引入产业，符合园区产业准入条件，项目位于江苏涟水经济开发区炎黄大道99号上水创业园28号厂房，属于工业用地，符合园区用地规划要求</w:t>
            </w:r>
            <w:r>
              <w:rPr>
                <w:rFonts w:hint="eastAsia" w:ascii="Times New Roman" w:hAnsi="Times New Roman"/>
                <w:b w:val="0"/>
                <w:color w:val="auto"/>
                <w:sz w:val="24"/>
                <w:lang w:eastAsia="zh-CN"/>
              </w:rPr>
              <w:t>。</w:t>
            </w:r>
          </w:p>
          <w:p w14:paraId="42CB3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z w:val="24"/>
                <w:szCs w:val="24"/>
              </w:rPr>
            </w:pPr>
            <w:r>
              <w:rPr>
                <w:rFonts w:hint="eastAsia"/>
                <w:b w:val="0"/>
                <w:bCs w:val="0"/>
                <w:color w:val="auto"/>
                <w:sz w:val="24"/>
                <w:szCs w:val="24"/>
                <w:lang w:val="en-US" w:eastAsia="zh-CN"/>
              </w:rPr>
              <w:t>3</w:t>
            </w:r>
            <w:r>
              <w:rPr>
                <w:rFonts w:hint="eastAsia"/>
                <w:b w:val="0"/>
                <w:bCs w:val="0"/>
                <w:color w:val="auto"/>
                <w:sz w:val="24"/>
                <w:szCs w:val="24"/>
              </w:rPr>
              <w:t>、</w:t>
            </w:r>
            <w:r>
              <w:rPr>
                <w:b w:val="0"/>
                <w:bCs w:val="0"/>
                <w:color w:val="auto"/>
                <w:sz w:val="24"/>
                <w:szCs w:val="24"/>
              </w:rPr>
              <w:t>与园区规划环评审查意见相符性分析</w:t>
            </w:r>
          </w:p>
          <w:p w14:paraId="02D6E1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涟水</w:t>
            </w:r>
            <w:r>
              <w:rPr>
                <w:rFonts w:hint="eastAsia"/>
                <w:color w:val="auto"/>
                <w:sz w:val="24"/>
                <w:szCs w:val="24"/>
                <w:lang w:val="en-US" w:eastAsia="zh-CN"/>
              </w:rPr>
              <w:t>经济</w:t>
            </w:r>
            <w:r>
              <w:rPr>
                <w:color w:val="auto"/>
                <w:sz w:val="24"/>
                <w:szCs w:val="24"/>
              </w:rPr>
              <w:t>开发区于20</w:t>
            </w:r>
            <w:r>
              <w:rPr>
                <w:rFonts w:hint="eastAsia"/>
                <w:color w:val="auto"/>
                <w:sz w:val="24"/>
                <w:szCs w:val="24"/>
                <w:lang w:val="en-US" w:eastAsia="zh-CN"/>
              </w:rPr>
              <w:t>23</w:t>
            </w:r>
            <w:r>
              <w:rPr>
                <w:color w:val="auto"/>
                <w:sz w:val="24"/>
                <w:szCs w:val="24"/>
              </w:rPr>
              <w:t>年</w:t>
            </w:r>
            <w:r>
              <w:rPr>
                <w:rFonts w:hint="eastAsia"/>
                <w:color w:val="auto"/>
                <w:sz w:val="24"/>
                <w:szCs w:val="24"/>
                <w:lang w:val="en-US" w:eastAsia="zh-CN"/>
              </w:rPr>
              <w:t>10</w:t>
            </w:r>
            <w:r>
              <w:rPr>
                <w:color w:val="auto"/>
                <w:sz w:val="24"/>
                <w:szCs w:val="24"/>
              </w:rPr>
              <w:t>月取得了江苏省环保厅《关于江苏涟水经济开发区</w:t>
            </w:r>
            <w:r>
              <w:rPr>
                <w:rFonts w:hint="eastAsia"/>
                <w:color w:val="auto"/>
                <w:sz w:val="24"/>
                <w:szCs w:val="24"/>
                <w:lang w:val="en-US" w:eastAsia="zh-CN"/>
              </w:rPr>
              <w:t>开发建设规划（2022—2035年）环境影响报告书</w:t>
            </w:r>
            <w:r>
              <w:rPr>
                <w:color w:val="auto"/>
                <w:sz w:val="24"/>
                <w:szCs w:val="24"/>
              </w:rPr>
              <w:t>的审核意见》</w:t>
            </w:r>
            <w:r>
              <w:rPr>
                <w:rFonts w:hint="eastAsia"/>
                <w:color w:val="auto"/>
                <w:sz w:val="24"/>
                <w:szCs w:val="24"/>
                <w:lang w:eastAsia="zh-CN"/>
              </w:rPr>
              <w:t>（</w:t>
            </w:r>
            <w:r>
              <w:rPr>
                <w:color w:val="auto"/>
                <w:sz w:val="24"/>
                <w:szCs w:val="24"/>
              </w:rPr>
              <w:t>苏环审</w:t>
            </w:r>
            <w:r>
              <w:rPr>
                <w:rFonts w:hint="eastAsia"/>
                <w:color w:val="auto"/>
                <w:sz w:val="24"/>
                <w:szCs w:val="24"/>
                <w:lang w:eastAsia="zh-CN"/>
              </w:rPr>
              <w:t>〔</w:t>
            </w:r>
            <w:r>
              <w:rPr>
                <w:color w:val="auto"/>
                <w:sz w:val="24"/>
                <w:szCs w:val="24"/>
              </w:rPr>
              <w:t>20</w:t>
            </w:r>
            <w:r>
              <w:rPr>
                <w:rFonts w:hint="eastAsia"/>
                <w:color w:val="auto"/>
                <w:sz w:val="24"/>
                <w:szCs w:val="24"/>
                <w:lang w:val="en-US" w:eastAsia="zh-CN"/>
              </w:rPr>
              <w:t>23</w:t>
            </w:r>
            <w:r>
              <w:rPr>
                <w:rFonts w:hint="eastAsia"/>
                <w:color w:val="auto"/>
                <w:sz w:val="24"/>
                <w:szCs w:val="24"/>
                <w:lang w:eastAsia="zh-CN"/>
              </w:rPr>
              <w:t>〕</w:t>
            </w:r>
            <w:r>
              <w:rPr>
                <w:rFonts w:hint="eastAsia"/>
                <w:color w:val="auto"/>
                <w:sz w:val="24"/>
                <w:szCs w:val="24"/>
                <w:lang w:val="en-US" w:eastAsia="zh-CN"/>
              </w:rPr>
              <w:t>8</w:t>
            </w:r>
            <w:r>
              <w:rPr>
                <w:color w:val="auto"/>
                <w:sz w:val="24"/>
                <w:szCs w:val="24"/>
              </w:rPr>
              <w:t>1号</w:t>
            </w:r>
            <w:r>
              <w:rPr>
                <w:rFonts w:hint="eastAsia"/>
                <w:color w:val="auto"/>
                <w:sz w:val="24"/>
                <w:szCs w:val="24"/>
                <w:lang w:eastAsia="zh-CN"/>
              </w:rPr>
              <w:t>），</w:t>
            </w:r>
            <w:r>
              <w:rPr>
                <w:color w:val="auto"/>
                <w:sz w:val="24"/>
                <w:szCs w:val="24"/>
              </w:rPr>
              <w:t>审查意见与本项目相符性分析见下表。</w:t>
            </w:r>
          </w:p>
          <w:p w14:paraId="563DF16C">
            <w:pPr>
              <w:pStyle w:val="51"/>
              <w:keepNext w:val="0"/>
              <w:keepLines w:val="0"/>
              <w:pageBreakBefore w:val="0"/>
              <w:widowControl/>
              <w:kinsoku/>
              <w:wordWrap/>
              <w:overflowPunct/>
              <w:topLinePunct w:val="0"/>
              <w:autoSpaceDE/>
              <w:autoSpaceDN/>
              <w:bidi w:val="0"/>
              <w:adjustRightInd/>
              <w:snapToGrid/>
              <w:textAlignment w:val="auto"/>
              <w:rPr>
                <w:color w:val="auto"/>
              </w:rPr>
            </w:pPr>
            <w:r>
              <w:rPr>
                <w:color w:val="auto"/>
              </w:rPr>
              <w:t>表1-</w:t>
            </w:r>
            <w:r>
              <w:rPr>
                <w:rFonts w:hint="eastAsia"/>
                <w:color w:val="auto"/>
                <w:lang w:val="en-US" w:eastAsia="zh-CN"/>
              </w:rPr>
              <w:t>2</w:t>
            </w:r>
            <w:r>
              <w:rPr>
                <w:color w:val="auto"/>
              </w:rPr>
              <w:t xml:space="preserve"> 审查意见与本项目相符性分析</w:t>
            </w:r>
          </w:p>
          <w:tbl>
            <w:tblPr>
              <w:tblStyle w:val="22"/>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
              <w:gridCol w:w="4785"/>
              <w:gridCol w:w="1890"/>
              <w:gridCol w:w="662"/>
            </w:tblGrid>
            <w:tr w14:paraId="544D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top w:val="single" w:color="auto" w:sz="12" w:space="0"/>
                    <w:left w:val="nil"/>
                    <w:bottom w:val="single" w:color="auto" w:sz="8" w:space="0"/>
                  </w:tcBorders>
                  <w:noWrap w:val="0"/>
                  <w:vAlign w:val="center"/>
                </w:tcPr>
                <w:p w14:paraId="42727AE6">
                  <w:pPr>
                    <w:pStyle w:val="30"/>
                    <w:bidi w:val="0"/>
                    <w:rPr>
                      <w:rFonts w:hint="default" w:ascii="Times New Roman" w:hAnsi="Times New Roman" w:cs="Times New Roman"/>
                      <w:color w:val="auto"/>
                    </w:rPr>
                  </w:pPr>
                  <w:r>
                    <w:rPr>
                      <w:rFonts w:hint="default" w:ascii="Times New Roman" w:hAnsi="Times New Roman" w:cs="Times New Roman"/>
                      <w:color w:val="auto"/>
                    </w:rPr>
                    <w:t>序号</w:t>
                  </w:r>
                </w:p>
              </w:tc>
              <w:tc>
                <w:tcPr>
                  <w:tcW w:w="3125" w:type="pct"/>
                  <w:tcBorders>
                    <w:top w:val="single" w:color="auto" w:sz="12" w:space="0"/>
                    <w:bottom w:val="single" w:color="auto" w:sz="8" w:space="0"/>
                  </w:tcBorders>
                  <w:noWrap w:val="0"/>
                  <w:vAlign w:val="center"/>
                </w:tcPr>
                <w:p w14:paraId="3247488C">
                  <w:pPr>
                    <w:pStyle w:val="30"/>
                    <w:bidi w:val="0"/>
                    <w:rPr>
                      <w:rFonts w:hint="default" w:ascii="Times New Roman" w:hAnsi="Times New Roman" w:cs="Times New Roman"/>
                      <w:color w:val="auto"/>
                    </w:rPr>
                  </w:pPr>
                  <w:r>
                    <w:rPr>
                      <w:rFonts w:hint="default" w:ascii="Times New Roman" w:hAnsi="Times New Roman" w:cs="Times New Roman"/>
                      <w:color w:val="auto"/>
                    </w:rPr>
                    <w:t>审查意见</w:t>
                  </w:r>
                </w:p>
              </w:tc>
              <w:tc>
                <w:tcPr>
                  <w:tcW w:w="1234" w:type="pct"/>
                  <w:tcBorders>
                    <w:top w:val="single" w:color="auto" w:sz="12" w:space="0"/>
                    <w:bottom w:val="single" w:color="auto" w:sz="8" w:space="0"/>
                  </w:tcBorders>
                  <w:noWrap w:val="0"/>
                  <w:vAlign w:val="center"/>
                </w:tcPr>
                <w:p w14:paraId="66224D4A">
                  <w:pPr>
                    <w:pStyle w:val="30"/>
                    <w:bidi w:val="0"/>
                    <w:rPr>
                      <w:rFonts w:hint="default" w:ascii="Times New Roman" w:hAnsi="Times New Roman" w:cs="Times New Roman"/>
                      <w:color w:val="auto"/>
                    </w:rPr>
                  </w:pPr>
                  <w:r>
                    <w:rPr>
                      <w:rFonts w:hint="default" w:ascii="Times New Roman" w:hAnsi="Times New Roman" w:cs="Times New Roman"/>
                      <w:color w:val="auto"/>
                    </w:rPr>
                    <w:t>本项目</w:t>
                  </w:r>
                </w:p>
              </w:tc>
              <w:tc>
                <w:tcPr>
                  <w:tcW w:w="432" w:type="pct"/>
                  <w:tcBorders>
                    <w:top w:val="single" w:color="auto" w:sz="12" w:space="0"/>
                    <w:bottom w:val="single" w:color="auto" w:sz="8" w:space="0"/>
                    <w:right w:val="nil"/>
                  </w:tcBorders>
                  <w:noWrap w:val="0"/>
                  <w:vAlign w:val="center"/>
                </w:tcPr>
                <w:p w14:paraId="79168956">
                  <w:pPr>
                    <w:pStyle w:val="30"/>
                    <w:bidi w:val="0"/>
                    <w:rPr>
                      <w:rFonts w:hint="default" w:ascii="Times New Roman" w:hAnsi="Times New Roman" w:cs="Times New Roman"/>
                      <w:color w:val="auto"/>
                    </w:rPr>
                  </w:pPr>
                  <w:r>
                    <w:rPr>
                      <w:rFonts w:hint="default" w:ascii="Times New Roman" w:hAnsi="Times New Roman" w:cs="Times New Roman"/>
                      <w:color w:val="auto"/>
                    </w:rPr>
                    <w:t>是否</w:t>
                  </w:r>
                </w:p>
                <w:p w14:paraId="5C74A3E2">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4631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top w:val="single" w:color="auto" w:sz="8" w:space="0"/>
                    <w:left w:val="nil"/>
                  </w:tcBorders>
                  <w:noWrap w:val="0"/>
                  <w:vAlign w:val="center"/>
                </w:tcPr>
                <w:p w14:paraId="6DBDE9A7">
                  <w:pPr>
                    <w:pStyle w:val="30"/>
                    <w:bidi w:val="0"/>
                    <w:rPr>
                      <w:rFonts w:hint="default" w:ascii="Times New Roman" w:hAnsi="Times New Roman" w:cs="Times New Roman"/>
                      <w:color w:val="auto"/>
                    </w:rPr>
                  </w:pPr>
                  <w:r>
                    <w:rPr>
                      <w:rFonts w:hint="default" w:ascii="Times New Roman" w:hAnsi="Times New Roman" w:cs="Times New Roman"/>
                      <w:color w:val="auto"/>
                    </w:rPr>
                    <w:t>1</w:t>
                  </w:r>
                </w:p>
              </w:tc>
              <w:tc>
                <w:tcPr>
                  <w:tcW w:w="3125" w:type="pct"/>
                  <w:tcBorders>
                    <w:top w:val="single" w:color="auto" w:sz="8" w:space="0"/>
                  </w:tcBorders>
                  <w:noWrap w:val="0"/>
                  <w:vAlign w:val="center"/>
                </w:tcPr>
                <w:p w14:paraId="76314CC0">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严格空间管控，优化空间布局。落实《报告书》提出的现有环境问题整改措施，2025年底前，江苏快乐电源（涟水）有限公司限制扩大规模、涟水龙盛气体有限公司搬迁退让；淮安市亚森木业有限公司等11家企业仅允许实施规范化整治提升。强化工业企业退出和产业升级过程中的污染防治。开发区内绿地及水域在规划期内禁止开发利用。加强区内空间隔离带建设，西区工业用地与居住、商住混合用地、学校之间设置50米以上空间隔离带，或在该范围内布置办公等不产生噪声污染、废气排放的设施，并设置不少于20米的绿化隔离带，确保开发区产业布局与生态环境保护、人居环境安全相协调。</w:t>
                  </w:r>
                </w:p>
              </w:tc>
              <w:tc>
                <w:tcPr>
                  <w:tcW w:w="1234" w:type="pct"/>
                  <w:tcBorders>
                    <w:top w:val="single" w:color="auto" w:sz="8" w:space="0"/>
                  </w:tcBorders>
                  <w:noWrap w:val="0"/>
                  <w:vAlign w:val="center"/>
                </w:tcPr>
                <w:p w14:paraId="062C20EE">
                  <w:pPr>
                    <w:pStyle w:val="30"/>
                    <w:bidi w:val="0"/>
                    <w:rPr>
                      <w:rFonts w:hint="default" w:ascii="Times New Roman" w:hAnsi="Times New Roman" w:cs="Times New Roman"/>
                      <w:color w:val="auto"/>
                      <w:lang w:val="en-US"/>
                    </w:rPr>
                  </w:pPr>
                  <w:r>
                    <w:rPr>
                      <w:rFonts w:hint="default" w:ascii="Times New Roman" w:hAnsi="Times New Roman" w:cs="Times New Roman"/>
                      <w:color w:val="auto"/>
                    </w:rPr>
                    <w:t>本</w:t>
                  </w:r>
                  <w:r>
                    <w:rPr>
                      <w:rFonts w:hint="default" w:ascii="Times New Roman" w:hAnsi="Times New Roman" w:cs="Times New Roman"/>
                      <w:color w:val="auto"/>
                      <w:lang w:val="en-US" w:eastAsia="zh-CN"/>
                    </w:rPr>
                    <w:t>次</w:t>
                  </w:r>
                  <w:r>
                    <w:rPr>
                      <w:rFonts w:hint="default" w:ascii="Times New Roman" w:hAnsi="Times New Roman" w:cs="Times New Roman"/>
                      <w:color w:val="auto"/>
                    </w:rPr>
                    <w:t>项目位于</w:t>
                  </w:r>
                  <w:r>
                    <w:rPr>
                      <w:rFonts w:hint="default" w:ascii="Times New Roman" w:hAnsi="Times New Roman" w:cs="Times New Roman"/>
                      <w:color w:val="auto"/>
                      <w:lang w:val="en-US" w:eastAsia="zh-CN"/>
                    </w:rPr>
                    <w:t>江苏涟水经济开发区炎黄大道99号上水创业园28号现有厂</w:t>
                  </w:r>
                  <w:r>
                    <w:rPr>
                      <w:rFonts w:hint="eastAsia" w:ascii="Times New Roman" w:cs="Times New Roman"/>
                      <w:color w:val="auto"/>
                      <w:lang w:val="en-US" w:eastAsia="zh-CN"/>
                    </w:rPr>
                    <w:t>房</w:t>
                  </w:r>
                  <w:r>
                    <w:rPr>
                      <w:rFonts w:hint="default" w:ascii="Times New Roman" w:hAnsi="Times New Roman" w:cs="Times New Roman"/>
                      <w:color w:val="auto"/>
                      <w:lang w:val="en-US" w:eastAsia="zh-CN"/>
                    </w:rPr>
                    <w:t>，不新增工业用地</w:t>
                  </w:r>
                  <w:r>
                    <w:rPr>
                      <w:rFonts w:hint="default" w:ascii="Times New Roman" w:hAnsi="Times New Roman" w:cs="Times New Roman"/>
                      <w:color w:val="auto"/>
                    </w:rPr>
                    <w:t>。</w:t>
                  </w:r>
                  <w:r>
                    <w:rPr>
                      <w:rFonts w:hint="default" w:ascii="Times New Roman" w:hAnsi="Times New Roman" w:cs="Times New Roman"/>
                      <w:color w:val="auto"/>
                      <w:lang w:val="en-US" w:eastAsia="zh-CN"/>
                    </w:rPr>
                    <w:t>不在《报告书》提出的现有环境问题整改措施范围内。</w:t>
                  </w:r>
                </w:p>
              </w:tc>
              <w:tc>
                <w:tcPr>
                  <w:tcW w:w="432" w:type="pct"/>
                  <w:tcBorders>
                    <w:top w:val="single" w:color="auto" w:sz="8" w:space="0"/>
                    <w:right w:val="nil"/>
                  </w:tcBorders>
                  <w:noWrap w:val="0"/>
                  <w:vAlign w:val="center"/>
                </w:tcPr>
                <w:p w14:paraId="0E9D11AF">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3EB1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left w:val="nil"/>
                  </w:tcBorders>
                  <w:noWrap w:val="0"/>
                  <w:vAlign w:val="center"/>
                </w:tcPr>
                <w:p w14:paraId="7D80C3DD">
                  <w:pPr>
                    <w:pStyle w:val="30"/>
                    <w:bidi w:val="0"/>
                    <w:rPr>
                      <w:rFonts w:hint="default" w:ascii="Times New Roman" w:hAnsi="Times New Roman" w:cs="Times New Roman"/>
                      <w:color w:val="auto"/>
                    </w:rPr>
                  </w:pPr>
                  <w:r>
                    <w:rPr>
                      <w:rFonts w:hint="default" w:ascii="Times New Roman" w:hAnsi="Times New Roman" w:cs="Times New Roman"/>
                      <w:color w:val="auto"/>
                    </w:rPr>
                    <w:t>2</w:t>
                  </w:r>
                </w:p>
              </w:tc>
              <w:tc>
                <w:tcPr>
                  <w:tcW w:w="3125" w:type="pct"/>
                  <w:noWrap w:val="0"/>
                  <w:vAlign w:val="center"/>
                </w:tcPr>
                <w:p w14:paraId="7EEAD444">
                  <w:pPr>
                    <w:pStyle w:val="30"/>
                    <w:bidi w:val="0"/>
                    <w:rPr>
                      <w:rFonts w:hint="default" w:ascii="Times New Roman" w:hAnsi="Times New Roman" w:cs="Times New Roman"/>
                      <w:color w:val="auto"/>
                    </w:rPr>
                  </w:pPr>
                  <w:r>
                    <w:rPr>
                      <w:rFonts w:hint="default" w:ascii="Times New Roman" w:hAnsi="Times New Roman" w:cs="Times New Roman"/>
                      <w:color w:val="auto"/>
                    </w:rPr>
                    <w:t>严守环境质量底线</w:t>
                  </w:r>
                  <w:r>
                    <w:rPr>
                      <w:rFonts w:hint="default" w:ascii="Times New Roman" w:hAnsi="Times New Roman" w:cs="Times New Roman"/>
                      <w:color w:val="auto"/>
                      <w:lang w:eastAsia="zh-CN"/>
                    </w:rPr>
                    <w:t>，</w:t>
                  </w:r>
                  <w:r>
                    <w:rPr>
                      <w:rFonts w:hint="default" w:ascii="Times New Roman" w:hAnsi="Times New Roman" w:cs="Times New Roman"/>
                      <w:color w:val="auto"/>
                    </w:rPr>
                    <w:t>实施污染物排放限值限量管理。落实国家和江苏省关于大气、水、土壤、噪声污染防治、区域生态环境分区管控、工业园区</w:t>
                  </w:r>
                  <w:r>
                    <w:rPr>
                      <w:rFonts w:hint="default" w:ascii="Times New Roman" w:hAnsi="Times New Roman" w:cs="Times New Roman"/>
                      <w:color w:val="auto"/>
                      <w:lang w:eastAsia="zh-CN"/>
                    </w:rPr>
                    <w:t>（</w:t>
                  </w:r>
                  <w:r>
                    <w:rPr>
                      <w:rFonts w:hint="default" w:ascii="Times New Roman" w:hAnsi="Times New Roman" w:cs="Times New Roman"/>
                      <w:color w:val="auto"/>
                    </w:rPr>
                    <w:t>集中区</w:t>
                  </w:r>
                  <w:r>
                    <w:rPr>
                      <w:rFonts w:hint="default" w:ascii="Times New Roman" w:hAnsi="Times New Roman" w:cs="Times New Roman"/>
                      <w:color w:val="auto"/>
                      <w:lang w:eastAsia="zh-CN"/>
                    </w:rPr>
                    <w:t>）</w:t>
                  </w:r>
                  <w:r>
                    <w:rPr>
                      <w:rFonts w:hint="default" w:ascii="Times New Roman" w:hAnsi="Times New Roman" w:cs="Times New Roman"/>
                      <w:color w:val="auto"/>
                    </w:rPr>
                    <w:t>污染物排放限值限量管理相关要求</w:t>
                  </w:r>
                  <w:r>
                    <w:rPr>
                      <w:rFonts w:hint="default" w:ascii="Times New Roman" w:hAnsi="Times New Roman" w:cs="Times New Roman"/>
                      <w:color w:val="auto"/>
                      <w:lang w:eastAsia="zh-CN"/>
                    </w:rPr>
                    <w:t>，</w:t>
                  </w:r>
                  <w:r>
                    <w:rPr>
                      <w:rFonts w:hint="default" w:ascii="Times New Roman" w:hAnsi="Times New Roman" w:cs="Times New Roman"/>
                      <w:color w:val="auto"/>
                    </w:rPr>
                    <w:t>建立以环境质量为核心的污染物总量控制管理体系</w:t>
                  </w:r>
                  <w:r>
                    <w:rPr>
                      <w:rFonts w:hint="default" w:ascii="Times New Roman" w:hAnsi="Times New Roman" w:cs="Times New Roman"/>
                      <w:color w:val="auto"/>
                      <w:lang w:eastAsia="zh-CN"/>
                    </w:rPr>
                    <w:t>，</w:t>
                  </w:r>
                  <w:r>
                    <w:rPr>
                      <w:rFonts w:hint="default" w:ascii="Times New Roman" w:hAnsi="Times New Roman" w:cs="Times New Roman"/>
                      <w:color w:val="auto"/>
                    </w:rPr>
                    <w:t>实施主要污染物排放浓度和总量“双管控”。2025年</w:t>
                  </w:r>
                  <w:r>
                    <w:rPr>
                      <w:rFonts w:hint="default" w:ascii="Times New Roman" w:hAnsi="Times New Roman" w:cs="Times New Roman"/>
                      <w:color w:val="auto"/>
                      <w:lang w:eastAsia="zh-CN"/>
                    </w:rPr>
                    <w:t>，</w:t>
                  </w:r>
                  <w:r>
                    <w:rPr>
                      <w:rFonts w:hint="default" w:ascii="Times New Roman" w:hAnsi="Times New Roman" w:cs="Times New Roman"/>
                      <w:color w:val="auto"/>
                    </w:rPr>
                    <w:t>开发区环境空气细颗粒物</w:t>
                  </w:r>
                  <w:r>
                    <w:rPr>
                      <w:rFonts w:hint="default" w:ascii="Times New Roman" w:hAnsi="Times New Roman" w:cs="Times New Roman"/>
                      <w:color w:val="auto"/>
                      <w:lang w:eastAsia="zh-CN"/>
                    </w:rPr>
                    <w:t>（</w:t>
                  </w:r>
                  <w:r>
                    <w:rPr>
                      <w:rFonts w:hint="default" w:ascii="Times New Roman" w:hAnsi="Times New Roman" w:cs="Times New Roman"/>
                      <w:color w:val="auto"/>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eastAsia="zh-CN"/>
                    </w:rPr>
                    <w:t>）</w:t>
                  </w:r>
                  <w:r>
                    <w:rPr>
                      <w:rFonts w:hint="default" w:ascii="Times New Roman" w:hAnsi="Times New Roman" w:cs="Times New Roman"/>
                      <w:color w:val="auto"/>
                    </w:rPr>
                    <w:t>年均浓度应达到29微克/立方米</w:t>
                  </w:r>
                  <w:r>
                    <w:rPr>
                      <w:rFonts w:hint="default" w:ascii="Times New Roman" w:hAnsi="Times New Roman" w:cs="Times New Roman"/>
                      <w:color w:val="auto"/>
                      <w:lang w:eastAsia="zh-CN"/>
                    </w:rPr>
                    <w:t>，</w:t>
                  </w:r>
                  <w:r>
                    <w:rPr>
                      <w:rFonts w:hint="default" w:ascii="Times New Roman" w:hAnsi="Times New Roman" w:cs="Times New Roman"/>
                      <w:color w:val="auto"/>
                    </w:rPr>
                    <w:t>盐河应稳定达到II</w:t>
                  </w:r>
                  <w:r>
                    <w:rPr>
                      <w:rFonts w:hint="default" w:ascii="Times New Roman" w:hAnsi="Times New Roman" w:cs="Times New Roman"/>
                      <w:color w:val="auto"/>
                      <w:lang w:eastAsia="zh-CN"/>
                    </w:rPr>
                    <w:t>、</w:t>
                  </w:r>
                  <w:r>
                    <w:rPr>
                      <w:rFonts w:hint="default" w:ascii="Times New Roman" w:hAnsi="Times New Roman" w:cs="Times New Roman"/>
                      <w:color w:val="auto"/>
                    </w:rPr>
                    <w:t>Ⅲ类水质标准。</w:t>
                  </w:r>
                </w:p>
              </w:tc>
              <w:tc>
                <w:tcPr>
                  <w:tcW w:w="1234" w:type="pct"/>
                  <w:noWrap w:val="0"/>
                  <w:vAlign w:val="center"/>
                </w:tcPr>
                <w:p w14:paraId="3BB232D7">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本次项目污染物排放执行园区总量控制管理相关要求，本次项目</w:t>
                  </w:r>
                  <w:r>
                    <w:rPr>
                      <w:rFonts w:hint="default" w:ascii="Times New Roman" w:hAnsi="Times New Roman" w:cs="Times New Roman"/>
                      <w:color w:val="auto"/>
                    </w:rPr>
                    <w:t>主要污染物排放浓度和总量</w:t>
                  </w:r>
                  <w:r>
                    <w:rPr>
                      <w:rFonts w:hint="default" w:ascii="Times New Roman" w:hAnsi="Times New Roman" w:cs="Times New Roman"/>
                      <w:color w:val="auto"/>
                      <w:lang w:val="en-US" w:eastAsia="zh-CN"/>
                    </w:rPr>
                    <w:t>双达标</w:t>
                  </w:r>
                  <w:r>
                    <w:rPr>
                      <w:rFonts w:hint="default" w:ascii="Times New Roman" w:hAnsi="Times New Roman" w:cs="Times New Roman"/>
                      <w:color w:val="auto"/>
                    </w:rPr>
                    <w:t>。</w:t>
                  </w:r>
                </w:p>
              </w:tc>
              <w:tc>
                <w:tcPr>
                  <w:tcW w:w="432" w:type="pct"/>
                  <w:tcBorders>
                    <w:right w:val="nil"/>
                  </w:tcBorders>
                  <w:noWrap w:val="0"/>
                  <w:vAlign w:val="center"/>
                </w:tcPr>
                <w:p w14:paraId="765D29B6">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5043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left w:val="nil"/>
                  </w:tcBorders>
                  <w:noWrap w:val="0"/>
                  <w:vAlign w:val="center"/>
                </w:tcPr>
                <w:p w14:paraId="3EEEF304">
                  <w:pPr>
                    <w:pStyle w:val="30"/>
                    <w:bidi w:val="0"/>
                    <w:rPr>
                      <w:rFonts w:hint="default" w:ascii="Times New Roman" w:hAnsi="Times New Roman" w:cs="Times New Roman"/>
                      <w:color w:val="auto"/>
                    </w:rPr>
                  </w:pPr>
                  <w:r>
                    <w:rPr>
                      <w:rFonts w:hint="default" w:ascii="Times New Roman" w:hAnsi="Times New Roman" w:cs="Times New Roman"/>
                      <w:color w:val="auto"/>
                    </w:rPr>
                    <w:t>3</w:t>
                  </w:r>
                </w:p>
              </w:tc>
              <w:tc>
                <w:tcPr>
                  <w:tcW w:w="3125" w:type="pct"/>
                  <w:noWrap w:val="0"/>
                  <w:vAlign w:val="center"/>
                </w:tcPr>
                <w:p w14:paraId="43BB7E44">
                  <w:pPr>
                    <w:pStyle w:val="30"/>
                    <w:bidi w:val="0"/>
                    <w:rPr>
                      <w:rFonts w:hint="default" w:ascii="Times New Roman" w:hAnsi="Times New Roman" w:cs="Times New Roman"/>
                      <w:color w:val="auto"/>
                    </w:rPr>
                  </w:pPr>
                  <w:r>
                    <w:rPr>
                      <w:rFonts w:hint="default" w:ascii="Times New Roman" w:hAnsi="Times New Roman" w:cs="Times New Roman"/>
                      <w:color w:val="auto"/>
                    </w:rPr>
                    <w:t>加强源头治理</w:t>
                  </w:r>
                  <w:r>
                    <w:rPr>
                      <w:rFonts w:hint="default" w:ascii="Times New Roman" w:hAnsi="Times New Roman" w:cs="Times New Roman"/>
                      <w:color w:val="auto"/>
                      <w:lang w:eastAsia="zh-CN"/>
                    </w:rPr>
                    <w:t>，</w:t>
                  </w:r>
                  <w:r>
                    <w:rPr>
                      <w:rFonts w:hint="default" w:ascii="Times New Roman" w:hAnsi="Times New Roman" w:cs="Times New Roman"/>
                      <w:color w:val="auto"/>
                    </w:rPr>
                    <w:t>协同推进减污降碳。严格落实生态环境准入清单</w:t>
                  </w:r>
                  <w:r>
                    <w:rPr>
                      <w:rFonts w:hint="default" w:ascii="Times New Roman" w:hAnsi="Times New Roman" w:cs="Times New Roman"/>
                      <w:color w:val="auto"/>
                      <w:lang w:eastAsia="zh-CN"/>
                    </w:rPr>
                    <w:t>（</w:t>
                  </w:r>
                  <w:r>
                    <w:rPr>
                      <w:rFonts w:hint="default" w:ascii="Times New Roman" w:hAnsi="Times New Roman" w:cs="Times New Roman"/>
                      <w:color w:val="auto"/>
                    </w:rPr>
                    <w:t>附件2</w:t>
                  </w:r>
                  <w:r>
                    <w:rPr>
                      <w:rFonts w:hint="default" w:ascii="Times New Roman" w:hAnsi="Times New Roman" w:cs="Times New Roman"/>
                      <w:color w:val="auto"/>
                      <w:lang w:eastAsia="zh-CN"/>
                    </w:rPr>
                    <w:t>）</w:t>
                  </w:r>
                  <w:r>
                    <w:rPr>
                      <w:rFonts w:hint="default" w:ascii="Times New Roman" w:hAnsi="Times New Roman" w:cs="Times New Roman"/>
                      <w:color w:val="auto"/>
                    </w:rPr>
                    <w:t>,以及《报告书》提出的生态环境准入要求</w:t>
                  </w:r>
                  <w:r>
                    <w:rPr>
                      <w:rFonts w:hint="default" w:ascii="Times New Roman" w:hAnsi="Times New Roman" w:cs="Times New Roman"/>
                      <w:color w:val="auto"/>
                      <w:lang w:eastAsia="zh-CN"/>
                    </w:rPr>
                    <w:t>，</w:t>
                  </w:r>
                  <w:r>
                    <w:rPr>
                      <w:rFonts w:hint="default" w:ascii="Times New Roman" w:hAnsi="Times New Roman" w:cs="Times New Roman"/>
                      <w:color w:val="auto"/>
                    </w:rPr>
                    <w:t>严格限制与主导产业不相关且排污负荷大的项目入区</w:t>
                  </w:r>
                  <w:r>
                    <w:rPr>
                      <w:rFonts w:hint="default" w:ascii="Times New Roman" w:hAnsi="Times New Roman" w:cs="Times New Roman"/>
                      <w:color w:val="auto"/>
                      <w:lang w:eastAsia="zh-CN"/>
                    </w:rPr>
                    <w:t>，</w:t>
                  </w:r>
                  <w:r>
                    <w:rPr>
                      <w:rFonts w:hint="default" w:ascii="Times New Roman" w:hAnsi="Times New Roman" w:cs="Times New Roman"/>
                      <w:color w:val="auto"/>
                    </w:rPr>
                    <w:t>执行最严格的行业废水、废气排放控制要求。强化企业特征</w:t>
                  </w:r>
                  <w:r>
                    <w:rPr>
                      <w:rFonts w:hint="eastAsia" w:ascii="Times New Roman" w:cs="Times New Roman"/>
                      <w:color w:val="auto"/>
                      <w:lang w:eastAsia="zh-CN"/>
                    </w:rPr>
                    <w:t>污染物协同控制</w:t>
                  </w:r>
                  <w:r>
                    <w:rPr>
                      <w:rFonts w:hint="default" w:ascii="Times New Roman" w:hAnsi="Times New Roman" w:cs="Times New Roman"/>
                      <w:color w:val="auto"/>
                    </w:rPr>
                    <w:t>、高效治理设施建设以及精细化管控</w:t>
                  </w:r>
                  <w:r>
                    <w:rPr>
                      <w:rFonts w:hint="default" w:ascii="Times New Roman" w:hAnsi="Times New Roman" w:cs="Times New Roman"/>
                      <w:color w:val="auto"/>
                      <w:lang w:eastAsia="zh-CN"/>
                    </w:rPr>
                    <w:t>，</w:t>
                  </w:r>
                  <w:r>
                    <w:rPr>
                      <w:rFonts w:hint="default" w:ascii="Times New Roman" w:hAnsi="Times New Roman" w:cs="Times New Roman"/>
                      <w:color w:val="auto"/>
                    </w:rPr>
                    <w:t>引进项目的生产工艺、设备</w:t>
                  </w:r>
                  <w:r>
                    <w:rPr>
                      <w:rFonts w:hint="default" w:ascii="Times New Roman" w:hAnsi="Times New Roman" w:cs="Times New Roman"/>
                      <w:color w:val="auto"/>
                      <w:lang w:eastAsia="zh-CN"/>
                    </w:rPr>
                    <w:t>，</w:t>
                  </w:r>
                  <w:r>
                    <w:rPr>
                      <w:rFonts w:hint="default" w:ascii="Times New Roman" w:hAnsi="Times New Roman" w:cs="Times New Roman"/>
                      <w:color w:val="auto"/>
                    </w:rPr>
                    <w:t>以及单位产品水耗、能耗、污染物排放和资源利用效率等应达到同行业国内先进水平。全面开展清洁生产审核</w:t>
                  </w:r>
                  <w:r>
                    <w:rPr>
                      <w:rFonts w:hint="default" w:ascii="Times New Roman" w:hAnsi="Times New Roman" w:cs="Times New Roman"/>
                      <w:color w:val="auto"/>
                      <w:lang w:eastAsia="zh-CN"/>
                    </w:rPr>
                    <w:t>，</w:t>
                  </w:r>
                  <w:r>
                    <w:rPr>
                      <w:rFonts w:hint="default" w:ascii="Times New Roman" w:hAnsi="Times New Roman" w:cs="Times New Roman"/>
                      <w:color w:val="auto"/>
                    </w:rPr>
                    <w:t>推动重点行业依法实施强制性审核</w:t>
                  </w:r>
                  <w:r>
                    <w:rPr>
                      <w:rFonts w:hint="default" w:ascii="Times New Roman" w:hAnsi="Times New Roman" w:cs="Times New Roman"/>
                      <w:color w:val="auto"/>
                      <w:lang w:eastAsia="zh-CN"/>
                    </w:rPr>
                    <w:t>，</w:t>
                  </w:r>
                  <w:r>
                    <w:rPr>
                      <w:rFonts w:hint="default" w:ascii="Times New Roman" w:hAnsi="Times New Roman" w:cs="Times New Roman"/>
                      <w:color w:val="auto"/>
                    </w:rPr>
                    <w:t>引导其他行业自觉自愿开展审核</w:t>
                  </w:r>
                  <w:r>
                    <w:rPr>
                      <w:rFonts w:hint="default" w:ascii="Times New Roman" w:hAnsi="Times New Roman" w:cs="Times New Roman"/>
                      <w:color w:val="auto"/>
                      <w:lang w:eastAsia="zh-CN"/>
                    </w:rPr>
                    <w:t>，</w:t>
                  </w:r>
                  <w:r>
                    <w:rPr>
                      <w:rFonts w:hint="default" w:ascii="Times New Roman" w:hAnsi="Times New Roman" w:cs="Times New Roman"/>
                      <w:color w:val="auto"/>
                    </w:rPr>
                    <w:t>不断提高现有企业清洁生产和污染治理水平。根据国家和地方碳减排、碳达峰行动方案和路径要求</w:t>
                  </w:r>
                  <w:r>
                    <w:rPr>
                      <w:rFonts w:hint="default" w:ascii="Times New Roman" w:hAnsi="Times New Roman" w:cs="Times New Roman"/>
                      <w:color w:val="auto"/>
                      <w:lang w:eastAsia="zh-CN"/>
                    </w:rPr>
                    <w:t>，</w:t>
                  </w:r>
                  <w:r>
                    <w:rPr>
                      <w:rFonts w:hint="default" w:ascii="Times New Roman" w:hAnsi="Times New Roman" w:cs="Times New Roman"/>
                      <w:color w:val="auto"/>
                    </w:rPr>
                    <w:t>优化产业结构、能源结构等规划内容</w:t>
                  </w:r>
                  <w:r>
                    <w:rPr>
                      <w:rFonts w:hint="default" w:ascii="Times New Roman" w:hAnsi="Times New Roman" w:cs="Times New Roman"/>
                      <w:color w:val="auto"/>
                      <w:lang w:eastAsia="zh-CN"/>
                    </w:rPr>
                    <w:t>，</w:t>
                  </w:r>
                  <w:r>
                    <w:rPr>
                      <w:rFonts w:hint="default" w:ascii="Times New Roman" w:hAnsi="Times New Roman" w:cs="Times New Roman"/>
                      <w:color w:val="auto"/>
                    </w:rPr>
                    <w:t>推进减污降碳协同增效。</w:t>
                  </w:r>
                </w:p>
              </w:tc>
              <w:tc>
                <w:tcPr>
                  <w:tcW w:w="1234" w:type="pct"/>
                  <w:noWrap w:val="0"/>
                  <w:vAlign w:val="center"/>
                </w:tcPr>
                <w:p w14:paraId="582469D5">
                  <w:pPr>
                    <w:pStyle w:val="30"/>
                    <w:bidi w:val="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属于</w:t>
                  </w:r>
                  <w:r>
                    <w:rPr>
                      <w:rFonts w:hint="default" w:ascii="Times New Roman" w:hAnsi="Times New Roman" w:cs="Times New Roman"/>
                      <w:color w:val="auto"/>
                    </w:rPr>
                    <w:t>C2929塑料零件及其他塑料制品制造</w:t>
                  </w:r>
                  <w:r>
                    <w:rPr>
                      <w:rFonts w:hint="eastAsia" w:ascii="Times New Roman" w:cs="Times New Roman"/>
                      <w:color w:val="auto"/>
                      <w:lang w:eastAsia="zh-CN"/>
                    </w:rPr>
                    <w:t>、C3062玻璃纤维增强塑料制品制造</w:t>
                  </w:r>
                  <w:r>
                    <w:rPr>
                      <w:rFonts w:hint="default" w:ascii="Times New Roman" w:hAnsi="Times New Roman" w:cs="Times New Roman"/>
                      <w:color w:val="auto"/>
                      <w:lang w:val="en-US" w:eastAsia="zh-CN"/>
                    </w:rPr>
                    <w:t>，不属于园区主导产业，也不属于限制引入和禁止引入的产业，属于允许引入类产业，</w:t>
                  </w:r>
                  <w:r>
                    <w:rPr>
                      <w:rFonts w:hint="default" w:ascii="Times New Roman" w:hAnsi="Times New Roman" w:cs="Times New Roman"/>
                      <w:color w:val="auto"/>
                    </w:rPr>
                    <w:t>符合</w:t>
                  </w:r>
                  <w:r>
                    <w:rPr>
                      <w:rFonts w:hint="default" w:ascii="Times New Roman" w:hAnsi="Times New Roman" w:cs="Times New Roman"/>
                      <w:color w:val="auto"/>
                      <w:lang w:val="en-US" w:eastAsia="zh-CN"/>
                    </w:rPr>
                    <w:t>园区产业准入条件</w:t>
                  </w:r>
                  <w:r>
                    <w:rPr>
                      <w:rFonts w:hint="default" w:ascii="Times New Roman" w:hAnsi="Times New Roman" w:cs="Times New Roman"/>
                      <w:color w:val="auto"/>
                    </w:rPr>
                    <w:t>。</w:t>
                  </w:r>
                </w:p>
              </w:tc>
              <w:tc>
                <w:tcPr>
                  <w:tcW w:w="432" w:type="pct"/>
                  <w:tcBorders>
                    <w:right w:val="nil"/>
                  </w:tcBorders>
                  <w:noWrap w:val="0"/>
                  <w:vAlign w:val="center"/>
                </w:tcPr>
                <w:p w14:paraId="34A04788">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3CDB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left w:val="nil"/>
                  </w:tcBorders>
                  <w:noWrap w:val="0"/>
                  <w:vAlign w:val="center"/>
                </w:tcPr>
                <w:p w14:paraId="1B86DFE5">
                  <w:pPr>
                    <w:pStyle w:val="30"/>
                    <w:bidi w:val="0"/>
                    <w:rPr>
                      <w:rFonts w:hint="default" w:ascii="Times New Roman" w:hAnsi="Times New Roman" w:cs="Times New Roman"/>
                      <w:color w:val="auto"/>
                    </w:rPr>
                  </w:pPr>
                  <w:r>
                    <w:rPr>
                      <w:rFonts w:hint="default" w:ascii="Times New Roman" w:hAnsi="Times New Roman" w:cs="Times New Roman"/>
                      <w:color w:val="auto"/>
                    </w:rPr>
                    <w:t>4</w:t>
                  </w:r>
                </w:p>
              </w:tc>
              <w:tc>
                <w:tcPr>
                  <w:tcW w:w="3125" w:type="pct"/>
                  <w:noWrap w:val="0"/>
                  <w:vAlign w:val="center"/>
                </w:tcPr>
                <w:p w14:paraId="333DA5BC">
                  <w:pPr>
                    <w:pStyle w:val="30"/>
                    <w:bidi w:val="0"/>
                    <w:rPr>
                      <w:rFonts w:hint="default" w:ascii="Times New Roman" w:hAnsi="Times New Roman" w:cs="Times New Roman"/>
                      <w:color w:val="auto"/>
                    </w:rPr>
                  </w:pPr>
                  <w:r>
                    <w:rPr>
                      <w:rFonts w:hint="default" w:ascii="Times New Roman" w:hAnsi="Times New Roman" w:cs="Times New Roman"/>
                      <w:color w:val="auto"/>
                    </w:rPr>
                    <w:t>完善环境基础设施建设</w:t>
                  </w:r>
                  <w:r>
                    <w:rPr>
                      <w:rFonts w:hint="default" w:ascii="Times New Roman" w:hAnsi="Times New Roman" w:cs="Times New Roman"/>
                      <w:color w:val="auto"/>
                      <w:lang w:eastAsia="zh-CN"/>
                    </w:rPr>
                    <w:t>，</w:t>
                  </w:r>
                  <w:r>
                    <w:rPr>
                      <w:rFonts w:hint="default" w:ascii="Times New Roman" w:hAnsi="Times New Roman" w:cs="Times New Roman"/>
                      <w:color w:val="auto"/>
                    </w:rPr>
                    <w:t>提高基础设施运行效能。加快推进西区</w:t>
                  </w:r>
                  <w:r>
                    <w:rPr>
                      <w:rFonts w:hint="eastAsia" w:ascii="Times New Roman" w:cs="Times New Roman"/>
                      <w:color w:val="auto"/>
                      <w:lang w:eastAsia="zh-CN"/>
                    </w:rPr>
                    <w:t>污水处理厂</w:t>
                  </w:r>
                  <w:r>
                    <w:rPr>
                      <w:rFonts w:hint="default" w:ascii="Times New Roman" w:hAnsi="Times New Roman" w:cs="Times New Roman"/>
                      <w:color w:val="auto"/>
                    </w:rPr>
                    <w:t>中水回用设施及回用管网建设</w:t>
                  </w:r>
                  <w:r>
                    <w:rPr>
                      <w:rFonts w:hint="default" w:ascii="Times New Roman" w:hAnsi="Times New Roman" w:cs="Times New Roman"/>
                      <w:color w:val="auto"/>
                      <w:lang w:eastAsia="zh-CN"/>
                    </w:rPr>
                    <w:t>，</w:t>
                  </w:r>
                  <w:r>
                    <w:rPr>
                      <w:rFonts w:hint="default" w:ascii="Times New Roman" w:hAnsi="Times New Roman" w:cs="Times New Roman"/>
                      <w:color w:val="auto"/>
                    </w:rPr>
                    <w:t>2025年底前建成二支大沟生态安全缓冲区</w:t>
                  </w:r>
                  <w:r>
                    <w:rPr>
                      <w:rFonts w:hint="default" w:ascii="Times New Roman" w:hAnsi="Times New Roman" w:cs="Times New Roman"/>
                      <w:color w:val="auto"/>
                      <w:lang w:eastAsia="zh-CN"/>
                    </w:rPr>
                    <w:t>，</w:t>
                  </w:r>
                  <w:r>
                    <w:rPr>
                      <w:rFonts w:hint="default" w:ascii="Times New Roman" w:hAnsi="Times New Roman" w:cs="Times New Roman"/>
                      <w:color w:val="auto"/>
                    </w:rPr>
                    <w:t>改造建成2万吨/日工业污水处理设施、1万吨/日中水回用工程</w:t>
                  </w:r>
                  <w:r>
                    <w:rPr>
                      <w:rFonts w:hint="default" w:ascii="Times New Roman" w:hAnsi="Times New Roman" w:cs="Times New Roman"/>
                      <w:color w:val="auto"/>
                      <w:lang w:eastAsia="zh-CN"/>
                    </w:rPr>
                    <w:t>，</w:t>
                  </w:r>
                  <w:r>
                    <w:rPr>
                      <w:rFonts w:hint="default" w:ascii="Times New Roman" w:hAnsi="Times New Roman" w:cs="Times New Roman"/>
                      <w:color w:val="auto"/>
                    </w:rPr>
                    <w:t>确保工业废水与生活污水分类收集、分质处理。开展区内入河排污口排查及规范化整治</w:t>
                  </w:r>
                  <w:r>
                    <w:rPr>
                      <w:rFonts w:hint="default" w:ascii="Times New Roman" w:hAnsi="Times New Roman" w:cs="Times New Roman"/>
                      <w:color w:val="auto"/>
                      <w:lang w:eastAsia="zh-CN"/>
                    </w:rPr>
                    <w:t>，</w:t>
                  </w:r>
                  <w:r>
                    <w:rPr>
                      <w:rFonts w:hint="default" w:ascii="Times New Roman" w:hAnsi="Times New Roman" w:cs="Times New Roman"/>
                      <w:color w:val="auto"/>
                    </w:rPr>
                    <w:t>建立名录</w:t>
                  </w:r>
                  <w:r>
                    <w:rPr>
                      <w:rFonts w:hint="default" w:ascii="Times New Roman" w:hAnsi="Times New Roman" w:cs="Times New Roman"/>
                      <w:color w:val="auto"/>
                      <w:lang w:eastAsia="zh-CN"/>
                    </w:rPr>
                    <w:t>，</w:t>
                  </w:r>
                  <w:r>
                    <w:rPr>
                      <w:rFonts w:hint="default" w:ascii="Times New Roman" w:hAnsi="Times New Roman" w:cs="Times New Roman"/>
                      <w:color w:val="auto"/>
                    </w:rPr>
                    <w:t>强化日常监管。加强园区固体废物减量化、资源化、无害化处理</w:t>
                  </w:r>
                  <w:r>
                    <w:rPr>
                      <w:rFonts w:hint="default" w:ascii="Times New Roman" w:hAnsi="Times New Roman" w:cs="Times New Roman"/>
                      <w:color w:val="auto"/>
                      <w:lang w:eastAsia="zh-CN"/>
                    </w:rPr>
                    <w:t>，</w:t>
                  </w:r>
                  <w:r>
                    <w:rPr>
                      <w:rFonts w:hint="default" w:ascii="Times New Roman" w:hAnsi="Times New Roman" w:cs="Times New Roman"/>
                      <w:color w:val="auto"/>
                    </w:rPr>
                    <w:t>一般工业固废、危险废物应依法依规收集、处理处置</w:t>
                  </w:r>
                  <w:r>
                    <w:rPr>
                      <w:rFonts w:hint="default" w:ascii="Times New Roman" w:hAnsi="Times New Roman" w:cs="Times New Roman"/>
                      <w:color w:val="auto"/>
                      <w:lang w:eastAsia="zh-CN"/>
                    </w:rPr>
                    <w:t>，</w:t>
                  </w:r>
                  <w:r>
                    <w:rPr>
                      <w:rFonts w:hint="default" w:ascii="Times New Roman" w:hAnsi="Times New Roman" w:cs="Times New Roman"/>
                      <w:color w:val="auto"/>
                    </w:rPr>
                    <w:t>做到“就地分类收集、就近转移处置”。</w:t>
                  </w:r>
                </w:p>
              </w:tc>
              <w:tc>
                <w:tcPr>
                  <w:tcW w:w="1234" w:type="pct"/>
                  <w:noWrap w:val="0"/>
                  <w:vAlign w:val="center"/>
                </w:tcPr>
                <w:p w14:paraId="3B3DDD09">
                  <w:pPr>
                    <w:pStyle w:val="30"/>
                    <w:bidi w:val="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无外排</w:t>
                  </w:r>
                  <w:r>
                    <w:rPr>
                      <w:rFonts w:hint="default" w:ascii="Times New Roman" w:hAnsi="Times New Roman" w:cs="Times New Roman"/>
                      <w:color w:val="auto"/>
                    </w:rPr>
                    <w:t>生产废水</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生活污水</w:t>
                  </w:r>
                  <w:r>
                    <w:rPr>
                      <w:rFonts w:hint="default" w:ascii="Times New Roman" w:hAnsi="Times New Roman" w:cs="Times New Roman"/>
                      <w:color w:val="auto"/>
                    </w:rPr>
                    <w:t>依托租赁企业厂区内现有化粪池预处理达到接管标准后接管至涟水经济开发区西区污水处理厂集中处理。</w:t>
                  </w:r>
                  <w:r>
                    <w:rPr>
                      <w:rFonts w:hint="default" w:ascii="Times New Roman" w:hAnsi="Times New Roman" w:cs="Times New Roman"/>
                      <w:color w:val="auto"/>
                      <w:lang w:val="en-US" w:eastAsia="zh-CN"/>
                    </w:rPr>
                    <w:t>本项目</w:t>
                  </w:r>
                  <w:r>
                    <w:rPr>
                      <w:rFonts w:hint="default" w:ascii="Times New Roman" w:hAnsi="Times New Roman" w:cs="Times New Roman"/>
                      <w:color w:val="auto"/>
                    </w:rPr>
                    <w:t>一般工业固废、危险废物</w:t>
                  </w:r>
                  <w:r>
                    <w:rPr>
                      <w:rFonts w:hint="default" w:ascii="Times New Roman" w:hAnsi="Times New Roman" w:cs="Times New Roman"/>
                      <w:color w:val="auto"/>
                      <w:lang w:val="en-US" w:eastAsia="zh-CN"/>
                    </w:rPr>
                    <w:t>分类收集、暂存并委托处理。</w:t>
                  </w:r>
                </w:p>
              </w:tc>
              <w:tc>
                <w:tcPr>
                  <w:tcW w:w="432" w:type="pct"/>
                  <w:tcBorders>
                    <w:right w:val="nil"/>
                  </w:tcBorders>
                  <w:noWrap w:val="0"/>
                  <w:vAlign w:val="center"/>
                </w:tcPr>
                <w:p w14:paraId="7CD8B8CD">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1FAD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left w:val="nil"/>
                  </w:tcBorders>
                  <w:noWrap w:val="0"/>
                  <w:vAlign w:val="center"/>
                </w:tcPr>
                <w:p w14:paraId="6E2C3AF6">
                  <w:pPr>
                    <w:pStyle w:val="30"/>
                    <w:bidi w:val="0"/>
                    <w:rPr>
                      <w:rFonts w:hint="default" w:ascii="Times New Roman" w:hAnsi="Times New Roman" w:cs="Times New Roman"/>
                      <w:color w:val="auto"/>
                    </w:rPr>
                  </w:pPr>
                  <w:r>
                    <w:rPr>
                      <w:rFonts w:hint="default" w:ascii="Times New Roman" w:hAnsi="Times New Roman" w:cs="Times New Roman"/>
                      <w:color w:val="auto"/>
                    </w:rPr>
                    <w:t>5</w:t>
                  </w:r>
                </w:p>
              </w:tc>
              <w:tc>
                <w:tcPr>
                  <w:tcW w:w="3125" w:type="pct"/>
                  <w:noWrap w:val="0"/>
                  <w:vAlign w:val="center"/>
                </w:tcPr>
                <w:p w14:paraId="1D208D25">
                  <w:pPr>
                    <w:pStyle w:val="30"/>
                    <w:bidi w:val="0"/>
                    <w:rPr>
                      <w:rFonts w:hint="default" w:ascii="Times New Roman" w:hAnsi="Times New Roman" w:cs="Times New Roman"/>
                      <w:color w:val="auto"/>
                    </w:rPr>
                  </w:pPr>
                  <w:r>
                    <w:rPr>
                      <w:rFonts w:hint="default" w:ascii="Times New Roman" w:hAnsi="Times New Roman" w:cs="Times New Roman"/>
                      <w:color w:val="auto"/>
                    </w:rPr>
                    <w:t>建立健全环境监测监控体系。开展包括环境空气、地表水、地下水、土壤、底泥等环境要素的长期跟踪监测与管理。结合区域跟踪监测情况</w:t>
                  </w:r>
                  <w:r>
                    <w:rPr>
                      <w:rFonts w:hint="default" w:ascii="Times New Roman" w:hAnsi="Times New Roman" w:cs="Times New Roman"/>
                      <w:color w:val="auto"/>
                      <w:lang w:eastAsia="zh-CN"/>
                    </w:rPr>
                    <w:t>，</w:t>
                  </w:r>
                  <w:r>
                    <w:rPr>
                      <w:rFonts w:hint="default" w:ascii="Times New Roman" w:hAnsi="Times New Roman" w:cs="Times New Roman"/>
                      <w:color w:val="auto"/>
                    </w:rPr>
                    <w:t>动态调整开发区开发建设规模和时序进度</w:t>
                  </w:r>
                  <w:r>
                    <w:rPr>
                      <w:rFonts w:hint="default" w:ascii="Times New Roman" w:hAnsi="Times New Roman" w:cs="Times New Roman"/>
                      <w:color w:val="auto"/>
                      <w:lang w:eastAsia="zh-CN"/>
                    </w:rPr>
                    <w:t>，</w:t>
                  </w:r>
                  <w:r>
                    <w:rPr>
                      <w:rFonts w:hint="default" w:ascii="Times New Roman" w:hAnsi="Times New Roman" w:cs="Times New Roman"/>
                      <w:color w:val="auto"/>
                    </w:rPr>
                    <w:t>优化生态环境保护措施</w:t>
                  </w:r>
                  <w:r>
                    <w:rPr>
                      <w:rFonts w:hint="default" w:ascii="Times New Roman" w:hAnsi="Times New Roman" w:cs="Times New Roman"/>
                      <w:color w:val="auto"/>
                      <w:lang w:eastAsia="zh-CN"/>
                    </w:rPr>
                    <w:t>，</w:t>
                  </w:r>
                  <w:r>
                    <w:rPr>
                      <w:rFonts w:hint="default" w:ascii="Times New Roman" w:hAnsi="Times New Roman" w:cs="Times New Roman"/>
                      <w:color w:val="auto"/>
                    </w:rPr>
                    <w:t>确保区域生态环境质量不恶化。探索开展新污染物环境本底调查监测</w:t>
                  </w:r>
                  <w:r>
                    <w:rPr>
                      <w:rFonts w:hint="default" w:ascii="Times New Roman" w:hAnsi="Times New Roman" w:cs="Times New Roman"/>
                      <w:color w:val="auto"/>
                      <w:lang w:eastAsia="zh-CN"/>
                    </w:rPr>
                    <w:t>，</w:t>
                  </w:r>
                  <w:r>
                    <w:rPr>
                      <w:rFonts w:hint="default" w:ascii="Times New Roman" w:hAnsi="Times New Roman" w:cs="Times New Roman"/>
                      <w:color w:val="auto"/>
                    </w:rPr>
                    <w:t>依法公开新污染物信息。积极推进氟化物污染物排放及水环境质量的监测监控</w:t>
                  </w:r>
                  <w:r>
                    <w:rPr>
                      <w:rFonts w:hint="default" w:ascii="Times New Roman" w:hAnsi="Times New Roman" w:cs="Times New Roman"/>
                      <w:color w:val="auto"/>
                      <w:lang w:eastAsia="zh-CN"/>
                    </w:rPr>
                    <w:t>，</w:t>
                  </w:r>
                  <w:r>
                    <w:rPr>
                      <w:rFonts w:hint="default" w:ascii="Times New Roman" w:hAnsi="Times New Roman" w:cs="Times New Roman"/>
                      <w:color w:val="auto"/>
                    </w:rPr>
                    <w:t>园区重点涉氟企业雨水污水排放口完成氟化物自动监控系统安装</w:t>
                  </w:r>
                  <w:r>
                    <w:rPr>
                      <w:rFonts w:hint="default" w:ascii="Times New Roman" w:hAnsi="Times New Roman" w:cs="Times New Roman"/>
                      <w:color w:val="auto"/>
                      <w:lang w:eastAsia="zh-CN"/>
                    </w:rPr>
                    <w:t>，</w:t>
                  </w:r>
                  <w:r>
                    <w:rPr>
                      <w:rFonts w:hint="default" w:ascii="Times New Roman" w:hAnsi="Times New Roman" w:cs="Times New Roman"/>
                      <w:color w:val="auto"/>
                    </w:rPr>
                    <w:t>并与省、市平台联网。指导区内企业规范安装在线监测设备并联网</w:t>
                  </w:r>
                  <w:r>
                    <w:rPr>
                      <w:rFonts w:hint="default" w:ascii="Times New Roman" w:hAnsi="Times New Roman" w:cs="Times New Roman"/>
                      <w:color w:val="auto"/>
                      <w:lang w:eastAsia="zh-CN"/>
                    </w:rPr>
                    <w:t>，</w:t>
                  </w:r>
                  <w:r>
                    <w:rPr>
                      <w:rFonts w:hint="default" w:ascii="Times New Roman" w:hAnsi="Times New Roman" w:cs="Times New Roman"/>
                      <w:color w:val="auto"/>
                    </w:rPr>
                    <w:t>推进区内排污许可重点管理单位自动监测全覆盖；暂不具备安装在线监测设备条件的企业</w:t>
                  </w:r>
                  <w:r>
                    <w:rPr>
                      <w:rFonts w:hint="default" w:ascii="Times New Roman" w:hAnsi="Times New Roman" w:cs="Times New Roman"/>
                      <w:color w:val="auto"/>
                      <w:lang w:eastAsia="zh-CN"/>
                    </w:rPr>
                    <w:t>，</w:t>
                  </w:r>
                  <w:r>
                    <w:rPr>
                      <w:rFonts w:hint="default" w:ascii="Times New Roman" w:hAnsi="Times New Roman" w:cs="Times New Roman"/>
                      <w:color w:val="auto"/>
                    </w:rPr>
                    <w:t>应做好委托监测工作。</w:t>
                  </w:r>
                </w:p>
              </w:tc>
              <w:tc>
                <w:tcPr>
                  <w:tcW w:w="1234" w:type="pct"/>
                  <w:noWrap w:val="0"/>
                  <w:vAlign w:val="center"/>
                </w:tcPr>
                <w:p w14:paraId="59AB545A">
                  <w:pPr>
                    <w:pStyle w:val="30"/>
                    <w:bidi w:val="0"/>
                    <w:rPr>
                      <w:rFonts w:hint="default" w:ascii="Times New Roman" w:hAnsi="Times New Roman" w:cs="Times New Roman"/>
                      <w:color w:val="auto"/>
                    </w:rPr>
                  </w:pPr>
                  <w:r>
                    <w:rPr>
                      <w:rFonts w:hint="default" w:ascii="Times New Roman" w:hAnsi="Times New Roman" w:cs="Times New Roman"/>
                      <w:color w:val="auto"/>
                    </w:rPr>
                    <w:t>本</w:t>
                  </w:r>
                  <w:r>
                    <w:rPr>
                      <w:rFonts w:hint="default" w:ascii="Times New Roman" w:hAnsi="Times New Roman" w:cs="Times New Roman"/>
                      <w:color w:val="auto"/>
                      <w:lang w:val="en-US" w:eastAsia="zh-CN"/>
                    </w:rPr>
                    <w:t>项目不涉及污染因子氟化物</w:t>
                  </w:r>
                  <w:r>
                    <w:rPr>
                      <w:rFonts w:hint="default" w:ascii="Times New Roman" w:hAnsi="Times New Roman" w:cs="Times New Roman"/>
                      <w:color w:val="auto"/>
                    </w:rPr>
                    <w:t>。废气、废水排口均加强污染源监管</w:t>
                  </w:r>
                  <w:r>
                    <w:rPr>
                      <w:rFonts w:hint="default" w:ascii="Times New Roman" w:hAnsi="Times New Roman" w:cs="Times New Roman"/>
                      <w:color w:val="auto"/>
                      <w:lang w:eastAsia="zh-CN"/>
                    </w:rPr>
                    <w:t>，</w:t>
                  </w:r>
                  <w:r>
                    <w:rPr>
                      <w:rFonts w:hint="default" w:ascii="Times New Roman" w:hAnsi="Times New Roman" w:cs="Times New Roman"/>
                      <w:color w:val="auto"/>
                    </w:rPr>
                    <w:t>确保污染物稳定达标排放。本项目</w:t>
                  </w:r>
                  <w:r>
                    <w:rPr>
                      <w:rFonts w:hint="default" w:ascii="Times New Roman" w:hAnsi="Times New Roman" w:cs="Times New Roman"/>
                      <w:color w:val="auto"/>
                      <w:lang w:val="en-US" w:eastAsia="zh-CN"/>
                    </w:rPr>
                    <w:t>将按排污许可要求委托有资质的检测公司开展监测工作</w:t>
                  </w:r>
                  <w:r>
                    <w:rPr>
                      <w:rFonts w:hint="default" w:ascii="Times New Roman" w:hAnsi="Times New Roman" w:cs="Times New Roman"/>
                      <w:color w:val="auto"/>
                    </w:rPr>
                    <w:t>。</w:t>
                  </w:r>
                </w:p>
              </w:tc>
              <w:tc>
                <w:tcPr>
                  <w:tcW w:w="432" w:type="pct"/>
                  <w:tcBorders>
                    <w:right w:val="nil"/>
                  </w:tcBorders>
                  <w:noWrap w:val="0"/>
                  <w:vAlign w:val="center"/>
                </w:tcPr>
                <w:p w14:paraId="387E3758">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32C0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left w:val="nil"/>
                  </w:tcBorders>
                  <w:noWrap w:val="0"/>
                  <w:vAlign w:val="center"/>
                </w:tcPr>
                <w:p w14:paraId="27254569">
                  <w:pPr>
                    <w:pStyle w:val="30"/>
                    <w:bidi w:val="0"/>
                    <w:rPr>
                      <w:rFonts w:hint="default" w:ascii="Times New Roman" w:hAnsi="Times New Roman" w:cs="Times New Roman"/>
                      <w:color w:val="auto"/>
                    </w:rPr>
                  </w:pPr>
                  <w:r>
                    <w:rPr>
                      <w:rFonts w:hint="default" w:ascii="Times New Roman" w:hAnsi="Times New Roman" w:cs="Times New Roman"/>
                      <w:color w:val="auto"/>
                    </w:rPr>
                    <w:t>6</w:t>
                  </w:r>
                </w:p>
              </w:tc>
              <w:tc>
                <w:tcPr>
                  <w:tcW w:w="3125" w:type="pct"/>
                  <w:noWrap w:val="0"/>
                  <w:vAlign w:val="center"/>
                </w:tcPr>
                <w:p w14:paraId="080FDFD7">
                  <w:pPr>
                    <w:pStyle w:val="30"/>
                    <w:bidi w:val="0"/>
                    <w:rPr>
                      <w:rFonts w:hint="default" w:ascii="Times New Roman" w:hAnsi="Times New Roman" w:cs="Times New Roman"/>
                      <w:color w:val="auto"/>
                    </w:rPr>
                  </w:pPr>
                  <w:r>
                    <w:rPr>
                      <w:rFonts w:hint="default" w:ascii="Times New Roman" w:hAnsi="Times New Roman" w:cs="Times New Roman"/>
                      <w:color w:val="auto"/>
                    </w:rPr>
                    <w:t>健全环境风险防控体系</w:t>
                  </w:r>
                  <w:r>
                    <w:rPr>
                      <w:rFonts w:hint="default" w:ascii="Times New Roman" w:hAnsi="Times New Roman" w:cs="Times New Roman"/>
                      <w:color w:val="auto"/>
                      <w:lang w:eastAsia="zh-CN"/>
                    </w:rPr>
                    <w:t>，</w:t>
                  </w:r>
                  <w:r>
                    <w:rPr>
                      <w:rFonts w:hint="default" w:ascii="Times New Roman" w:hAnsi="Times New Roman" w:cs="Times New Roman"/>
                      <w:color w:val="auto"/>
                    </w:rPr>
                    <w:t>提升环境应急能力。完善开发区风险防控体系建设</w:t>
                  </w:r>
                  <w:r>
                    <w:rPr>
                      <w:rFonts w:hint="default" w:ascii="Times New Roman" w:hAnsi="Times New Roman" w:cs="Times New Roman"/>
                      <w:color w:val="auto"/>
                      <w:lang w:eastAsia="zh-CN"/>
                    </w:rPr>
                    <w:t>，</w:t>
                  </w:r>
                  <w:r>
                    <w:rPr>
                      <w:rFonts w:hint="default" w:ascii="Times New Roman" w:hAnsi="Times New Roman" w:cs="Times New Roman"/>
                      <w:color w:val="auto"/>
                    </w:rPr>
                    <w:t>确保事故废水不进入外环境。加强环境应急基础设施建设</w:t>
                  </w:r>
                  <w:r>
                    <w:rPr>
                      <w:rFonts w:hint="default" w:ascii="Times New Roman" w:hAnsi="Times New Roman" w:cs="Times New Roman"/>
                      <w:color w:val="auto"/>
                      <w:lang w:eastAsia="zh-CN"/>
                    </w:rPr>
                    <w:t>，</w:t>
                  </w:r>
                  <w:r>
                    <w:rPr>
                      <w:rFonts w:hint="default" w:ascii="Times New Roman" w:hAnsi="Times New Roman" w:cs="Times New Roman"/>
                      <w:color w:val="auto"/>
                    </w:rPr>
                    <w:t>配备充足的应急装备物资</w:t>
                  </w:r>
                  <w:r>
                    <w:rPr>
                      <w:rFonts w:hint="default" w:ascii="Times New Roman" w:hAnsi="Times New Roman" w:cs="Times New Roman"/>
                      <w:color w:val="auto"/>
                      <w:lang w:eastAsia="zh-CN"/>
                    </w:rPr>
                    <w:t>，</w:t>
                  </w:r>
                  <w:r>
                    <w:rPr>
                      <w:rFonts w:hint="default" w:ascii="Times New Roman" w:hAnsi="Times New Roman" w:cs="Times New Roman"/>
                      <w:color w:val="auto"/>
                    </w:rPr>
                    <w:t>形成环境应急救援能力。健全环境风险评估和应急预案制度</w:t>
                  </w:r>
                  <w:r>
                    <w:rPr>
                      <w:rFonts w:hint="default" w:ascii="Times New Roman" w:hAnsi="Times New Roman" w:cs="Times New Roman"/>
                      <w:color w:val="auto"/>
                      <w:lang w:eastAsia="zh-CN"/>
                    </w:rPr>
                    <w:t>，</w:t>
                  </w:r>
                  <w:r>
                    <w:rPr>
                      <w:rFonts w:hint="default" w:ascii="Times New Roman" w:hAnsi="Times New Roman" w:cs="Times New Roman"/>
                      <w:color w:val="auto"/>
                    </w:rPr>
                    <w:t>定期开展环境应急演练</w:t>
                  </w:r>
                  <w:r>
                    <w:rPr>
                      <w:rFonts w:hint="default" w:ascii="Times New Roman" w:hAnsi="Times New Roman" w:cs="Times New Roman"/>
                      <w:color w:val="auto"/>
                      <w:lang w:eastAsia="zh-CN"/>
                    </w:rPr>
                    <w:t>，</w:t>
                  </w:r>
                  <w:r>
                    <w:rPr>
                      <w:rFonts w:hint="default" w:ascii="Times New Roman" w:hAnsi="Times New Roman" w:cs="Times New Roman"/>
                      <w:color w:val="auto"/>
                    </w:rPr>
                    <w:t>完善环境应急响应联动机制</w:t>
                  </w:r>
                  <w:r>
                    <w:rPr>
                      <w:rFonts w:hint="default" w:ascii="Times New Roman" w:hAnsi="Times New Roman" w:cs="Times New Roman"/>
                      <w:color w:val="auto"/>
                      <w:lang w:eastAsia="zh-CN"/>
                    </w:rPr>
                    <w:t>，</w:t>
                  </w:r>
                  <w:r>
                    <w:rPr>
                      <w:rFonts w:hint="default" w:ascii="Times New Roman" w:hAnsi="Times New Roman" w:cs="Times New Roman"/>
                      <w:color w:val="auto"/>
                    </w:rPr>
                    <w:t>提升应急实战水平。建立突发环境事件隐患排查长效机制</w:t>
                  </w:r>
                  <w:r>
                    <w:rPr>
                      <w:rFonts w:hint="default" w:ascii="Times New Roman" w:hAnsi="Times New Roman" w:cs="Times New Roman"/>
                      <w:color w:val="auto"/>
                      <w:lang w:eastAsia="zh-CN"/>
                    </w:rPr>
                    <w:t>，</w:t>
                  </w:r>
                  <w:r>
                    <w:rPr>
                      <w:rFonts w:hint="default" w:ascii="Times New Roman" w:hAnsi="Times New Roman" w:cs="Times New Roman"/>
                      <w:color w:val="auto"/>
                    </w:rPr>
                    <w:t>定期排查突发环境事件隐患</w:t>
                  </w:r>
                  <w:r>
                    <w:rPr>
                      <w:rFonts w:hint="default" w:ascii="Times New Roman" w:hAnsi="Times New Roman" w:cs="Times New Roman"/>
                      <w:color w:val="auto"/>
                      <w:lang w:eastAsia="zh-CN"/>
                    </w:rPr>
                    <w:t>，</w:t>
                  </w:r>
                  <w:r>
                    <w:rPr>
                      <w:rFonts w:hint="default" w:ascii="Times New Roman" w:hAnsi="Times New Roman" w:cs="Times New Roman"/>
                      <w:color w:val="auto"/>
                    </w:rPr>
                    <w:t>建立隐患清单并督促整改到位</w:t>
                  </w:r>
                  <w:r>
                    <w:rPr>
                      <w:rFonts w:hint="default" w:ascii="Times New Roman" w:hAnsi="Times New Roman" w:cs="Times New Roman"/>
                      <w:color w:val="auto"/>
                      <w:lang w:eastAsia="zh-CN"/>
                    </w:rPr>
                    <w:t>，</w:t>
                  </w:r>
                  <w:r>
                    <w:rPr>
                      <w:rFonts w:hint="default" w:ascii="Times New Roman" w:hAnsi="Times New Roman" w:cs="Times New Roman"/>
                      <w:color w:val="auto"/>
                    </w:rPr>
                    <w:t>保障区域环境安全。重点关注并督促指导涉重金属企业构筑“风险单元-管网、应急池-厂界”环境风险防控体系</w:t>
                  </w:r>
                  <w:r>
                    <w:rPr>
                      <w:rFonts w:hint="default" w:ascii="Times New Roman" w:hAnsi="Times New Roman" w:cs="Times New Roman"/>
                      <w:color w:val="auto"/>
                      <w:lang w:eastAsia="zh-CN"/>
                    </w:rPr>
                    <w:t>，</w:t>
                  </w:r>
                  <w:r>
                    <w:rPr>
                      <w:rFonts w:hint="default" w:ascii="Times New Roman" w:hAnsi="Times New Roman" w:cs="Times New Roman"/>
                      <w:color w:val="auto"/>
                    </w:rPr>
                    <w:t>严防涉重金属突发水污染事件</w:t>
                  </w:r>
                </w:p>
              </w:tc>
              <w:tc>
                <w:tcPr>
                  <w:tcW w:w="1234" w:type="pct"/>
                  <w:noWrap w:val="0"/>
                  <w:vAlign w:val="center"/>
                </w:tcPr>
                <w:p w14:paraId="496A2722">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企业将针对本次项目，进行突发环境事件应急预案的编制，</w:t>
                  </w:r>
                  <w:r>
                    <w:rPr>
                      <w:rFonts w:hint="eastAsia" w:ascii="Times New Roman" w:hAnsi="Times New Roman" w:cs="Times New Roman"/>
                      <w:color w:val="auto"/>
                      <w:lang w:val="en-US" w:eastAsia="zh-CN"/>
                    </w:rPr>
                    <w:t>制定</w:t>
                  </w:r>
                  <w:r>
                    <w:rPr>
                      <w:rFonts w:hint="default" w:ascii="Times New Roman" w:hAnsi="Times New Roman" w:cs="Times New Roman"/>
                      <w:color w:val="auto"/>
                    </w:rPr>
                    <w:t>环境应急措施</w:t>
                  </w:r>
                  <w:r>
                    <w:rPr>
                      <w:rFonts w:hint="default" w:ascii="Times New Roman" w:hAnsi="Times New Roman" w:cs="Times New Roman"/>
                      <w:color w:val="auto"/>
                      <w:lang w:eastAsia="zh-CN"/>
                    </w:rPr>
                    <w:t>，</w:t>
                  </w:r>
                  <w:r>
                    <w:rPr>
                      <w:rFonts w:hint="default" w:ascii="Times New Roman" w:hAnsi="Times New Roman" w:cs="Times New Roman"/>
                      <w:color w:val="auto"/>
                    </w:rPr>
                    <w:t>配备充足的应急装备物资</w:t>
                  </w:r>
                  <w:r>
                    <w:rPr>
                      <w:rFonts w:hint="default" w:ascii="Times New Roman" w:hAnsi="Times New Roman" w:cs="Times New Roman"/>
                      <w:color w:val="auto"/>
                      <w:lang w:eastAsia="zh-CN"/>
                    </w:rPr>
                    <w:t>，</w:t>
                  </w:r>
                  <w:r>
                    <w:rPr>
                      <w:rFonts w:hint="default" w:ascii="Times New Roman" w:hAnsi="Times New Roman" w:cs="Times New Roman"/>
                      <w:color w:val="auto"/>
                    </w:rPr>
                    <w:t>积极响应市、县、</w:t>
                  </w:r>
                  <w:r>
                    <w:rPr>
                      <w:rFonts w:hint="default" w:ascii="Times New Roman" w:hAnsi="Times New Roman" w:cs="Times New Roman"/>
                      <w:color w:val="auto"/>
                      <w:lang w:val="en-US" w:eastAsia="zh-CN"/>
                    </w:rPr>
                    <w:t>园区</w:t>
                  </w:r>
                  <w:r>
                    <w:rPr>
                      <w:rFonts w:hint="default" w:ascii="Times New Roman" w:hAnsi="Times New Roman" w:cs="Times New Roman"/>
                      <w:color w:val="auto"/>
                    </w:rPr>
                    <w:t>突发环境事件应急响应体系</w:t>
                  </w:r>
                  <w:r>
                    <w:rPr>
                      <w:rFonts w:hint="default" w:ascii="Times New Roman" w:hAnsi="Times New Roman" w:cs="Times New Roman"/>
                      <w:color w:val="auto"/>
                      <w:lang w:eastAsia="zh-CN"/>
                    </w:rPr>
                    <w:t>，</w:t>
                  </w:r>
                  <w:r>
                    <w:rPr>
                      <w:rFonts w:hint="default" w:ascii="Times New Roman" w:hAnsi="Times New Roman" w:cs="Times New Roman"/>
                      <w:color w:val="auto"/>
                    </w:rPr>
                    <w:t>组织</w:t>
                  </w:r>
                  <w:r>
                    <w:rPr>
                      <w:rFonts w:hint="default" w:ascii="Times New Roman" w:hAnsi="Times New Roman" w:cs="Times New Roman"/>
                      <w:color w:val="auto"/>
                      <w:lang w:val="en-US" w:eastAsia="zh-CN"/>
                    </w:rPr>
                    <w:t>有针对性的应急</w:t>
                  </w:r>
                  <w:r>
                    <w:rPr>
                      <w:rFonts w:hint="default" w:ascii="Times New Roman" w:hAnsi="Times New Roman" w:cs="Times New Roman"/>
                      <w:color w:val="auto"/>
                    </w:rPr>
                    <w:t>演练</w:t>
                  </w:r>
                  <w:r>
                    <w:rPr>
                      <w:rFonts w:hint="default" w:ascii="Times New Roman" w:hAnsi="Times New Roman" w:cs="Times New Roman"/>
                      <w:color w:val="auto"/>
                      <w:lang w:eastAsia="zh-CN"/>
                    </w:rPr>
                    <w:t>，</w:t>
                  </w:r>
                  <w:r>
                    <w:rPr>
                      <w:rFonts w:hint="default" w:ascii="Times New Roman" w:hAnsi="Times New Roman" w:cs="Times New Roman"/>
                      <w:color w:val="auto"/>
                    </w:rPr>
                    <w:t>从而提高应急处置能力</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并及时进行备案。</w:t>
                  </w:r>
                </w:p>
              </w:tc>
              <w:tc>
                <w:tcPr>
                  <w:tcW w:w="432" w:type="pct"/>
                  <w:tcBorders>
                    <w:right w:val="nil"/>
                  </w:tcBorders>
                  <w:noWrap w:val="0"/>
                  <w:vAlign w:val="center"/>
                </w:tcPr>
                <w:p w14:paraId="535EB2D7">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6FFD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 w:type="pct"/>
                  <w:tcBorders>
                    <w:left w:val="nil"/>
                    <w:bottom w:val="single" w:color="auto" w:sz="12" w:space="0"/>
                  </w:tcBorders>
                  <w:noWrap w:val="0"/>
                  <w:vAlign w:val="center"/>
                </w:tcPr>
                <w:p w14:paraId="3A9C34D3">
                  <w:pPr>
                    <w:pStyle w:val="30"/>
                    <w:bidi w:val="0"/>
                    <w:rPr>
                      <w:rFonts w:hint="default" w:ascii="Times New Roman" w:hAnsi="Times New Roman" w:cs="Times New Roman"/>
                      <w:color w:val="auto"/>
                    </w:rPr>
                  </w:pPr>
                  <w:r>
                    <w:rPr>
                      <w:rFonts w:hint="default" w:ascii="Times New Roman" w:hAnsi="Times New Roman" w:cs="Times New Roman"/>
                      <w:color w:val="auto"/>
                    </w:rPr>
                    <w:t>7</w:t>
                  </w:r>
                </w:p>
              </w:tc>
              <w:tc>
                <w:tcPr>
                  <w:tcW w:w="3125" w:type="pct"/>
                  <w:tcBorders>
                    <w:bottom w:val="single" w:color="auto" w:sz="12" w:space="0"/>
                  </w:tcBorders>
                  <w:noWrap w:val="0"/>
                  <w:vAlign w:val="center"/>
                </w:tcPr>
                <w:p w14:paraId="38162781">
                  <w:pPr>
                    <w:pStyle w:val="30"/>
                    <w:bidi w:val="0"/>
                    <w:rPr>
                      <w:rFonts w:hint="default" w:ascii="Times New Roman" w:hAnsi="Times New Roman" w:cs="Times New Roman"/>
                      <w:color w:val="auto"/>
                    </w:rPr>
                  </w:pPr>
                  <w:r>
                    <w:rPr>
                      <w:rFonts w:hint="default" w:ascii="Times New Roman" w:hAnsi="Times New Roman" w:cs="Times New Roman"/>
                      <w:color w:val="auto"/>
                    </w:rPr>
                    <w:t>切实加强园区环境管理。健全园区环境管理机构</w:t>
                  </w:r>
                  <w:r>
                    <w:rPr>
                      <w:rFonts w:hint="default" w:ascii="Times New Roman" w:hAnsi="Times New Roman" w:cs="Times New Roman"/>
                      <w:color w:val="auto"/>
                      <w:lang w:eastAsia="zh-CN"/>
                    </w:rPr>
                    <w:t>，</w:t>
                  </w:r>
                  <w:r>
                    <w:rPr>
                      <w:rFonts w:hint="default" w:ascii="Times New Roman" w:hAnsi="Times New Roman" w:cs="Times New Roman"/>
                      <w:color w:val="auto"/>
                    </w:rPr>
                    <w:t>严格环境管理制度</w:t>
                  </w:r>
                  <w:r>
                    <w:rPr>
                      <w:rFonts w:hint="default" w:ascii="Times New Roman" w:hAnsi="Times New Roman" w:cs="Times New Roman"/>
                      <w:color w:val="auto"/>
                      <w:lang w:eastAsia="zh-CN"/>
                    </w:rPr>
                    <w:t>，</w:t>
                  </w:r>
                  <w:r>
                    <w:rPr>
                      <w:rFonts w:hint="default" w:ascii="Times New Roman" w:hAnsi="Times New Roman" w:cs="Times New Roman"/>
                      <w:color w:val="auto"/>
                    </w:rPr>
                    <w:t>强化日常环境监督管理</w:t>
                  </w:r>
                  <w:r>
                    <w:rPr>
                      <w:rFonts w:hint="default" w:ascii="Times New Roman" w:hAnsi="Times New Roman" w:cs="Times New Roman"/>
                      <w:color w:val="auto"/>
                      <w:lang w:eastAsia="zh-CN"/>
                    </w:rPr>
                    <w:t>，</w:t>
                  </w:r>
                  <w:r>
                    <w:rPr>
                      <w:rFonts w:hint="default" w:ascii="Times New Roman" w:hAnsi="Times New Roman" w:cs="Times New Roman"/>
                      <w:color w:val="auto"/>
                    </w:rPr>
                    <w:t>落实区域环境质量监测和污染源监控计划；加快推进区内企业竣工环保验收进程</w:t>
                  </w:r>
                  <w:r>
                    <w:rPr>
                      <w:rFonts w:hint="default" w:ascii="Times New Roman" w:hAnsi="Times New Roman" w:cs="Times New Roman"/>
                      <w:color w:val="auto"/>
                      <w:lang w:eastAsia="zh-CN"/>
                    </w:rPr>
                    <w:t>，</w:t>
                  </w:r>
                  <w:r>
                    <w:rPr>
                      <w:rFonts w:hint="default" w:ascii="Times New Roman" w:hAnsi="Times New Roman" w:cs="Times New Roman"/>
                      <w:color w:val="auto"/>
                    </w:rPr>
                    <w:t>今后所有入区企业和项目须严格执行环境影响评价和</w:t>
                  </w:r>
                  <w:r>
                    <w:rPr>
                      <w:rFonts w:hint="eastAsia" w:ascii="Times New Roman" w:cs="Times New Roman"/>
                      <w:color w:val="auto"/>
                      <w:lang w:eastAsia="zh-CN"/>
                    </w:rPr>
                    <w:t>“</w:t>
                  </w:r>
                  <w:r>
                    <w:rPr>
                      <w:rFonts w:hint="default" w:ascii="Times New Roman" w:hAnsi="Times New Roman" w:cs="Times New Roman"/>
                      <w:color w:val="auto"/>
                    </w:rPr>
                    <w:t>三同时</w:t>
                  </w:r>
                  <w:r>
                    <w:rPr>
                      <w:rFonts w:hint="eastAsia" w:ascii="Times New Roman" w:cs="Times New Roman"/>
                      <w:color w:val="auto"/>
                      <w:lang w:eastAsia="zh-CN"/>
                    </w:rPr>
                    <w:t>”</w:t>
                  </w:r>
                  <w:r>
                    <w:rPr>
                      <w:rFonts w:hint="default" w:ascii="Times New Roman" w:hAnsi="Times New Roman" w:cs="Times New Roman"/>
                      <w:color w:val="auto"/>
                    </w:rPr>
                    <w:t>制度；完善园区和企业风险防范措施与应急预案</w:t>
                  </w:r>
                  <w:r>
                    <w:rPr>
                      <w:rFonts w:hint="default" w:ascii="Times New Roman" w:hAnsi="Times New Roman" w:cs="Times New Roman"/>
                      <w:color w:val="auto"/>
                      <w:lang w:eastAsia="zh-CN"/>
                    </w:rPr>
                    <w:t>，</w:t>
                  </w:r>
                  <w:r>
                    <w:rPr>
                      <w:rFonts w:hint="default" w:ascii="Times New Roman" w:hAnsi="Times New Roman" w:cs="Times New Roman"/>
                      <w:color w:val="auto"/>
                    </w:rPr>
                    <w:t>定期开展应急演练；制定危险化学品登记管理制度；进一步梳理区内不符合产业定位或环境管理要求的企业和项目</w:t>
                  </w:r>
                  <w:r>
                    <w:rPr>
                      <w:rFonts w:hint="default" w:ascii="Times New Roman" w:hAnsi="Times New Roman" w:cs="Times New Roman"/>
                      <w:color w:val="auto"/>
                      <w:lang w:eastAsia="zh-CN"/>
                    </w:rPr>
                    <w:t>，</w:t>
                  </w:r>
                  <w:r>
                    <w:rPr>
                      <w:rFonts w:hint="default" w:ascii="Times New Roman" w:hAnsi="Times New Roman" w:cs="Times New Roman"/>
                      <w:color w:val="auto"/>
                    </w:rPr>
                    <w:t>提出并落实整改措施；开展区内各河道水环境综合整治。</w:t>
                  </w:r>
                </w:p>
              </w:tc>
              <w:tc>
                <w:tcPr>
                  <w:tcW w:w="1234" w:type="pct"/>
                  <w:tcBorders>
                    <w:bottom w:val="single" w:color="auto" w:sz="12" w:space="0"/>
                  </w:tcBorders>
                  <w:noWrap w:val="0"/>
                  <w:vAlign w:val="center"/>
                </w:tcPr>
                <w:p w14:paraId="0F9799B3">
                  <w:pPr>
                    <w:pStyle w:val="30"/>
                    <w:bidi w:val="0"/>
                    <w:rPr>
                      <w:rFonts w:hint="default" w:ascii="Times New Roman" w:hAnsi="Times New Roman" w:cs="Times New Roman"/>
                      <w:color w:val="auto"/>
                    </w:rPr>
                  </w:pPr>
                  <w:r>
                    <w:rPr>
                      <w:rFonts w:hint="default" w:ascii="Times New Roman" w:hAnsi="Times New Roman" w:cs="Times New Roman"/>
                      <w:color w:val="auto"/>
                    </w:rPr>
                    <w:t>企业切实加强环境管理制度</w:t>
                  </w:r>
                  <w:r>
                    <w:rPr>
                      <w:rFonts w:hint="default" w:ascii="Times New Roman" w:hAnsi="Times New Roman" w:cs="Times New Roman"/>
                      <w:color w:val="auto"/>
                      <w:lang w:eastAsia="zh-CN"/>
                    </w:rPr>
                    <w:t>，</w:t>
                  </w:r>
                  <w:r>
                    <w:rPr>
                      <w:rFonts w:hint="default" w:ascii="Times New Roman" w:hAnsi="Times New Roman" w:cs="Times New Roman"/>
                      <w:color w:val="auto"/>
                    </w:rPr>
                    <w:t>强化日常环境监督管理</w:t>
                  </w:r>
                  <w:r>
                    <w:rPr>
                      <w:rFonts w:hint="default" w:ascii="Times New Roman" w:hAnsi="Times New Roman" w:cs="Times New Roman"/>
                      <w:color w:val="auto"/>
                      <w:lang w:eastAsia="zh-CN"/>
                    </w:rPr>
                    <w:t>，</w:t>
                  </w:r>
                  <w:r>
                    <w:rPr>
                      <w:rFonts w:hint="default" w:ascii="Times New Roman" w:hAnsi="Times New Roman" w:cs="Times New Roman"/>
                      <w:color w:val="auto"/>
                    </w:rPr>
                    <w:t>严格执行</w:t>
                  </w:r>
                  <w:r>
                    <w:rPr>
                      <w:rFonts w:hint="eastAsia" w:ascii="Times New Roman" w:cs="Times New Roman"/>
                      <w:color w:val="auto"/>
                      <w:lang w:eastAsia="zh-CN"/>
                    </w:rPr>
                    <w:t>“</w:t>
                  </w:r>
                  <w:r>
                    <w:rPr>
                      <w:rFonts w:hint="default" w:ascii="Times New Roman" w:hAnsi="Times New Roman" w:cs="Times New Roman"/>
                      <w:color w:val="auto"/>
                    </w:rPr>
                    <w:t>三同时</w:t>
                  </w:r>
                  <w:r>
                    <w:rPr>
                      <w:rFonts w:hint="eastAsia" w:ascii="Times New Roman" w:cs="Times New Roman"/>
                      <w:color w:val="auto"/>
                      <w:lang w:eastAsia="zh-CN"/>
                    </w:rPr>
                    <w:t>”</w:t>
                  </w:r>
                  <w:r>
                    <w:rPr>
                      <w:rFonts w:hint="default" w:ascii="Times New Roman" w:hAnsi="Times New Roman" w:cs="Times New Roman"/>
                      <w:color w:val="auto"/>
                    </w:rPr>
                    <w:t>制度。</w:t>
                  </w:r>
                </w:p>
              </w:tc>
              <w:tc>
                <w:tcPr>
                  <w:tcW w:w="432" w:type="pct"/>
                  <w:tcBorders>
                    <w:bottom w:val="single" w:color="auto" w:sz="12" w:space="0"/>
                    <w:right w:val="nil"/>
                  </w:tcBorders>
                  <w:noWrap w:val="0"/>
                  <w:vAlign w:val="center"/>
                </w:tcPr>
                <w:p w14:paraId="0D494387">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bl>
          <w:p w14:paraId="41F7725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r>
              <w:rPr>
                <w:color w:val="auto"/>
              </w:rPr>
              <w:t>综上所述</w:t>
            </w:r>
            <w:r>
              <w:rPr>
                <w:rFonts w:hint="eastAsia"/>
                <w:color w:val="auto"/>
                <w:lang w:eastAsia="zh-CN"/>
              </w:rPr>
              <w:t>，</w:t>
            </w:r>
            <w:r>
              <w:rPr>
                <w:color w:val="auto"/>
              </w:rPr>
              <w:t>本项目符合开发区环境保护的总体要求</w:t>
            </w:r>
            <w:r>
              <w:rPr>
                <w:rFonts w:hint="eastAsia"/>
                <w:color w:val="auto"/>
                <w:lang w:eastAsia="zh-CN"/>
              </w:rPr>
              <w:t>，</w:t>
            </w:r>
            <w:r>
              <w:rPr>
                <w:color w:val="auto"/>
              </w:rPr>
              <w:t>符合涟水经济开发区规划环评结论及审查意见</w:t>
            </w:r>
            <w:r>
              <w:rPr>
                <w:rFonts w:hint="eastAsia"/>
                <w:color w:val="auto"/>
                <w:lang w:eastAsia="zh-CN"/>
              </w:rPr>
              <w:t>，</w:t>
            </w:r>
            <w:r>
              <w:rPr>
                <w:color w:val="auto"/>
              </w:rPr>
              <w:t>符合生态环境准入要求</w:t>
            </w:r>
            <w:r>
              <w:rPr>
                <w:rFonts w:hint="eastAsia"/>
                <w:color w:val="auto"/>
                <w:lang w:eastAsia="zh-CN"/>
              </w:rPr>
              <w:t>。</w:t>
            </w:r>
          </w:p>
          <w:p w14:paraId="7F566D3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5840F76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4F01A64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7F9D7E9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1A77CEA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5629419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311708A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06314BB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609025F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752BB41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3F21138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3531EE4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05B2C1C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4E997BD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7225C17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4F65DC4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2B885B2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786FD5B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2BEF251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4F36247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2531C46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4B41531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6832961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05AF7C4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22C6151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20D5DFC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503A0B0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6651076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p>
          <w:p w14:paraId="5982EA6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color w:val="auto"/>
              </w:rPr>
            </w:pPr>
          </w:p>
          <w:p w14:paraId="4F7519E9">
            <w:pPr>
              <w:pStyle w:val="19"/>
              <w:rPr>
                <w:color w:val="auto"/>
              </w:rPr>
            </w:pPr>
          </w:p>
          <w:p w14:paraId="041BCA65">
            <w:pPr>
              <w:pStyle w:val="18"/>
              <w:rPr>
                <w:color w:val="auto"/>
              </w:rPr>
            </w:pPr>
          </w:p>
        </w:tc>
      </w:tr>
      <w:tr w14:paraId="31784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956" w:type="dxa"/>
            <w:noWrap w:val="0"/>
            <w:vAlign w:val="center"/>
          </w:tcPr>
          <w:p w14:paraId="4BE15286">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7914" w:type="dxa"/>
            <w:gridSpan w:val="3"/>
            <w:noWrap w:val="0"/>
            <w:vAlign w:val="center"/>
          </w:tcPr>
          <w:p w14:paraId="1F795ED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b w:val="0"/>
                <w:bCs w:val="0"/>
                <w:color w:val="auto"/>
                <w:sz w:val="24"/>
              </w:rPr>
            </w:pPr>
            <w:r>
              <w:rPr>
                <w:rFonts w:ascii="Times New Roman" w:hAnsi="Times New Roman" w:eastAsia="宋体" w:cs="Times New Roman"/>
                <w:b w:val="0"/>
                <w:bCs w:val="0"/>
                <w:color w:val="auto"/>
                <w:kern w:val="2"/>
                <w:sz w:val="24"/>
                <w:szCs w:val="24"/>
                <w:lang w:val="en-US" w:eastAsia="zh-CN" w:bidi="ar-SA"/>
              </w:rPr>
              <w:t>1、</w:t>
            </w:r>
            <w:r>
              <w:rPr>
                <w:rFonts w:hint="eastAsia"/>
                <w:b w:val="0"/>
                <w:bCs w:val="0"/>
                <w:color w:val="auto"/>
                <w:sz w:val="24"/>
              </w:rPr>
              <w:t>“三线一单”相符性分析</w:t>
            </w:r>
          </w:p>
          <w:p w14:paraId="7274EE4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（1）生态红线</w:t>
            </w:r>
          </w:p>
          <w:p w14:paraId="2DF507F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rPr>
            </w:pPr>
            <w:r>
              <w:rPr>
                <w:color w:val="auto"/>
                <w:sz w:val="24"/>
              </w:rPr>
              <w:t>①拟建项目与《省政府关于印发江苏省生态空间管控区域规划的通知》（苏政发〔2020〕1号）相符性分析见</w:t>
            </w:r>
            <w:r>
              <w:rPr>
                <w:rFonts w:hint="eastAsia"/>
                <w:color w:val="auto"/>
                <w:sz w:val="24"/>
                <w:lang w:val="en-US" w:eastAsia="zh-CN"/>
              </w:rPr>
              <w:t>下表</w:t>
            </w:r>
            <w:r>
              <w:rPr>
                <w:color w:val="auto"/>
                <w:sz w:val="24"/>
              </w:rPr>
              <w:t>。</w:t>
            </w:r>
          </w:p>
          <w:p w14:paraId="35A8351D">
            <w:pPr>
              <w:pStyle w:val="19"/>
              <w:spacing w:line="240" w:lineRule="auto"/>
              <w:ind w:left="105" w:leftChars="50"/>
              <w:jc w:val="center"/>
              <w:rPr>
                <w:color w:val="auto"/>
                <w:sz w:val="24"/>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 xml:space="preserve">3 </w:t>
            </w:r>
            <w:r>
              <w:rPr>
                <w:rFonts w:ascii="Times New Roman" w:hAnsi="Times New Roman"/>
                <w:b/>
                <w:bCs/>
                <w:color w:val="auto"/>
                <w:sz w:val="21"/>
                <w:szCs w:val="21"/>
              </w:rPr>
              <w:t>本项目与苏政发〔2020〕1号文相符性分析</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60"/>
              <w:gridCol w:w="684"/>
              <w:gridCol w:w="684"/>
              <w:gridCol w:w="2284"/>
              <w:gridCol w:w="2060"/>
              <w:gridCol w:w="1123"/>
            </w:tblGrid>
            <w:tr w14:paraId="39156F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restart"/>
                  <w:noWrap w:val="0"/>
                  <w:vAlign w:val="center"/>
                </w:tcPr>
                <w:p w14:paraId="165B980A">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生态空间保护区域名称</w:t>
                  </w:r>
                </w:p>
              </w:tc>
              <w:tc>
                <w:tcPr>
                  <w:tcW w:w="444" w:type="pct"/>
                  <w:vMerge w:val="restart"/>
                  <w:noWrap w:val="0"/>
                  <w:vAlign w:val="center"/>
                </w:tcPr>
                <w:p w14:paraId="6E19E25C">
                  <w:pPr>
                    <w:pStyle w:val="30"/>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县（市、区）</w:t>
                  </w:r>
                </w:p>
              </w:tc>
              <w:tc>
                <w:tcPr>
                  <w:tcW w:w="444" w:type="pct"/>
                  <w:vMerge w:val="restart"/>
                  <w:noWrap w:val="0"/>
                  <w:vAlign w:val="center"/>
                </w:tcPr>
                <w:p w14:paraId="1BA0C747">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主导生态功能</w:t>
                  </w:r>
                </w:p>
              </w:tc>
              <w:tc>
                <w:tcPr>
                  <w:tcW w:w="2823" w:type="pct"/>
                  <w:gridSpan w:val="2"/>
                  <w:noWrap w:val="0"/>
                  <w:vAlign w:val="center"/>
                </w:tcPr>
                <w:p w14:paraId="265D9D35">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范围</w:t>
                  </w:r>
                </w:p>
              </w:tc>
              <w:tc>
                <w:tcPr>
                  <w:tcW w:w="729" w:type="pct"/>
                  <w:vMerge w:val="restart"/>
                  <w:noWrap w:val="0"/>
                  <w:vAlign w:val="center"/>
                </w:tcPr>
                <w:p w14:paraId="3D4897B8">
                  <w:pPr>
                    <w:pStyle w:val="30"/>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与本项目位置关系</w:t>
                  </w:r>
                </w:p>
              </w:tc>
            </w:tr>
            <w:tr w14:paraId="7AF761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continue"/>
                  <w:noWrap w:val="0"/>
                  <w:vAlign w:val="center"/>
                </w:tcPr>
                <w:p w14:paraId="7113507A">
                  <w:pPr>
                    <w:pStyle w:val="30"/>
                    <w:bidi w:val="0"/>
                    <w:rPr>
                      <w:rFonts w:hint="default" w:ascii="Times New Roman" w:hAnsi="Times New Roman" w:eastAsia="宋体" w:cs="Times New Roman"/>
                      <w:color w:val="auto"/>
                      <w:sz w:val="21"/>
                    </w:rPr>
                  </w:pPr>
                </w:p>
              </w:tc>
              <w:tc>
                <w:tcPr>
                  <w:tcW w:w="444" w:type="pct"/>
                  <w:vMerge w:val="continue"/>
                  <w:noWrap w:val="0"/>
                  <w:vAlign w:val="center"/>
                </w:tcPr>
                <w:p w14:paraId="6FC62BD3">
                  <w:pPr>
                    <w:pStyle w:val="30"/>
                    <w:bidi w:val="0"/>
                    <w:rPr>
                      <w:rFonts w:hint="default" w:ascii="Times New Roman" w:hAnsi="Times New Roman" w:eastAsia="宋体" w:cs="Times New Roman"/>
                      <w:color w:val="auto"/>
                      <w:sz w:val="21"/>
                    </w:rPr>
                  </w:pPr>
                </w:p>
              </w:tc>
              <w:tc>
                <w:tcPr>
                  <w:tcW w:w="444" w:type="pct"/>
                  <w:vMerge w:val="continue"/>
                  <w:noWrap w:val="0"/>
                  <w:vAlign w:val="center"/>
                </w:tcPr>
                <w:p w14:paraId="660BFCE7">
                  <w:pPr>
                    <w:pStyle w:val="30"/>
                    <w:bidi w:val="0"/>
                    <w:rPr>
                      <w:rFonts w:hint="default" w:ascii="Times New Roman" w:hAnsi="Times New Roman" w:eastAsia="宋体" w:cs="Times New Roman"/>
                      <w:color w:val="auto"/>
                      <w:sz w:val="21"/>
                    </w:rPr>
                  </w:pPr>
                </w:p>
              </w:tc>
              <w:tc>
                <w:tcPr>
                  <w:tcW w:w="1484" w:type="pct"/>
                  <w:noWrap w:val="0"/>
                  <w:vAlign w:val="center"/>
                </w:tcPr>
                <w:p w14:paraId="06ED24C4">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国家级</w:t>
                  </w:r>
                  <w:r>
                    <w:rPr>
                      <w:rFonts w:hint="eastAsia" w:ascii="Times New Roman" w:cs="Times New Roman"/>
                      <w:color w:val="auto"/>
                      <w:sz w:val="21"/>
                      <w:lang w:eastAsia="zh-CN"/>
                    </w:rPr>
                    <w:t>生态保护红线</w:t>
                  </w:r>
                  <w:r>
                    <w:rPr>
                      <w:rFonts w:hint="default" w:ascii="Times New Roman" w:hAnsi="Times New Roman" w:eastAsia="宋体" w:cs="Times New Roman"/>
                      <w:color w:val="auto"/>
                      <w:sz w:val="21"/>
                    </w:rPr>
                    <w:t>范围</w:t>
                  </w:r>
                </w:p>
              </w:tc>
              <w:tc>
                <w:tcPr>
                  <w:tcW w:w="1338" w:type="pct"/>
                  <w:noWrap w:val="0"/>
                  <w:vAlign w:val="center"/>
                </w:tcPr>
                <w:p w14:paraId="6B37E427">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生态空间管控区域范围</w:t>
                  </w:r>
                </w:p>
              </w:tc>
              <w:tc>
                <w:tcPr>
                  <w:tcW w:w="729" w:type="pct"/>
                  <w:vMerge w:val="continue"/>
                  <w:noWrap w:val="0"/>
                  <w:vAlign w:val="center"/>
                </w:tcPr>
                <w:p w14:paraId="42A94D53">
                  <w:pPr>
                    <w:pStyle w:val="30"/>
                    <w:bidi w:val="0"/>
                    <w:rPr>
                      <w:rFonts w:hint="default" w:ascii="Times New Roman" w:hAnsi="Times New Roman" w:eastAsia="宋体" w:cs="Times New Roman"/>
                      <w:color w:val="auto"/>
                      <w:sz w:val="21"/>
                    </w:rPr>
                  </w:pPr>
                </w:p>
              </w:tc>
            </w:tr>
            <w:tr w14:paraId="0FDD4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noWrap w:val="0"/>
                  <w:vAlign w:val="center"/>
                </w:tcPr>
                <w:p w14:paraId="315A5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废黄河（涟水县）重要湿地</w:t>
                  </w:r>
                </w:p>
              </w:tc>
              <w:tc>
                <w:tcPr>
                  <w:tcW w:w="444" w:type="pct"/>
                  <w:noWrap w:val="0"/>
                  <w:vAlign w:val="center"/>
                </w:tcPr>
                <w:p w14:paraId="7F0A53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lang w:val="en-US" w:eastAsia="zh-CN"/>
                    </w:rPr>
                  </w:pPr>
                  <w:r>
                    <w:rPr>
                      <w:rFonts w:ascii="Times New Roman" w:hAnsi="Times New Roman" w:eastAsia="宋体"/>
                      <w:color w:val="auto"/>
                      <w:sz w:val="21"/>
                      <w:szCs w:val="21"/>
                      <w:lang w:bidi="ar"/>
                    </w:rPr>
                    <w:t>涟水县</w:t>
                  </w:r>
                </w:p>
              </w:tc>
              <w:tc>
                <w:tcPr>
                  <w:tcW w:w="444" w:type="pct"/>
                  <w:noWrap w:val="0"/>
                  <w:vAlign w:val="center"/>
                </w:tcPr>
                <w:p w14:paraId="4A7D7DA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湿地生态系统保护</w:t>
                  </w:r>
                </w:p>
              </w:tc>
              <w:tc>
                <w:tcPr>
                  <w:tcW w:w="1484" w:type="pct"/>
                  <w:noWrap w:val="0"/>
                  <w:vAlign w:val="center"/>
                </w:tcPr>
                <w:p w14:paraId="77D1181E">
                  <w:pPr>
                    <w:pStyle w:val="30"/>
                    <w:bidi w:val="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1338" w:type="pct"/>
                  <w:noWrap w:val="0"/>
                  <w:vAlign w:val="center"/>
                </w:tcPr>
                <w:p w14:paraId="58EE3CEC">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涟水县境内全长78公里，入口保滩镇殷家渡，出口石湖镇张滩，废黄河北岸保滩镇周庄村至石湖镇张滩村</w:t>
                  </w:r>
                </w:p>
              </w:tc>
              <w:tc>
                <w:tcPr>
                  <w:tcW w:w="729" w:type="pct"/>
                  <w:noWrap w:val="0"/>
                  <w:vAlign w:val="center"/>
                </w:tcPr>
                <w:p w14:paraId="5B1FFD9D">
                  <w:pPr>
                    <w:pStyle w:val="30"/>
                    <w:bidi w:val="0"/>
                    <w:rPr>
                      <w:rFonts w:hint="default" w:ascii="Times New Roman" w:hAnsi="Times New Roman" w:eastAsia="宋体" w:cs="Times New Roman"/>
                      <w:color w:val="auto"/>
                      <w:sz w:val="21"/>
                      <w:lang w:val="en-US" w:eastAsia="zh-CN"/>
                    </w:rPr>
                  </w:pPr>
                  <w:r>
                    <w:rPr>
                      <w:rFonts w:hint="eastAsia" w:ascii="Times New Roman" w:cs="Times New Roman"/>
                      <w:color w:val="auto"/>
                      <w:sz w:val="21"/>
                      <w:lang w:val="en-US" w:eastAsia="zh-CN"/>
                    </w:rPr>
                    <w:t>S</w:t>
                  </w:r>
                  <w:r>
                    <w:rPr>
                      <w:rFonts w:hint="eastAsia" w:ascii="Times New Roman" w:hAnsi="Times New Roman" w:eastAsia="宋体" w:cs="Times New Roman"/>
                      <w:color w:val="auto"/>
                      <w:sz w:val="21"/>
                      <w:lang w:val="en-US" w:eastAsia="zh-CN"/>
                    </w:rPr>
                    <w:t>E</w:t>
                  </w:r>
                  <w:r>
                    <w:rPr>
                      <w:rFonts w:hint="eastAsia" w:ascii="Times New Roman" w:cs="Times New Roman"/>
                      <w:color w:val="auto"/>
                      <w:sz w:val="21"/>
                      <w:lang w:val="en-US" w:eastAsia="zh-CN"/>
                    </w:rPr>
                    <w:t>5.61</w:t>
                  </w:r>
                  <w:r>
                    <w:rPr>
                      <w:rFonts w:hint="default" w:ascii="Times New Roman" w:hAnsi="Times New Roman" w:eastAsia="宋体" w:cs="Times New Roman"/>
                      <w:color w:val="auto"/>
                      <w:sz w:val="21"/>
                      <w:lang w:val="en-US" w:eastAsia="zh-CN"/>
                    </w:rPr>
                    <w:t>km</w:t>
                  </w:r>
                </w:p>
              </w:tc>
            </w:tr>
          </w:tbl>
          <w:p w14:paraId="4776D5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由上表可知，距离建设项目最近的江苏省生态空间管控区域为废黄河（涟水县）重要湿地，位于本项目东南侧约5.</w:t>
            </w:r>
            <w:r>
              <w:rPr>
                <w:rFonts w:hint="eastAsia"/>
                <w:color w:val="auto"/>
                <w:sz w:val="24"/>
                <w:lang w:val="en-US" w:eastAsia="zh-CN"/>
              </w:rPr>
              <w:t>61</w:t>
            </w:r>
            <w:r>
              <w:rPr>
                <w:rFonts w:hint="eastAsia"/>
                <w:color w:val="auto"/>
                <w:sz w:val="24"/>
              </w:rPr>
              <w:t>km左右。因此，本项目建设与《省政府关于印发江苏省生态空间管控区域规划的通知》（苏政发〔2020〕1号）相符</w:t>
            </w:r>
            <w:r>
              <w:rPr>
                <w:color w:val="auto"/>
                <w:sz w:val="24"/>
              </w:rPr>
              <w:t>。</w:t>
            </w:r>
          </w:p>
          <w:p w14:paraId="031DF7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②拟建项目与《江苏省国家级生态保护红线规划》（苏政发〔2018〕74号）相符性分析见</w:t>
            </w:r>
            <w:r>
              <w:rPr>
                <w:rFonts w:hint="eastAsia"/>
                <w:color w:val="auto"/>
                <w:sz w:val="24"/>
                <w:lang w:val="en-US" w:eastAsia="zh-CN"/>
              </w:rPr>
              <w:t>下表</w:t>
            </w:r>
            <w:r>
              <w:rPr>
                <w:color w:val="auto"/>
                <w:sz w:val="24"/>
              </w:rPr>
              <w:t>。</w:t>
            </w:r>
          </w:p>
          <w:p w14:paraId="15BA4352">
            <w:pPr>
              <w:pStyle w:val="19"/>
              <w:spacing w:line="240" w:lineRule="auto"/>
              <w:ind w:left="105" w:leftChars="50"/>
              <w:jc w:val="center"/>
              <w:rPr>
                <w:rFonts w:ascii="Times New Roman" w:hAnsi="Times New Roman"/>
                <w:b/>
                <w:bCs/>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 xml:space="preserve">4  </w:t>
            </w:r>
            <w:r>
              <w:rPr>
                <w:rFonts w:ascii="Times New Roman" w:hAnsi="Times New Roman"/>
                <w:b/>
                <w:bCs/>
                <w:color w:val="auto"/>
                <w:sz w:val="21"/>
                <w:szCs w:val="21"/>
              </w:rPr>
              <w:t>本项目与苏政发〔2018〕74号文相符性分析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47"/>
              <w:gridCol w:w="585"/>
              <w:gridCol w:w="771"/>
              <w:gridCol w:w="516"/>
              <w:gridCol w:w="3405"/>
              <w:gridCol w:w="907"/>
              <w:gridCol w:w="963"/>
            </w:tblGrid>
            <w:tr w14:paraId="6FADB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735" w:type="pct"/>
                  <w:gridSpan w:val="2"/>
                  <w:tcBorders>
                    <w:top w:val="single" w:color="auto" w:sz="12" w:space="0"/>
                    <w:left w:val="nil"/>
                    <w:bottom w:val="single" w:color="auto" w:sz="4" w:space="0"/>
                    <w:right w:val="single" w:color="auto" w:sz="4" w:space="0"/>
                  </w:tcBorders>
                  <w:noWrap w:val="0"/>
                  <w:vAlign w:val="center"/>
                </w:tcPr>
                <w:p w14:paraId="1FAD9C15">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所在行政区域</w:t>
                  </w:r>
                </w:p>
              </w:tc>
              <w:tc>
                <w:tcPr>
                  <w:tcW w:w="501" w:type="pct"/>
                  <w:vMerge w:val="restart"/>
                  <w:tcBorders>
                    <w:top w:val="single" w:color="auto" w:sz="12" w:space="0"/>
                    <w:left w:val="single" w:color="auto" w:sz="4" w:space="0"/>
                    <w:bottom w:val="single" w:color="auto" w:sz="4" w:space="0"/>
                    <w:right w:val="single" w:color="auto" w:sz="4" w:space="0"/>
                  </w:tcBorders>
                  <w:noWrap w:val="0"/>
                  <w:vAlign w:val="center"/>
                </w:tcPr>
                <w:p w14:paraId="33D5B8F0">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生态保护红线名称</w:t>
                  </w:r>
                </w:p>
              </w:tc>
              <w:tc>
                <w:tcPr>
                  <w:tcW w:w="335" w:type="pct"/>
                  <w:vMerge w:val="restart"/>
                  <w:tcBorders>
                    <w:top w:val="single" w:color="auto" w:sz="12" w:space="0"/>
                    <w:left w:val="single" w:color="auto" w:sz="4" w:space="0"/>
                    <w:bottom w:val="single" w:color="auto" w:sz="4" w:space="0"/>
                    <w:right w:val="single" w:color="auto" w:sz="4" w:space="0"/>
                  </w:tcBorders>
                  <w:noWrap w:val="0"/>
                  <w:vAlign w:val="center"/>
                </w:tcPr>
                <w:p w14:paraId="54A60FED">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类型</w:t>
                  </w:r>
                </w:p>
              </w:tc>
              <w:tc>
                <w:tcPr>
                  <w:tcW w:w="2212" w:type="pct"/>
                  <w:vMerge w:val="restart"/>
                  <w:tcBorders>
                    <w:top w:val="single" w:color="auto" w:sz="12" w:space="0"/>
                    <w:left w:val="single" w:color="auto" w:sz="4" w:space="0"/>
                    <w:bottom w:val="single" w:color="auto" w:sz="4" w:space="0"/>
                    <w:right w:val="single" w:color="auto" w:sz="4" w:space="0"/>
                  </w:tcBorders>
                  <w:noWrap w:val="0"/>
                  <w:vAlign w:val="center"/>
                </w:tcPr>
                <w:p w14:paraId="14AA0CDE">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地理位置</w:t>
                  </w:r>
                </w:p>
              </w:tc>
              <w:tc>
                <w:tcPr>
                  <w:tcW w:w="589" w:type="pct"/>
                  <w:vMerge w:val="restart"/>
                  <w:tcBorders>
                    <w:top w:val="single" w:color="auto" w:sz="12" w:space="0"/>
                    <w:left w:val="single" w:color="auto" w:sz="4" w:space="0"/>
                    <w:bottom w:val="single" w:color="auto" w:sz="4" w:space="0"/>
                    <w:right w:val="single" w:color="auto" w:sz="4" w:space="0"/>
                  </w:tcBorders>
                  <w:noWrap w:val="0"/>
                  <w:vAlign w:val="center"/>
                </w:tcPr>
                <w:p w14:paraId="4D11A2BC">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区域面积（平方公里）</w:t>
                  </w:r>
                </w:p>
              </w:tc>
              <w:tc>
                <w:tcPr>
                  <w:tcW w:w="626" w:type="pct"/>
                  <w:vMerge w:val="restart"/>
                  <w:tcBorders>
                    <w:top w:val="single" w:color="auto" w:sz="12" w:space="0"/>
                    <w:left w:val="single" w:color="auto" w:sz="4" w:space="0"/>
                    <w:bottom w:val="single" w:color="auto" w:sz="4" w:space="0"/>
                    <w:right w:val="nil"/>
                  </w:tcBorders>
                  <w:noWrap w:val="0"/>
                  <w:vAlign w:val="center"/>
                </w:tcPr>
                <w:p w14:paraId="7540EBCC">
                  <w:pPr>
                    <w:pStyle w:val="30"/>
                    <w:bidi w:val="0"/>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lang w:val="en-US" w:eastAsia="zh-CN"/>
                    </w:rPr>
                    <w:t>与本项目位置关系</w:t>
                  </w:r>
                </w:p>
              </w:tc>
            </w:tr>
            <w:tr w14:paraId="3E09C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355" w:type="pct"/>
                  <w:tcBorders>
                    <w:top w:val="single" w:color="auto" w:sz="4" w:space="0"/>
                    <w:left w:val="nil"/>
                    <w:bottom w:val="single" w:color="auto" w:sz="4" w:space="0"/>
                    <w:right w:val="single" w:color="auto" w:sz="4" w:space="0"/>
                  </w:tcBorders>
                  <w:noWrap w:val="0"/>
                  <w:vAlign w:val="center"/>
                </w:tcPr>
                <w:p w14:paraId="04C5C174">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市级</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1376E46A">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县级</w:t>
                  </w:r>
                </w:p>
              </w:tc>
              <w:tc>
                <w:tcPr>
                  <w:tcW w:w="501" w:type="pct"/>
                  <w:vMerge w:val="continue"/>
                  <w:tcBorders>
                    <w:top w:val="single" w:color="auto" w:sz="12" w:space="0"/>
                    <w:left w:val="single" w:color="auto" w:sz="4" w:space="0"/>
                    <w:bottom w:val="single" w:color="auto" w:sz="4" w:space="0"/>
                    <w:right w:val="single" w:color="auto" w:sz="4" w:space="0"/>
                  </w:tcBorders>
                  <w:noWrap w:val="0"/>
                  <w:vAlign w:val="center"/>
                </w:tcPr>
                <w:p w14:paraId="0BE014C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335" w:type="pct"/>
                  <w:vMerge w:val="continue"/>
                  <w:tcBorders>
                    <w:top w:val="single" w:color="auto" w:sz="12" w:space="0"/>
                    <w:left w:val="single" w:color="auto" w:sz="4" w:space="0"/>
                    <w:bottom w:val="single" w:color="auto" w:sz="4" w:space="0"/>
                    <w:right w:val="single" w:color="auto" w:sz="4" w:space="0"/>
                  </w:tcBorders>
                  <w:noWrap w:val="0"/>
                  <w:vAlign w:val="center"/>
                </w:tcPr>
                <w:p w14:paraId="08B3B54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2212" w:type="pct"/>
                  <w:vMerge w:val="continue"/>
                  <w:tcBorders>
                    <w:top w:val="single" w:color="auto" w:sz="12" w:space="0"/>
                    <w:left w:val="single" w:color="auto" w:sz="4" w:space="0"/>
                    <w:bottom w:val="single" w:color="auto" w:sz="4" w:space="0"/>
                    <w:right w:val="single" w:color="auto" w:sz="4" w:space="0"/>
                  </w:tcBorders>
                  <w:noWrap w:val="0"/>
                  <w:vAlign w:val="center"/>
                </w:tcPr>
                <w:p w14:paraId="55FAA832">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589" w:type="pct"/>
                  <w:vMerge w:val="continue"/>
                  <w:tcBorders>
                    <w:top w:val="single" w:color="auto" w:sz="12" w:space="0"/>
                    <w:left w:val="single" w:color="auto" w:sz="4" w:space="0"/>
                    <w:bottom w:val="single" w:color="auto" w:sz="4" w:space="0"/>
                    <w:right w:val="single" w:color="auto" w:sz="4" w:space="0"/>
                  </w:tcBorders>
                  <w:noWrap w:val="0"/>
                  <w:vAlign w:val="center"/>
                </w:tcPr>
                <w:p w14:paraId="0FBBA221">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626" w:type="pct"/>
                  <w:vMerge w:val="continue"/>
                  <w:tcBorders>
                    <w:top w:val="single" w:color="auto" w:sz="12" w:space="0"/>
                    <w:left w:val="single" w:color="auto" w:sz="4" w:space="0"/>
                    <w:bottom w:val="single" w:color="auto" w:sz="4" w:space="0"/>
                    <w:right w:val="nil"/>
                  </w:tcBorders>
                  <w:noWrap w:val="0"/>
                  <w:vAlign w:val="center"/>
                </w:tcPr>
                <w:p w14:paraId="1111B070">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r>
            <w:tr w14:paraId="6F9E87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trPr>
              <w:tc>
                <w:tcPr>
                  <w:tcW w:w="355" w:type="pct"/>
                  <w:tcBorders>
                    <w:top w:val="single" w:color="auto" w:sz="4" w:space="0"/>
                    <w:left w:val="nil"/>
                    <w:bottom w:val="single" w:color="auto" w:sz="4" w:space="0"/>
                    <w:right w:val="single" w:color="auto" w:sz="4" w:space="0"/>
                  </w:tcBorders>
                  <w:noWrap w:val="0"/>
                  <w:vAlign w:val="center"/>
                </w:tcPr>
                <w:p w14:paraId="2CC7DD37">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淮安市</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644C914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B480ADE">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lang w:val="en-US" w:eastAsia="zh-CN"/>
                    </w:rPr>
                    <w:t>古黄河(涟水)</w:t>
                  </w:r>
                  <w:r>
                    <w:rPr>
                      <w:rFonts w:hint="default" w:ascii="Times New Roman" w:hAnsi="Times New Roman" w:eastAsia="宋体" w:cs="Times New Roman"/>
                      <w:color w:val="auto"/>
                      <w:sz w:val="21"/>
                      <w:szCs w:val="21"/>
                    </w:rPr>
                    <w:t>饮用水水源保护区</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62F8DDE1">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饮用水水源保护区</w:t>
                  </w:r>
                </w:p>
              </w:tc>
              <w:tc>
                <w:tcPr>
                  <w:tcW w:w="2212" w:type="pct"/>
                  <w:tcBorders>
                    <w:top w:val="single" w:color="auto" w:sz="4" w:space="0"/>
                    <w:left w:val="single" w:color="auto" w:sz="4" w:space="0"/>
                    <w:bottom w:val="single" w:color="auto" w:sz="4" w:space="0"/>
                    <w:right w:val="single" w:color="auto" w:sz="4" w:space="0"/>
                  </w:tcBorders>
                  <w:noWrap w:val="0"/>
                  <w:vAlign w:val="center"/>
                </w:tcPr>
                <w:p w14:paraId="56D29FA9">
                  <w:pPr>
                    <w:autoSpaceDE w:val="0"/>
                    <w:autoSpaceDN w:val="0"/>
                    <w:adjustRightInd w:val="0"/>
                    <w:snapToGrid w:val="0"/>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一级保护区：上游1000米至下游500米，及其岸背水坡之间的水域范围和一级保护区水域与两岸背水坡堤脚之间的陆域范围。</w:t>
                  </w:r>
                </w:p>
                <w:p w14:paraId="62B57669">
                  <w:pPr>
                    <w:autoSpaceDE w:val="0"/>
                    <w:autoSpaceDN w:val="0"/>
                    <w:adjustRightInd w:val="0"/>
                    <w:snapToGrid w:val="0"/>
                    <w:spacing w:line="240" w:lineRule="auto"/>
                    <w:ind w:firstLine="0" w:firstLineChars="0"/>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二级保护区：一级保护区以外上溯1500米、下延至涟水闸的水域范围和二级保护区水域与两岸背水坡堤脚之间的陆域范围</w:t>
                  </w:r>
                  <w:r>
                    <w:rPr>
                      <w:rFonts w:hint="eastAsia" w:cs="Times New Roman"/>
                      <w:color w:val="auto"/>
                      <w:sz w:val="21"/>
                      <w:szCs w:val="21"/>
                      <w:lang w:eastAsia="zh-CN"/>
                    </w:rPr>
                    <w:t>。</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B246B32">
                  <w:pPr>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1.18</w:t>
                  </w:r>
                </w:p>
              </w:tc>
              <w:tc>
                <w:tcPr>
                  <w:tcW w:w="626" w:type="pct"/>
                  <w:tcBorders>
                    <w:top w:val="single" w:color="auto" w:sz="4" w:space="0"/>
                    <w:left w:val="single" w:color="auto" w:sz="4" w:space="0"/>
                    <w:bottom w:val="single" w:color="auto" w:sz="4" w:space="0"/>
                    <w:right w:val="nil"/>
                  </w:tcBorders>
                  <w:noWrap w:val="0"/>
                  <w:vAlign w:val="center"/>
                </w:tcPr>
                <w:p w14:paraId="3DBE64F6">
                  <w:pPr>
                    <w:pStyle w:val="30"/>
                    <w:bidi w:val="0"/>
                    <w:ind w:firstLine="0" w:firstLineChars="0"/>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E5.66</w:t>
                  </w:r>
                  <w:r>
                    <w:rPr>
                      <w:rFonts w:hint="default" w:ascii="Times New Roman" w:hAnsi="Times New Roman" w:eastAsia="宋体" w:cs="Times New Roman"/>
                      <w:color w:val="auto"/>
                      <w:sz w:val="21"/>
                      <w:lang w:val="en-US" w:eastAsia="zh-CN"/>
                    </w:rPr>
                    <w:t>km</w:t>
                  </w:r>
                </w:p>
              </w:tc>
            </w:tr>
            <w:tr w14:paraId="6900C1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0" w:type="dxa"/>
                  <w:tcBorders>
                    <w:top w:val="single" w:color="auto" w:sz="4" w:space="0"/>
                    <w:left w:val="nil"/>
                    <w:bottom w:val="single" w:color="auto" w:sz="12" w:space="0"/>
                    <w:right w:val="single" w:color="auto" w:sz="4" w:space="0"/>
                  </w:tcBorders>
                  <w:noWrap w:val="0"/>
                  <w:vAlign w:val="center"/>
                </w:tcPr>
                <w:p w14:paraId="55871BBF">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淮安市</w:t>
                  </w:r>
                </w:p>
              </w:tc>
              <w:tc>
                <w:tcPr>
                  <w:tcW w:w="588" w:type="dxa"/>
                  <w:tcBorders>
                    <w:top w:val="single" w:color="auto" w:sz="4" w:space="0"/>
                    <w:left w:val="single" w:color="auto" w:sz="4" w:space="0"/>
                    <w:bottom w:val="single" w:color="auto" w:sz="12" w:space="0"/>
                    <w:right w:val="single" w:color="auto" w:sz="4" w:space="0"/>
                  </w:tcBorders>
                  <w:noWrap w:val="0"/>
                  <w:vAlign w:val="center"/>
                </w:tcPr>
                <w:p w14:paraId="1B5C2D0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12" w:space="0"/>
                    <w:right w:val="single" w:color="auto" w:sz="4" w:space="0"/>
                  </w:tcBorders>
                  <w:noWrap w:val="0"/>
                  <w:vAlign w:val="center"/>
                </w:tcPr>
                <w:p w14:paraId="15C8C006">
                  <w:pPr>
                    <w:widowControl w:val="0"/>
                    <w:spacing w:after="0" w:line="280" w:lineRule="exact"/>
                    <w:ind w:left="0" w:leftChars="0" w:firstLine="0" w:firstLineChars="0"/>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color w:val="auto"/>
                      <w:kern w:val="0"/>
                      <w:sz w:val="21"/>
                      <w:szCs w:val="20"/>
                      <w:lang w:val="en-US" w:eastAsia="zh-CN" w:bidi="ar-SA"/>
                    </w:rPr>
                    <w:t>江苏涟水涟漪湖黄嘴白鹭省级自然保护区</w:t>
                  </w:r>
                </w:p>
              </w:tc>
              <w:tc>
                <w:tcPr>
                  <w:tcW w:w="335" w:type="pct"/>
                  <w:tcBorders>
                    <w:top w:val="single" w:color="auto" w:sz="4" w:space="0"/>
                    <w:left w:val="single" w:color="auto" w:sz="4" w:space="0"/>
                    <w:bottom w:val="single" w:color="auto" w:sz="12" w:space="0"/>
                    <w:right w:val="single" w:color="auto" w:sz="4" w:space="0"/>
                  </w:tcBorders>
                  <w:noWrap w:val="0"/>
                  <w:vAlign w:val="center"/>
                </w:tcPr>
                <w:p w14:paraId="37A1C3B4">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自然保护区</w:t>
                  </w:r>
                </w:p>
              </w:tc>
              <w:tc>
                <w:tcPr>
                  <w:tcW w:w="2212" w:type="pct"/>
                  <w:tcBorders>
                    <w:top w:val="single" w:color="auto" w:sz="4" w:space="0"/>
                    <w:left w:val="single" w:color="auto" w:sz="4" w:space="0"/>
                    <w:bottom w:val="single" w:color="auto" w:sz="12" w:space="0"/>
                    <w:right w:val="single" w:color="auto" w:sz="4" w:space="0"/>
                  </w:tcBorders>
                  <w:noWrap w:val="0"/>
                  <w:vAlign w:val="center"/>
                </w:tcPr>
                <w:p w14:paraId="2902A10C">
                  <w:pPr>
                    <w:widowControl w:val="0"/>
                    <w:spacing w:after="0" w:line="280" w:lineRule="exact"/>
                    <w:jc w:val="both"/>
                    <w:rPr>
                      <w:rFonts w:hint="default" w:ascii="Times New Roman" w:hAnsi="Times New Roman" w:eastAsia="宋体" w:cs="Times New Roman"/>
                      <w:color w:val="auto"/>
                      <w:sz w:val="21"/>
                      <w:szCs w:val="21"/>
                    </w:rPr>
                  </w:pPr>
                  <w:r>
                    <w:rPr>
                      <w:rFonts w:ascii="Times New Roman" w:hAnsi="Times New Roman" w:eastAsia="宋体" w:cs="Times New Roman"/>
                      <w:color w:val="auto"/>
                      <w:kern w:val="0"/>
                      <w:sz w:val="21"/>
                      <w:szCs w:val="20"/>
                      <w:lang w:val="en-US" w:eastAsia="zh-CN" w:bidi="ar-SA"/>
                    </w:rPr>
                    <w:t>包括自然保护区核心区、缓冲区和实验区。自然保护区五岛公园以及相连水域为核心区和缓冲区。实验区范围包括涟水县涟城镇的五岛公园以及相连水域，城郊废黄河沿线的林区和水域、湿地生态系统。坐标为：118°59′E</w:t>
                  </w:r>
                  <w:r>
                    <w:rPr>
                      <w:rFonts w:hint="eastAsia" w:ascii="Times New Roman" w:hAnsi="Times New Roman" w:eastAsia="宋体" w:cs="Times New Roman"/>
                      <w:color w:val="auto"/>
                      <w:kern w:val="0"/>
                      <w:sz w:val="21"/>
                      <w:szCs w:val="20"/>
                      <w:lang w:val="en-US" w:eastAsia="zh-CN" w:bidi="ar-SA"/>
                    </w:rPr>
                    <w:t>至</w:t>
                  </w:r>
                  <w:r>
                    <w:rPr>
                      <w:rFonts w:ascii="Times New Roman" w:hAnsi="Times New Roman" w:eastAsia="宋体" w:cs="Times New Roman"/>
                      <w:color w:val="auto"/>
                      <w:kern w:val="0"/>
                      <w:sz w:val="21"/>
                      <w:szCs w:val="20"/>
                      <w:lang w:val="en-US" w:eastAsia="zh-CN" w:bidi="ar-SA"/>
                    </w:rPr>
                    <w:t>119°35′E，33°45′N至34°65′N之间</w:t>
                  </w:r>
                  <w:r>
                    <w:rPr>
                      <w:rFonts w:hint="eastAsia" w:cs="Times New Roman"/>
                      <w:color w:val="auto"/>
                      <w:kern w:val="0"/>
                      <w:sz w:val="21"/>
                      <w:szCs w:val="20"/>
                      <w:lang w:val="en-US" w:eastAsia="zh-CN" w:bidi="ar-SA"/>
                    </w:rPr>
                    <w:t>。</w:t>
                  </w:r>
                </w:p>
              </w:tc>
              <w:tc>
                <w:tcPr>
                  <w:tcW w:w="589" w:type="pct"/>
                  <w:tcBorders>
                    <w:top w:val="single" w:color="auto" w:sz="4" w:space="0"/>
                    <w:left w:val="single" w:color="auto" w:sz="4" w:space="0"/>
                    <w:bottom w:val="single" w:color="auto" w:sz="12" w:space="0"/>
                    <w:right w:val="single" w:color="auto" w:sz="4" w:space="0"/>
                  </w:tcBorders>
                  <w:noWrap w:val="0"/>
                  <w:vAlign w:val="center"/>
                </w:tcPr>
                <w:p w14:paraId="78EE3715">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34.33</w:t>
                  </w:r>
                </w:p>
              </w:tc>
              <w:tc>
                <w:tcPr>
                  <w:tcW w:w="626" w:type="pct"/>
                  <w:tcBorders>
                    <w:top w:val="single" w:color="auto" w:sz="4" w:space="0"/>
                    <w:left w:val="single" w:color="auto" w:sz="4" w:space="0"/>
                    <w:bottom w:val="single" w:color="auto" w:sz="12" w:space="0"/>
                    <w:right w:val="nil"/>
                  </w:tcBorders>
                  <w:noWrap w:val="0"/>
                  <w:vAlign w:val="center"/>
                </w:tcPr>
                <w:p w14:paraId="2383B3A5">
                  <w:pPr>
                    <w:pStyle w:val="30"/>
                    <w:bidi w:val="0"/>
                    <w:ind w:firstLine="0" w:firstLineChars="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E4.98</w:t>
                  </w:r>
                  <w:r>
                    <w:rPr>
                      <w:rFonts w:hint="default" w:ascii="Times New Roman" w:hAnsi="Times New Roman" w:eastAsia="宋体" w:cs="Times New Roman"/>
                      <w:color w:val="auto"/>
                      <w:sz w:val="21"/>
                      <w:lang w:val="en-US" w:eastAsia="zh-CN"/>
                    </w:rPr>
                    <w:t>km</w:t>
                  </w:r>
                </w:p>
              </w:tc>
            </w:tr>
          </w:tbl>
          <w:p w14:paraId="5A5A903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由上表可知，距离建设项目最近的国家级生态保护红线为江苏涟水涟漪湖黄嘴白鹭自然保护区，位于本项目东南侧约4.</w:t>
            </w:r>
            <w:r>
              <w:rPr>
                <w:rFonts w:hint="eastAsia"/>
                <w:color w:val="auto"/>
                <w:lang w:val="en-US" w:eastAsia="zh-CN"/>
              </w:rPr>
              <w:t>98</w:t>
            </w:r>
            <w:r>
              <w:rPr>
                <w:rFonts w:hint="eastAsia"/>
                <w:color w:val="auto"/>
              </w:rPr>
              <w:t>km左右。因此，项目建设与《江苏省国家级生态保护红线规划》的通知（苏政发〔2018〕74号）相符</w:t>
            </w:r>
            <w:r>
              <w:rPr>
                <w:color w:val="auto"/>
              </w:rPr>
              <w:t>。</w:t>
            </w:r>
          </w:p>
          <w:p w14:paraId="0FF15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ascii="Times New Roman" w:hAnsi="Times New Roman" w:eastAsia="宋体"/>
                <w:color w:val="auto"/>
                <w:sz w:val="24"/>
              </w:rPr>
              <w:t>③</w:t>
            </w:r>
            <w:r>
              <w:rPr>
                <w:rFonts w:hint="default" w:ascii="Times New Roman" w:hAnsi="Times New Roman" w:eastAsia="宋体" w:cs="Times New Roman"/>
                <w:color w:val="auto"/>
                <w:sz w:val="24"/>
              </w:rPr>
              <w:t>与省市“三线一单”的相符性分析</w:t>
            </w:r>
          </w:p>
          <w:p w14:paraId="79917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江苏省《关于印发江苏省“三线一单”生态环境分区管控方案的通知》（苏政发〔2020〕49号）、《市政府关于印发淮安市“三线一单”生态环境分区管控方案的通知》（淮政发〔2020〕16号）、《市政府办公室关于对淮安市“三线一单”生态环境分区管控方案内容修改的通知》（淮政办函〔2022〕5号），本项目位于江苏涟水经济开发区，属于重点管控单元。相符性分析见</w:t>
            </w:r>
            <w:r>
              <w:rPr>
                <w:rFonts w:hint="eastAsia" w:cs="Times New Roman"/>
                <w:color w:val="auto"/>
                <w:sz w:val="24"/>
                <w:lang w:val="en-US" w:eastAsia="zh-CN"/>
              </w:rPr>
              <w:t>下表</w:t>
            </w:r>
            <w:r>
              <w:rPr>
                <w:rFonts w:hint="default" w:ascii="Times New Roman" w:hAnsi="Times New Roman" w:eastAsia="宋体" w:cs="Times New Roman"/>
                <w:color w:val="auto"/>
                <w:sz w:val="24"/>
              </w:rPr>
              <w:t>。</w:t>
            </w:r>
          </w:p>
          <w:p w14:paraId="58E01784">
            <w:pPr>
              <w:pStyle w:val="19"/>
              <w:spacing w:line="240" w:lineRule="auto"/>
              <w:ind w:left="105" w:leftChars="50"/>
              <w:jc w:val="center"/>
              <w:rPr>
                <w:rFonts w:ascii="Times New Roman" w:hAnsi="Times New Roman"/>
                <w:b/>
                <w:bCs/>
                <w:color w:val="auto"/>
              </w:rPr>
            </w:pPr>
            <w:r>
              <w:rPr>
                <w:rFonts w:hint="default" w:ascii="Times New Roman" w:hAnsi="Times New Roman" w:eastAsia="宋体" w:cs="Times New Roman"/>
                <w:b/>
                <w:bCs/>
                <w:color w:val="auto"/>
                <w:sz w:val="21"/>
                <w:szCs w:val="21"/>
              </w:rPr>
              <w:t>表1-</w:t>
            </w:r>
            <w:r>
              <w:rPr>
                <w:rFonts w:hint="eastAsia" w:ascii="Times New Roman" w:hAnsi="Times New Roman" w:cs="Times New Roman"/>
                <w:b/>
                <w:bCs/>
                <w:color w:val="auto"/>
                <w:sz w:val="21"/>
                <w:szCs w:val="21"/>
                <w:lang w:val="en-US" w:eastAsia="zh-CN"/>
              </w:rPr>
              <w:t>5  本</w:t>
            </w:r>
            <w:r>
              <w:rPr>
                <w:rFonts w:hint="default" w:ascii="Times New Roman" w:hAnsi="Times New Roman" w:eastAsia="宋体" w:cs="Times New Roman"/>
                <w:b/>
                <w:bCs/>
                <w:color w:val="auto"/>
                <w:sz w:val="21"/>
                <w:szCs w:val="21"/>
              </w:rPr>
              <w:t>项目与（淮政办函〔2022〕5号）相符性分析</w:t>
            </w:r>
          </w:p>
          <w:tbl>
            <w:tblPr>
              <w:tblStyle w:val="23"/>
              <w:tblW w:w="772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5"/>
              <w:gridCol w:w="630"/>
              <w:gridCol w:w="3570"/>
              <w:gridCol w:w="2382"/>
              <w:gridCol w:w="784"/>
            </w:tblGrid>
            <w:tr w14:paraId="656F8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noWrap w:val="0"/>
                  <w:vAlign w:val="center"/>
                </w:tcPr>
                <w:p w14:paraId="7F74C296">
                  <w:pPr>
                    <w:pStyle w:val="30"/>
                    <w:bidi w:val="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省市</w:t>
                  </w:r>
                </w:p>
              </w:tc>
              <w:tc>
                <w:tcPr>
                  <w:tcW w:w="630" w:type="dxa"/>
                  <w:noWrap w:val="0"/>
                  <w:vAlign w:val="center"/>
                </w:tcPr>
                <w:p w14:paraId="10D4CDEE">
                  <w:pPr>
                    <w:pStyle w:val="30"/>
                    <w:bidi w:val="0"/>
                    <w:rPr>
                      <w:rFonts w:hint="default" w:ascii="Times New Roman" w:hAnsi="Times New Roman" w:cs="Times New Roman"/>
                      <w:color w:val="auto"/>
                    </w:rPr>
                  </w:pPr>
                  <w:r>
                    <w:rPr>
                      <w:rFonts w:hint="default" w:ascii="Times New Roman" w:hAnsi="Times New Roman" w:cs="Times New Roman"/>
                      <w:color w:val="auto"/>
                    </w:rPr>
                    <w:t>管控类别</w:t>
                  </w:r>
                </w:p>
              </w:tc>
              <w:tc>
                <w:tcPr>
                  <w:tcW w:w="3570" w:type="dxa"/>
                  <w:noWrap w:val="0"/>
                  <w:vAlign w:val="center"/>
                </w:tcPr>
                <w:p w14:paraId="6F05665E">
                  <w:pPr>
                    <w:pStyle w:val="30"/>
                    <w:bidi w:val="0"/>
                    <w:rPr>
                      <w:rFonts w:hint="default" w:ascii="Times New Roman" w:hAnsi="Times New Roman" w:cs="Times New Roman"/>
                      <w:color w:val="auto"/>
                    </w:rPr>
                  </w:pPr>
                  <w:r>
                    <w:rPr>
                      <w:rFonts w:hint="default" w:ascii="Times New Roman" w:hAnsi="Times New Roman" w:cs="Times New Roman"/>
                      <w:color w:val="auto"/>
                    </w:rPr>
                    <w:t>重点管控要求</w:t>
                  </w:r>
                </w:p>
              </w:tc>
              <w:tc>
                <w:tcPr>
                  <w:tcW w:w="2382" w:type="dxa"/>
                  <w:noWrap w:val="0"/>
                  <w:vAlign w:val="center"/>
                </w:tcPr>
                <w:p w14:paraId="360DB320">
                  <w:pPr>
                    <w:pStyle w:val="30"/>
                    <w:bidi w:val="0"/>
                    <w:rPr>
                      <w:rFonts w:hint="default" w:ascii="Times New Roman" w:hAnsi="Times New Roman" w:cs="Times New Roman"/>
                      <w:color w:val="auto"/>
                    </w:rPr>
                  </w:pPr>
                  <w:r>
                    <w:rPr>
                      <w:rFonts w:hint="default" w:ascii="Times New Roman" w:hAnsi="Times New Roman" w:cs="Times New Roman"/>
                      <w:color w:val="auto"/>
                    </w:rPr>
                    <w:t>相符性分析</w:t>
                  </w:r>
                </w:p>
              </w:tc>
              <w:tc>
                <w:tcPr>
                  <w:tcW w:w="784" w:type="dxa"/>
                  <w:noWrap w:val="0"/>
                  <w:vAlign w:val="center"/>
                </w:tcPr>
                <w:p w14:paraId="1B879D66">
                  <w:pPr>
                    <w:pStyle w:val="30"/>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相符性分析</w:t>
                  </w:r>
                </w:p>
              </w:tc>
            </w:tr>
            <w:tr w14:paraId="5D8B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1B87A795">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江苏省</w:t>
                  </w:r>
                </w:p>
              </w:tc>
              <w:tc>
                <w:tcPr>
                  <w:tcW w:w="630" w:type="dxa"/>
                  <w:noWrap w:val="0"/>
                  <w:vAlign w:val="center"/>
                </w:tcPr>
                <w:p w14:paraId="7C81B99A">
                  <w:pPr>
                    <w:pStyle w:val="30"/>
                    <w:bidi w:val="0"/>
                    <w:rPr>
                      <w:rFonts w:hint="default" w:ascii="Times New Roman" w:hAnsi="Times New Roman" w:cs="Times New Roman"/>
                      <w:color w:val="auto"/>
                    </w:rPr>
                  </w:pPr>
                  <w:r>
                    <w:rPr>
                      <w:rFonts w:hint="default" w:ascii="Times New Roman" w:hAnsi="Times New Roman" w:cs="Times New Roman"/>
                      <w:color w:val="auto"/>
                    </w:rPr>
                    <w:t>空间布局约束</w:t>
                  </w:r>
                </w:p>
              </w:tc>
              <w:tc>
                <w:tcPr>
                  <w:tcW w:w="3570" w:type="dxa"/>
                  <w:noWrap w:val="0"/>
                  <w:vAlign w:val="center"/>
                </w:tcPr>
                <w:p w14:paraId="0F102596">
                  <w:pPr>
                    <w:pStyle w:val="30"/>
                    <w:bidi w:val="0"/>
                    <w:rPr>
                      <w:rFonts w:hint="default" w:ascii="Times New Roman" w:hAnsi="Times New Roman" w:cs="Times New Roman"/>
                      <w:color w:val="auto"/>
                    </w:rPr>
                  </w:pPr>
                  <w:r>
                    <w:rPr>
                      <w:rFonts w:hint="default" w:ascii="Times New Roman" w:hAnsi="Times New Roman" w:cs="Times New Roman"/>
                      <w:color w:val="auto"/>
                    </w:rPr>
                    <w:t>禁止在淮河流域新建化学制浆造纸企业</w:t>
                  </w:r>
                  <w:r>
                    <w:rPr>
                      <w:rFonts w:hint="default" w:ascii="Times New Roman" w:hAnsi="Times New Roman" w:cs="Times New Roman"/>
                      <w:color w:val="auto"/>
                      <w:lang w:eastAsia="zh-CN"/>
                    </w:rPr>
                    <w:t>，</w:t>
                  </w:r>
                  <w:r>
                    <w:rPr>
                      <w:rFonts w:hint="default" w:ascii="Times New Roman" w:hAnsi="Times New Roman" w:cs="Times New Roman"/>
                      <w:color w:val="auto"/>
                    </w:rPr>
                    <w:t>禁止在淮河流域新建制革、化工、印染、电镀、酿造等污染严重的小型企业</w:t>
                  </w:r>
                </w:p>
              </w:tc>
              <w:tc>
                <w:tcPr>
                  <w:tcW w:w="2382" w:type="dxa"/>
                  <w:noWrap w:val="0"/>
                  <w:vAlign w:val="center"/>
                </w:tcPr>
                <w:p w14:paraId="3B00B23E">
                  <w:pPr>
                    <w:pStyle w:val="30"/>
                    <w:bidi w:val="0"/>
                    <w:rPr>
                      <w:rFonts w:hint="default" w:ascii="Times New Roman" w:hAnsi="Times New Roman" w:cs="Times New Roman"/>
                      <w:color w:val="auto"/>
                    </w:rPr>
                  </w:pPr>
                  <w:r>
                    <w:rPr>
                      <w:rFonts w:hint="default" w:ascii="Times New Roman" w:hAnsi="Times New Roman" w:cs="Times New Roman"/>
                      <w:color w:val="auto"/>
                    </w:rPr>
                    <w:t>本项目不属于化学制浆造纸、制革、化工、印染、电镀、酿造等污染严重的小型企业。</w:t>
                  </w:r>
                </w:p>
              </w:tc>
              <w:tc>
                <w:tcPr>
                  <w:tcW w:w="784" w:type="dxa"/>
                  <w:noWrap w:val="0"/>
                  <w:vAlign w:val="center"/>
                </w:tcPr>
                <w:p w14:paraId="33DD44F9">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3754B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781F9423">
                  <w:pPr>
                    <w:pStyle w:val="30"/>
                    <w:bidi w:val="0"/>
                    <w:rPr>
                      <w:rFonts w:hint="default" w:ascii="Times New Roman" w:hAnsi="Times New Roman" w:cs="Times New Roman"/>
                      <w:color w:val="auto"/>
                    </w:rPr>
                  </w:pPr>
                </w:p>
              </w:tc>
              <w:tc>
                <w:tcPr>
                  <w:tcW w:w="630" w:type="dxa"/>
                  <w:noWrap w:val="0"/>
                  <w:vAlign w:val="center"/>
                </w:tcPr>
                <w:p w14:paraId="641F2F74">
                  <w:pPr>
                    <w:pStyle w:val="30"/>
                    <w:bidi w:val="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570" w:type="dxa"/>
                  <w:noWrap w:val="0"/>
                  <w:vAlign w:val="center"/>
                </w:tcPr>
                <w:p w14:paraId="0791C303">
                  <w:pPr>
                    <w:pStyle w:val="30"/>
                    <w:bidi w:val="0"/>
                    <w:rPr>
                      <w:rFonts w:hint="default" w:ascii="Times New Roman" w:hAnsi="Times New Roman" w:cs="Times New Roman"/>
                      <w:color w:val="auto"/>
                    </w:rPr>
                  </w:pPr>
                  <w:r>
                    <w:rPr>
                      <w:rFonts w:hint="default" w:ascii="Times New Roman" w:hAnsi="Times New Roman" w:cs="Times New Roman"/>
                      <w:color w:val="auto"/>
                    </w:rPr>
                    <w:t>按照《淮河流域水污染防治暂行条例》实施排污总量控制制度</w:t>
                  </w:r>
                </w:p>
              </w:tc>
              <w:tc>
                <w:tcPr>
                  <w:tcW w:w="2382" w:type="dxa"/>
                  <w:noWrap w:val="0"/>
                  <w:vAlign w:val="center"/>
                </w:tcPr>
                <w:p w14:paraId="4030BC7E">
                  <w:pPr>
                    <w:pStyle w:val="30"/>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本项目严格执行排污总量控制制度，</w:t>
                  </w:r>
                  <w:r>
                    <w:rPr>
                      <w:rFonts w:hint="default" w:ascii="Times New Roman" w:hAnsi="Times New Roman" w:eastAsia="宋体" w:cs="Times New Roman"/>
                      <w:color w:val="auto"/>
                      <w:kern w:val="2"/>
                      <w:sz w:val="21"/>
                      <w:szCs w:val="21"/>
                      <w:lang w:val="en-US" w:eastAsia="zh-CN" w:bidi="ar-SA"/>
                    </w:rPr>
                    <w:t>新增</w:t>
                  </w:r>
                  <w:r>
                    <w:rPr>
                      <w:rFonts w:hint="eastAsia" w:cs="Times New Roman"/>
                      <w:color w:val="auto"/>
                      <w:kern w:val="2"/>
                      <w:sz w:val="21"/>
                      <w:szCs w:val="21"/>
                      <w:lang w:val="en-US" w:eastAsia="zh-CN" w:bidi="ar-SA"/>
                    </w:rPr>
                    <w:t>无组织</w:t>
                  </w:r>
                  <w:r>
                    <w:rPr>
                      <w:rFonts w:hint="default" w:ascii="Times New Roman" w:hAnsi="Times New Roman" w:eastAsia="宋体" w:cs="Times New Roman"/>
                      <w:color w:val="auto"/>
                      <w:kern w:val="2"/>
                      <w:sz w:val="21"/>
                      <w:szCs w:val="21"/>
                      <w:lang w:val="en-US" w:eastAsia="zh-CN" w:bidi="ar-SA"/>
                    </w:rPr>
                    <w:t>排放</w:t>
                  </w:r>
                  <w:r>
                    <w:rPr>
                      <w:rFonts w:hint="eastAsia" w:cs="Times New Roman"/>
                      <w:color w:val="auto"/>
                      <w:kern w:val="2"/>
                      <w:sz w:val="21"/>
                      <w:szCs w:val="21"/>
                      <w:lang w:val="en-US" w:eastAsia="zh-CN" w:bidi="ar-SA"/>
                    </w:rPr>
                    <w:t>的</w:t>
                  </w:r>
                  <w:r>
                    <w:rPr>
                      <w:rFonts w:hint="default" w:ascii="Times New Roman" w:hAnsi="Times New Roman" w:eastAsia="宋体" w:cs="Times New Roman"/>
                      <w:color w:val="auto"/>
                      <w:kern w:val="2"/>
                      <w:sz w:val="21"/>
                      <w:szCs w:val="21"/>
                      <w:lang w:val="en-US" w:eastAsia="zh-CN" w:bidi="ar-SA"/>
                    </w:rPr>
                    <w:t>VOCs（以非甲烷总烃计）</w:t>
                  </w:r>
                  <w:r>
                    <w:rPr>
                      <w:rFonts w:hint="default" w:ascii="Times New Roman" w:hAnsi="Times New Roman" w:cs="Times New Roman"/>
                      <w:color w:val="auto"/>
                      <w:kern w:val="2"/>
                      <w:sz w:val="21"/>
                      <w:szCs w:val="21"/>
                      <w:lang w:val="en-US" w:eastAsia="zh-CN" w:bidi="ar-SA"/>
                    </w:rPr>
                    <w:t>、颗粒物</w:t>
                  </w:r>
                  <w:r>
                    <w:rPr>
                      <w:rFonts w:hint="default" w:ascii="Times New Roman" w:hAnsi="Times New Roman" w:eastAsia="宋体" w:cs="Times New Roman"/>
                      <w:color w:val="auto"/>
                      <w:kern w:val="2"/>
                      <w:sz w:val="21"/>
                      <w:szCs w:val="21"/>
                      <w:lang w:val="en-US" w:eastAsia="zh-CN" w:bidi="ar-SA"/>
                    </w:rPr>
                    <w:t>从</w:t>
                  </w:r>
                  <w:r>
                    <w:rPr>
                      <w:rFonts w:hint="eastAsia" w:cs="Times New Roman"/>
                      <w:color w:val="auto"/>
                      <w:kern w:val="2"/>
                      <w:sz w:val="21"/>
                      <w:szCs w:val="21"/>
                      <w:lang w:val="en-US" w:eastAsia="zh-CN" w:bidi="ar-SA"/>
                    </w:rPr>
                    <w:t>涟水县</w:t>
                  </w:r>
                  <w:r>
                    <w:rPr>
                      <w:rFonts w:hint="default" w:ascii="Times New Roman" w:hAnsi="Times New Roman" w:eastAsia="宋体" w:cs="Times New Roman"/>
                      <w:color w:val="auto"/>
                      <w:kern w:val="2"/>
                      <w:sz w:val="21"/>
                      <w:szCs w:val="21"/>
                      <w:lang w:val="en-US" w:eastAsia="zh-CN" w:bidi="ar-SA"/>
                    </w:rPr>
                    <w:t>境内企业削减总量中平衡</w:t>
                  </w:r>
                  <w:r>
                    <w:rPr>
                      <w:rFonts w:hint="eastAsia" w:ascii="Times New Roman" w:cs="Times New Roman"/>
                      <w:color w:val="auto"/>
                      <w:kern w:val="2"/>
                      <w:sz w:val="21"/>
                      <w:szCs w:val="21"/>
                      <w:lang w:val="en-US" w:eastAsia="zh-CN" w:bidi="ar-SA"/>
                    </w:rPr>
                    <w:t>。</w:t>
                  </w:r>
                </w:p>
              </w:tc>
              <w:tc>
                <w:tcPr>
                  <w:tcW w:w="784" w:type="dxa"/>
                  <w:noWrap w:val="0"/>
                  <w:vAlign w:val="center"/>
                </w:tcPr>
                <w:p w14:paraId="1D671D34">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BD9D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612F244F">
                  <w:pPr>
                    <w:pStyle w:val="30"/>
                    <w:bidi w:val="0"/>
                    <w:rPr>
                      <w:rFonts w:hint="default" w:ascii="Times New Roman" w:hAnsi="Times New Roman" w:cs="Times New Roman"/>
                      <w:color w:val="auto"/>
                    </w:rPr>
                  </w:pPr>
                </w:p>
              </w:tc>
              <w:tc>
                <w:tcPr>
                  <w:tcW w:w="630" w:type="dxa"/>
                  <w:noWrap w:val="0"/>
                  <w:vAlign w:val="center"/>
                </w:tcPr>
                <w:p w14:paraId="653833A8">
                  <w:pPr>
                    <w:pStyle w:val="30"/>
                    <w:bidi w:val="0"/>
                    <w:rPr>
                      <w:rFonts w:hint="default" w:ascii="Times New Roman" w:hAnsi="Times New Roman" w:cs="Times New Roman"/>
                      <w:color w:val="auto"/>
                    </w:rPr>
                  </w:pPr>
                  <w:r>
                    <w:rPr>
                      <w:rFonts w:hint="default" w:ascii="Times New Roman" w:hAnsi="Times New Roman" w:cs="Times New Roman"/>
                      <w:color w:val="auto"/>
                    </w:rPr>
                    <w:t>环境风险</w:t>
                  </w:r>
                </w:p>
                <w:p w14:paraId="2349698D">
                  <w:pPr>
                    <w:pStyle w:val="30"/>
                    <w:bidi w:val="0"/>
                    <w:rPr>
                      <w:rFonts w:hint="default" w:ascii="Times New Roman" w:hAnsi="Times New Roman" w:cs="Times New Roman"/>
                      <w:color w:val="auto"/>
                    </w:rPr>
                  </w:pPr>
                  <w:r>
                    <w:rPr>
                      <w:rFonts w:hint="default" w:ascii="Times New Roman" w:hAnsi="Times New Roman" w:cs="Times New Roman"/>
                      <w:color w:val="auto"/>
                    </w:rPr>
                    <w:t>防控</w:t>
                  </w:r>
                </w:p>
              </w:tc>
              <w:tc>
                <w:tcPr>
                  <w:tcW w:w="3570" w:type="dxa"/>
                  <w:noWrap w:val="0"/>
                  <w:vAlign w:val="center"/>
                </w:tcPr>
                <w:p w14:paraId="5098ADEC">
                  <w:pPr>
                    <w:pStyle w:val="30"/>
                    <w:bidi w:val="0"/>
                    <w:rPr>
                      <w:rFonts w:hint="default" w:ascii="Times New Roman" w:hAnsi="Times New Roman" w:cs="Times New Roman"/>
                      <w:color w:val="auto"/>
                    </w:rPr>
                  </w:pPr>
                  <w:r>
                    <w:rPr>
                      <w:rFonts w:hint="default" w:ascii="Times New Roman" w:hAnsi="Times New Roman" w:cs="Times New Roman"/>
                      <w:color w:val="auto"/>
                    </w:rPr>
                    <w:t>禁止运输剧毒化学品以及国家规定禁止通过内河运输的其他危险化学品的船舶进入通榆河及主要供水河道。</w:t>
                  </w:r>
                </w:p>
              </w:tc>
              <w:tc>
                <w:tcPr>
                  <w:tcW w:w="2382" w:type="dxa"/>
                  <w:noWrap w:val="0"/>
                  <w:vAlign w:val="center"/>
                </w:tcPr>
                <w:p w14:paraId="57A87308">
                  <w:pPr>
                    <w:pStyle w:val="30"/>
                    <w:bidi w:val="0"/>
                    <w:rPr>
                      <w:rFonts w:hint="default" w:ascii="Times New Roman" w:hAnsi="Times New Roman" w:cs="Times New Roman"/>
                      <w:color w:val="auto"/>
                    </w:rPr>
                  </w:pPr>
                  <w:r>
                    <w:rPr>
                      <w:rFonts w:hint="default" w:ascii="Times New Roman" w:hAnsi="Times New Roman" w:cs="Times New Roman"/>
                      <w:color w:val="auto"/>
                    </w:rPr>
                    <w:t>建设项目原辅材料均采取汽运的方式，不涉及船运。</w:t>
                  </w:r>
                </w:p>
              </w:tc>
              <w:tc>
                <w:tcPr>
                  <w:tcW w:w="784" w:type="dxa"/>
                  <w:noWrap w:val="0"/>
                  <w:vAlign w:val="center"/>
                </w:tcPr>
                <w:p w14:paraId="4D2C7C0E">
                  <w:pPr>
                    <w:pStyle w:val="30"/>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符合</w:t>
                  </w:r>
                </w:p>
              </w:tc>
            </w:tr>
            <w:tr w14:paraId="2A313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5457D1F">
                  <w:pPr>
                    <w:pStyle w:val="30"/>
                    <w:bidi w:val="0"/>
                    <w:rPr>
                      <w:rFonts w:hint="default" w:ascii="Times New Roman" w:hAnsi="Times New Roman" w:cs="Times New Roman"/>
                      <w:color w:val="auto"/>
                    </w:rPr>
                  </w:pPr>
                </w:p>
              </w:tc>
              <w:tc>
                <w:tcPr>
                  <w:tcW w:w="630" w:type="dxa"/>
                  <w:noWrap w:val="0"/>
                  <w:vAlign w:val="center"/>
                </w:tcPr>
                <w:p w14:paraId="3B0FA513">
                  <w:pPr>
                    <w:pStyle w:val="30"/>
                    <w:bidi w:val="0"/>
                    <w:rPr>
                      <w:rFonts w:hint="default" w:ascii="Times New Roman" w:hAnsi="Times New Roman" w:cs="Times New Roman"/>
                      <w:color w:val="auto"/>
                    </w:rPr>
                  </w:pPr>
                  <w:r>
                    <w:rPr>
                      <w:rFonts w:hint="default" w:ascii="Times New Roman" w:hAnsi="Times New Roman" w:cs="Times New Roman"/>
                      <w:color w:val="auto"/>
                    </w:rPr>
                    <w:t>资源利用效率要求</w:t>
                  </w:r>
                </w:p>
              </w:tc>
              <w:tc>
                <w:tcPr>
                  <w:tcW w:w="3570" w:type="dxa"/>
                  <w:noWrap w:val="0"/>
                  <w:vAlign w:val="center"/>
                </w:tcPr>
                <w:p w14:paraId="725D24E9">
                  <w:pPr>
                    <w:pStyle w:val="30"/>
                    <w:bidi w:val="0"/>
                    <w:rPr>
                      <w:rFonts w:hint="default" w:ascii="Times New Roman" w:hAnsi="Times New Roman" w:cs="Times New Roman"/>
                      <w:color w:val="auto"/>
                    </w:rPr>
                  </w:pPr>
                  <w:r>
                    <w:rPr>
                      <w:rFonts w:hint="default" w:ascii="Times New Roman" w:hAnsi="Times New Roman" w:cs="Times New Roman"/>
                      <w:color w:val="auto"/>
                    </w:rPr>
                    <w:t>限制缺水地区发展耗水型产业</w:t>
                  </w:r>
                  <w:r>
                    <w:rPr>
                      <w:rFonts w:hint="default" w:ascii="Times New Roman" w:hAnsi="Times New Roman" w:cs="Times New Roman"/>
                      <w:color w:val="auto"/>
                      <w:lang w:eastAsia="zh-CN"/>
                    </w:rPr>
                    <w:t>，</w:t>
                  </w:r>
                  <w:r>
                    <w:rPr>
                      <w:rFonts w:hint="default" w:ascii="Times New Roman" w:hAnsi="Times New Roman" w:cs="Times New Roman"/>
                      <w:color w:val="auto"/>
                    </w:rPr>
                    <w:t>调整缺水地区的产业结构</w:t>
                  </w:r>
                  <w:r>
                    <w:rPr>
                      <w:rFonts w:hint="default" w:ascii="Times New Roman" w:hAnsi="Times New Roman" w:cs="Times New Roman"/>
                      <w:color w:val="auto"/>
                      <w:lang w:eastAsia="zh-CN"/>
                    </w:rPr>
                    <w:t>，</w:t>
                  </w:r>
                  <w:r>
                    <w:rPr>
                      <w:rFonts w:hint="default" w:ascii="Times New Roman" w:hAnsi="Times New Roman" w:cs="Times New Roman"/>
                      <w:color w:val="auto"/>
                    </w:rPr>
                    <w:t>严格控制高耗水、高耗能和重污染的建设项目</w:t>
                  </w:r>
                </w:p>
              </w:tc>
              <w:tc>
                <w:tcPr>
                  <w:tcW w:w="2382" w:type="dxa"/>
                  <w:noWrap w:val="0"/>
                  <w:vAlign w:val="center"/>
                </w:tcPr>
                <w:p w14:paraId="6A130C9E">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项目不属于高耗水、高耗能和重污染的建设项目</w:t>
                  </w:r>
                  <w:r>
                    <w:rPr>
                      <w:rFonts w:hint="eastAsia" w:ascii="Times New Roman" w:cs="Times New Roman"/>
                      <w:color w:val="auto"/>
                      <w:lang w:eastAsia="zh-CN"/>
                    </w:rPr>
                    <w:t>。</w:t>
                  </w:r>
                </w:p>
              </w:tc>
              <w:tc>
                <w:tcPr>
                  <w:tcW w:w="784" w:type="dxa"/>
                  <w:noWrap w:val="0"/>
                  <w:vAlign w:val="center"/>
                </w:tcPr>
                <w:p w14:paraId="0E887877">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5CFA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406F1C95">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淮安市</w:t>
                  </w:r>
                </w:p>
              </w:tc>
              <w:tc>
                <w:tcPr>
                  <w:tcW w:w="630" w:type="dxa"/>
                  <w:vMerge w:val="restart"/>
                  <w:noWrap w:val="0"/>
                  <w:vAlign w:val="center"/>
                </w:tcPr>
                <w:p w14:paraId="7918D46B">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空间布局约束</w:t>
                  </w:r>
                </w:p>
              </w:tc>
              <w:tc>
                <w:tcPr>
                  <w:tcW w:w="3570" w:type="dxa"/>
                  <w:noWrap w:val="0"/>
                  <w:vAlign w:val="center"/>
                </w:tcPr>
                <w:p w14:paraId="116CCB19">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中共淮安市委淮安市人民政府关于全面加强生态环境保护坚决打好污染防治攻坚战的实施意见》（淮发〔2018〕33号）、《淮安市打赢蓝天保卫战三年行动计划实施方案》（淮政发〔2018〕113号）、《淮安市“两减六治三提升”专项行动方案》（淮发〔2017〕26号）、《淮安市土壤污染防治工作方案》（淮政发〔2017〕86号）、《淮安市水污染防治工作方案》（淮政发〔2016〕95号）等文件要求。</w:t>
                  </w:r>
                </w:p>
              </w:tc>
              <w:tc>
                <w:tcPr>
                  <w:tcW w:w="2382" w:type="dxa"/>
                  <w:noWrap w:val="0"/>
                  <w:vAlign w:val="center"/>
                </w:tcPr>
                <w:p w14:paraId="629E1AFD">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本项目严格执行《淮安市“两减六治三提升”专项行动方案》（淮发〔2017〕26号）、《淮安市土壤污染防治工作方案》等文件要求</w:t>
                  </w:r>
                  <w:r>
                    <w:rPr>
                      <w:rFonts w:hint="eastAsia" w:ascii="Times New Roman" w:cs="Times New Roman"/>
                      <w:color w:val="auto"/>
                      <w:lang w:eastAsia="zh-CN"/>
                    </w:rPr>
                    <w:t>。</w:t>
                  </w:r>
                </w:p>
              </w:tc>
              <w:tc>
                <w:tcPr>
                  <w:tcW w:w="784" w:type="dxa"/>
                  <w:noWrap w:val="0"/>
                  <w:vAlign w:val="center"/>
                </w:tcPr>
                <w:p w14:paraId="4D66443A">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DB8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238C32F">
                  <w:pPr>
                    <w:pStyle w:val="30"/>
                    <w:bidi w:val="0"/>
                    <w:rPr>
                      <w:rFonts w:hint="default" w:ascii="Times New Roman" w:hAnsi="Times New Roman" w:cs="Times New Roman"/>
                      <w:color w:val="auto"/>
                    </w:rPr>
                  </w:pPr>
                </w:p>
              </w:tc>
              <w:tc>
                <w:tcPr>
                  <w:tcW w:w="630" w:type="dxa"/>
                  <w:vMerge w:val="continue"/>
                  <w:noWrap w:val="0"/>
                  <w:vAlign w:val="center"/>
                </w:tcPr>
                <w:p w14:paraId="1C735E86">
                  <w:pPr>
                    <w:pStyle w:val="30"/>
                    <w:bidi w:val="0"/>
                    <w:rPr>
                      <w:rFonts w:hint="default" w:ascii="Times New Roman" w:hAnsi="Times New Roman" w:cs="Times New Roman"/>
                      <w:color w:val="auto"/>
                    </w:rPr>
                  </w:pPr>
                </w:p>
              </w:tc>
              <w:tc>
                <w:tcPr>
                  <w:tcW w:w="3570" w:type="dxa"/>
                  <w:noWrap w:val="0"/>
                  <w:vAlign w:val="center"/>
                </w:tcPr>
                <w:p w14:paraId="03B04EE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2.严格执行《中共淮安市委淮安市人民政府关于优化全市空间功能定位和产业布局的意见》（淮发〔2016〕37号）、《淮安市产业结构调整指导目录（2018</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版）》（淮政办发〔2018〕6号）等文件要求，重点鼓励休闲农业、电子信息、高端装备制造、新能源汽车及零部件、金融、旅游、健康养生等资源节约型、环境友好型产业。对钢铁、电解铝、水泥、平板玻璃、船舶等产能严重过剩行业，以及乙醇、造纸、皮革、农药、橡胶、水泥、金属冶炼等高耗能、高污染、技术落后的产业进行限制和禁止。同时，对属于限制类的现有生产能力，允许企业开展技术改造，推动产业转型升级。</w:t>
                  </w:r>
                </w:p>
              </w:tc>
              <w:tc>
                <w:tcPr>
                  <w:tcW w:w="2382" w:type="dxa"/>
                  <w:noWrap w:val="0"/>
                  <w:vAlign w:val="center"/>
                </w:tcPr>
                <w:p w14:paraId="1795C6B7">
                  <w:pPr>
                    <w:pStyle w:val="30"/>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本项目位于涟水经济开发区，属于重点管控单元。本项目</w:t>
                  </w:r>
                  <w:r>
                    <w:rPr>
                      <w:rFonts w:hint="default" w:ascii="Times New Roman" w:hAnsi="Times New Roman" w:cs="Times New Roman"/>
                      <w:color w:val="auto"/>
                    </w:rPr>
                    <w:t>属于C2929塑料零件及其他塑料制品制造</w:t>
                  </w:r>
                  <w:r>
                    <w:rPr>
                      <w:rFonts w:hint="eastAsia" w:ascii="Times New Roman" w:cs="Times New Roman"/>
                      <w:color w:val="auto"/>
                      <w:lang w:eastAsia="zh-CN"/>
                    </w:rPr>
                    <w:t>、C3062玻璃纤维增强塑料制品制造</w:t>
                  </w:r>
                  <w:r>
                    <w:rPr>
                      <w:rFonts w:hint="default" w:ascii="Times New Roman" w:hAnsi="Times New Roman" w:eastAsia="宋体" w:cs="Times New Roman"/>
                      <w:color w:val="auto"/>
                      <w:lang w:val="en-US" w:eastAsia="zh-CN"/>
                    </w:rPr>
                    <w:t>，不属于所述限制和禁止类产业。</w:t>
                  </w:r>
                </w:p>
              </w:tc>
              <w:tc>
                <w:tcPr>
                  <w:tcW w:w="784" w:type="dxa"/>
                  <w:noWrap w:val="0"/>
                  <w:vAlign w:val="center"/>
                </w:tcPr>
                <w:p w14:paraId="1208A710">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D6E9D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A1D38A6">
                  <w:pPr>
                    <w:pStyle w:val="30"/>
                    <w:bidi w:val="0"/>
                    <w:rPr>
                      <w:rFonts w:hint="default" w:ascii="Times New Roman" w:hAnsi="Times New Roman" w:cs="Times New Roman"/>
                      <w:color w:val="auto"/>
                    </w:rPr>
                  </w:pPr>
                </w:p>
              </w:tc>
              <w:tc>
                <w:tcPr>
                  <w:tcW w:w="630" w:type="dxa"/>
                  <w:vMerge w:val="continue"/>
                  <w:noWrap w:val="0"/>
                  <w:vAlign w:val="center"/>
                </w:tcPr>
                <w:p w14:paraId="7564A058">
                  <w:pPr>
                    <w:pStyle w:val="30"/>
                    <w:bidi w:val="0"/>
                    <w:rPr>
                      <w:rFonts w:hint="default" w:ascii="Times New Roman" w:hAnsi="Times New Roman" w:cs="Times New Roman"/>
                      <w:color w:val="auto"/>
                    </w:rPr>
                  </w:pPr>
                </w:p>
              </w:tc>
              <w:tc>
                <w:tcPr>
                  <w:tcW w:w="3570" w:type="dxa"/>
                  <w:noWrap w:val="0"/>
                  <w:vAlign w:val="center"/>
                </w:tcPr>
                <w:p w14:paraId="71A90AC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淮安市“两减六治三提升”专项行动方案》（淮发〔2017〕26号），推动化工企业入园进区，禁止园区外（除重点监测点化工企业外）一切新建、扩建化工项目。一律不批化工园区内环境基础设施不完善或长期不能稳定运行企业的新改扩建化工项目。新建（含搬迁）化工项目必须进入已经依法完成规划环评审查的化工园区。园区外化工企业（除重点监测点化工企业外）只允许在原有生产产品种类不变、产能规模不变、排放总量不增加的前提下，进行安全隐患改造和节能环保设施改造。禁止限制类项目产能（搬迁改造升级项目除外）入园进区。</w:t>
                  </w:r>
                </w:p>
              </w:tc>
              <w:tc>
                <w:tcPr>
                  <w:tcW w:w="2382" w:type="dxa"/>
                  <w:noWrap w:val="0"/>
                  <w:vAlign w:val="center"/>
                </w:tcPr>
                <w:p w14:paraId="1A688B33">
                  <w:pPr>
                    <w:pStyle w:val="30"/>
                    <w:bidi w:val="0"/>
                    <w:rPr>
                      <w:rFonts w:hint="default" w:ascii="Times New Roman" w:hAnsi="Times New Roman" w:cs="Times New Roman"/>
                      <w:color w:val="auto"/>
                    </w:rPr>
                  </w:pPr>
                  <w:r>
                    <w:rPr>
                      <w:rFonts w:hint="default" w:ascii="Times New Roman" w:hAnsi="Times New Roman" w:cs="Times New Roman"/>
                      <w:color w:val="auto"/>
                    </w:rPr>
                    <w:t>本项目属于C2929塑料零件及其他塑料制品制造</w:t>
                  </w:r>
                  <w:r>
                    <w:rPr>
                      <w:rFonts w:hint="eastAsia" w:ascii="Times New Roman" w:cs="Times New Roman"/>
                      <w:color w:val="auto"/>
                      <w:lang w:eastAsia="zh-CN"/>
                    </w:rPr>
                    <w:t>、C3062玻璃纤维增强塑料制品制造，</w:t>
                  </w:r>
                  <w:r>
                    <w:rPr>
                      <w:rFonts w:hint="eastAsia" w:ascii="Times New Roman" w:cs="Times New Roman"/>
                      <w:color w:val="auto"/>
                      <w:lang w:val="en-US" w:eastAsia="zh-CN"/>
                    </w:rPr>
                    <w:t>不属于化工项目。</w:t>
                  </w:r>
                </w:p>
              </w:tc>
              <w:tc>
                <w:tcPr>
                  <w:tcW w:w="784" w:type="dxa"/>
                  <w:noWrap w:val="0"/>
                  <w:vAlign w:val="center"/>
                </w:tcPr>
                <w:p w14:paraId="7ADE159E">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0538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8CBA357">
                  <w:pPr>
                    <w:pStyle w:val="30"/>
                    <w:bidi w:val="0"/>
                    <w:rPr>
                      <w:rFonts w:hint="default" w:ascii="Times New Roman" w:hAnsi="Times New Roman" w:cs="Times New Roman"/>
                      <w:color w:val="auto"/>
                    </w:rPr>
                  </w:pPr>
                </w:p>
              </w:tc>
              <w:tc>
                <w:tcPr>
                  <w:tcW w:w="630" w:type="dxa"/>
                  <w:vMerge w:val="continue"/>
                  <w:noWrap w:val="0"/>
                  <w:vAlign w:val="center"/>
                </w:tcPr>
                <w:p w14:paraId="1380AB89">
                  <w:pPr>
                    <w:pStyle w:val="30"/>
                    <w:bidi w:val="0"/>
                    <w:rPr>
                      <w:rFonts w:hint="default" w:ascii="Times New Roman" w:hAnsi="Times New Roman" w:cs="Times New Roman"/>
                      <w:color w:val="auto"/>
                    </w:rPr>
                  </w:pPr>
                </w:p>
              </w:tc>
              <w:tc>
                <w:tcPr>
                  <w:tcW w:w="3570" w:type="dxa"/>
                  <w:noWrap w:val="0"/>
                  <w:vAlign w:val="center"/>
                </w:tcPr>
                <w:p w14:paraId="2CF6BA1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根据《中共淮安市委淮安市人民政府关于全面加强生态环境保护坚决打好污染防治攻坚战的实施意见》（淮发〔2018〕33号），从严控制京杭大运河（南水北调东线）沿岸两侧危化品码头新建项目的审批。严禁在京杭运河沿线1公里范围内新建布局化工园区和化工企业。</w:t>
                  </w:r>
                </w:p>
              </w:tc>
              <w:tc>
                <w:tcPr>
                  <w:tcW w:w="2382" w:type="dxa"/>
                  <w:noWrap w:val="0"/>
                  <w:vAlign w:val="center"/>
                </w:tcPr>
                <w:p w14:paraId="44B230C0">
                  <w:pPr>
                    <w:pStyle w:val="30"/>
                    <w:bidi w:val="0"/>
                    <w:rPr>
                      <w:rFonts w:hint="default" w:ascii="Times New Roman" w:hAnsi="Times New Roman" w:cs="Times New Roman"/>
                      <w:color w:val="auto"/>
                    </w:rPr>
                  </w:pPr>
                  <w:r>
                    <w:rPr>
                      <w:rFonts w:hint="default" w:ascii="Times New Roman" w:hAnsi="Times New Roman" w:cs="Times New Roman"/>
                      <w:color w:val="auto"/>
                    </w:rPr>
                    <w:t>本项目不在京杭运河沿线1公里范围内。</w:t>
                  </w:r>
                </w:p>
              </w:tc>
              <w:tc>
                <w:tcPr>
                  <w:tcW w:w="784" w:type="dxa"/>
                  <w:noWrap w:val="0"/>
                  <w:vAlign w:val="center"/>
                </w:tcPr>
                <w:p w14:paraId="41417551">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60BF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17EAA97">
                  <w:pPr>
                    <w:pStyle w:val="30"/>
                    <w:bidi w:val="0"/>
                    <w:rPr>
                      <w:rFonts w:hint="default" w:ascii="Times New Roman" w:hAnsi="Times New Roman" w:cs="Times New Roman"/>
                      <w:color w:val="auto"/>
                    </w:rPr>
                  </w:pPr>
                </w:p>
              </w:tc>
              <w:tc>
                <w:tcPr>
                  <w:tcW w:w="630" w:type="dxa"/>
                  <w:vMerge w:val="continue"/>
                  <w:noWrap w:val="0"/>
                  <w:vAlign w:val="center"/>
                </w:tcPr>
                <w:p w14:paraId="37984116">
                  <w:pPr>
                    <w:pStyle w:val="30"/>
                    <w:bidi w:val="0"/>
                    <w:rPr>
                      <w:rFonts w:hint="default" w:ascii="Times New Roman" w:hAnsi="Times New Roman" w:cs="Times New Roman"/>
                      <w:color w:val="auto"/>
                    </w:rPr>
                  </w:pPr>
                </w:p>
              </w:tc>
              <w:tc>
                <w:tcPr>
                  <w:tcW w:w="3570" w:type="dxa"/>
                  <w:noWrap w:val="0"/>
                  <w:vAlign w:val="center"/>
                </w:tcPr>
                <w:p w14:paraId="40210FAD">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根据《省政府关于加强全省化工园区化工集中区规范化管理的通知》（苏政发〔2020〕94号），淮安市具备化工定位的化工集中区为江苏淮安工业园区，化工集中区内已建成的企业要通过改进工艺、更新装备、加大信息化智能化改造等措施提升本质安全水平。取消化工定位的园区（集中区）要大幅压减化工生产企业数量，不得新增化工生产企业、新建扩建化工生产项目，现有化工生产企业符合条件的可以定位为化工重点监测点，重点监测点在不新增</w:t>
                  </w:r>
                  <w:r>
                    <w:rPr>
                      <w:rFonts w:hint="eastAsia" w:cs="Times New Roman"/>
                      <w:color w:val="auto"/>
                      <w:kern w:val="0"/>
                      <w:sz w:val="21"/>
                      <w:szCs w:val="20"/>
                      <w:lang w:val="en-US" w:eastAsia="zh-CN" w:bidi="ar-SA"/>
                    </w:rPr>
                    <w:t>工地</w:t>
                  </w:r>
                  <w:r>
                    <w:rPr>
                      <w:rFonts w:hint="default" w:ascii="Times New Roman" w:hAnsi="Times New Roman" w:eastAsia="宋体" w:cs="Times New Roman"/>
                      <w:color w:val="auto"/>
                      <w:kern w:val="0"/>
                      <w:sz w:val="21"/>
                      <w:szCs w:val="20"/>
                      <w:lang w:val="en-US" w:eastAsia="zh-CN" w:bidi="ar-SA"/>
                    </w:rPr>
                    <w:t>和污染物排放总量的情况下可以实施产业政策鼓励类、允许类的技术改造项目。</w:t>
                  </w:r>
                </w:p>
              </w:tc>
              <w:tc>
                <w:tcPr>
                  <w:tcW w:w="2382" w:type="dxa"/>
                  <w:noWrap w:val="0"/>
                  <w:vAlign w:val="center"/>
                </w:tcPr>
                <w:p w14:paraId="05D7DEC8">
                  <w:pPr>
                    <w:pStyle w:val="30"/>
                    <w:bidi w:val="0"/>
                    <w:rPr>
                      <w:rFonts w:hint="default" w:ascii="Times New Roman" w:hAnsi="Times New Roman" w:cs="Times New Roman"/>
                      <w:color w:val="auto"/>
                    </w:rPr>
                  </w:pPr>
                  <w:r>
                    <w:rPr>
                      <w:rFonts w:hint="default" w:ascii="Times New Roman" w:hAnsi="Times New Roman" w:cs="Times New Roman"/>
                      <w:color w:val="auto"/>
                    </w:rPr>
                    <w:t>本项目属于C2929塑料零件及其他塑料制品制造</w:t>
                  </w:r>
                  <w:r>
                    <w:rPr>
                      <w:rFonts w:hint="eastAsia" w:ascii="Times New Roman" w:cs="Times New Roman"/>
                      <w:color w:val="auto"/>
                      <w:lang w:eastAsia="zh-CN"/>
                    </w:rPr>
                    <w:t>、C3062玻璃纤维增强塑料制品制造，</w:t>
                  </w:r>
                  <w:r>
                    <w:rPr>
                      <w:rFonts w:hint="eastAsia" w:ascii="Times New Roman" w:cs="Times New Roman"/>
                      <w:color w:val="auto"/>
                      <w:lang w:val="en-US" w:eastAsia="zh-CN"/>
                    </w:rPr>
                    <w:t>不属于化工项目。</w:t>
                  </w:r>
                </w:p>
              </w:tc>
              <w:tc>
                <w:tcPr>
                  <w:tcW w:w="784" w:type="dxa"/>
                  <w:noWrap w:val="0"/>
                  <w:vAlign w:val="center"/>
                </w:tcPr>
                <w:p w14:paraId="561ACBC3">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AC6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58351F8">
                  <w:pPr>
                    <w:pStyle w:val="30"/>
                    <w:bidi w:val="0"/>
                    <w:rPr>
                      <w:rFonts w:hint="default" w:ascii="Times New Roman" w:hAnsi="Times New Roman" w:cs="Times New Roman"/>
                      <w:color w:val="auto"/>
                    </w:rPr>
                  </w:pPr>
                </w:p>
              </w:tc>
              <w:tc>
                <w:tcPr>
                  <w:tcW w:w="630" w:type="dxa"/>
                  <w:vMerge w:val="restart"/>
                  <w:noWrap w:val="0"/>
                  <w:vAlign w:val="center"/>
                </w:tcPr>
                <w:p w14:paraId="4CC4F600">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污染物排放管控</w:t>
                  </w:r>
                </w:p>
              </w:tc>
              <w:tc>
                <w:tcPr>
                  <w:tcW w:w="3570" w:type="dxa"/>
                  <w:noWrap w:val="0"/>
                  <w:vAlign w:val="center"/>
                </w:tcPr>
                <w:p w14:paraId="4345B31F">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允许排放量要求：根据《淮安市“十三五”节能减排综合实施方案》（淮政发〔2017〕119号），到2020年，淮安市化学需氧量、氨氮、总氮、总磷、二氧化硫、氮氧化物、VOCs排放量不得超过5.91万吨/年、0.77万吨/年、1.50万吨/年、0.155万吨/年、3.57万吨/年、4.72万吨/年、7.92万吨/年。</w:t>
                  </w:r>
                </w:p>
              </w:tc>
              <w:tc>
                <w:tcPr>
                  <w:tcW w:w="2382" w:type="dxa"/>
                  <w:noWrap w:val="0"/>
                  <w:vAlign w:val="center"/>
                </w:tcPr>
                <w:p w14:paraId="76F81219">
                  <w:pPr>
                    <w:pStyle w:val="16"/>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color w:val="FF0000"/>
                      <w:sz w:val="21"/>
                    </w:rPr>
                  </w:pPr>
                  <w:r>
                    <w:rPr>
                      <w:rFonts w:hint="eastAsia" w:ascii="Times New Roman" w:hAnsi="Times New Roman"/>
                      <w:color w:val="auto"/>
                      <w:sz w:val="21"/>
                    </w:rPr>
                    <w:t>全厂大气污染物总量：非甲烷总烃控制总量为</w:t>
                  </w:r>
                  <w:r>
                    <w:rPr>
                      <w:rFonts w:hint="eastAsia" w:ascii="Times New Roman" w:hAnsi="Times New Roman"/>
                      <w:color w:val="auto"/>
                      <w:sz w:val="21"/>
                      <w:lang w:val="en-US" w:eastAsia="zh-CN"/>
                    </w:rPr>
                    <w:t>1.24</w:t>
                  </w:r>
                  <w:r>
                    <w:rPr>
                      <w:rFonts w:hint="eastAsia" w:ascii="Times New Roman" w:hAnsi="Times New Roman"/>
                      <w:color w:val="auto"/>
                      <w:sz w:val="21"/>
                    </w:rPr>
                    <w:t>t/a（有组织</w:t>
                  </w:r>
                  <w:r>
                    <w:rPr>
                      <w:rFonts w:hint="eastAsia" w:ascii="Times New Roman" w:hAnsi="Times New Roman"/>
                      <w:color w:val="auto"/>
                      <w:sz w:val="21"/>
                      <w:lang w:val="en-US" w:eastAsia="zh-CN"/>
                    </w:rPr>
                    <w:t>0.587</w:t>
                  </w:r>
                  <w:r>
                    <w:rPr>
                      <w:rFonts w:hint="eastAsia" w:ascii="Times New Roman" w:hAnsi="Times New Roman"/>
                      <w:color w:val="auto"/>
                      <w:sz w:val="21"/>
                    </w:rPr>
                    <w:t>t/a，无组织</w:t>
                  </w:r>
                  <w:r>
                    <w:rPr>
                      <w:rFonts w:hint="eastAsia" w:ascii="Times New Roman" w:hAnsi="Times New Roman"/>
                      <w:color w:val="auto"/>
                      <w:sz w:val="21"/>
                      <w:lang w:val="en-US" w:eastAsia="zh-CN"/>
                    </w:rPr>
                    <w:t>0.653</w:t>
                  </w:r>
                  <w:r>
                    <w:rPr>
                      <w:rFonts w:hint="eastAsia" w:ascii="Times New Roman" w:hAnsi="Times New Roman"/>
                      <w:color w:val="auto"/>
                      <w:sz w:val="21"/>
                    </w:rPr>
                    <w:t>t/a）</w:t>
                  </w:r>
                  <w:r>
                    <w:rPr>
                      <w:rFonts w:hint="eastAsia" w:ascii="Times New Roman" w:hAnsi="Times New Roman"/>
                      <w:color w:val="auto"/>
                      <w:sz w:val="21"/>
                      <w:lang w:eastAsia="zh-CN"/>
                    </w:rPr>
                    <w:t>，</w:t>
                  </w:r>
                  <w:r>
                    <w:rPr>
                      <w:rFonts w:hint="eastAsia" w:ascii="Times New Roman" w:hAnsi="Times New Roman"/>
                      <w:color w:val="FF0000"/>
                      <w:sz w:val="21"/>
                      <w:lang w:val="en-US" w:eastAsia="zh-CN"/>
                    </w:rPr>
                    <w:t>颗粒物控制总量为0.262</w:t>
                  </w:r>
                  <w:r>
                    <w:rPr>
                      <w:rFonts w:hint="eastAsia" w:ascii="Times New Roman" w:hAnsi="Times New Roman"/>
                      <w:color w:val="FF0000"/>
                      <w:sz w:val="21"/>
                    </w:rPr>
                    <w:t>t/a（有组织</w:t>
                  </w:r>
                  <w:r>
                    <w:rPr>
                      <w:rFonts w:hint="eastAsia" w:ascii="Times New Roman" w:hAnsi="Times New Roman"/>
                      <w:color w:val="FF0000"/>
                      <w:sz w:val="21"/>
                      <w:lang w:val="en-US" w:eastAsia="zh-CN"/>
                    </w:rPr>
                    <w:t>0.081</w:t>
                  </w:r>
                  <w:r>
                    <w:rPr>
                      <w:rFonts w:hint="eastAsia" w:ascii="Times New Roman" w:hAnsi="Times New Roman"/>
                      <w:color w:val="FF0000"/>
                      <w:sz w:val="21"/>
                    </w:rPr>
                    <w:t>t/a，无组织</w:t>
                  </w:r>
                  <w:r>
                    <w:rPr>
                      <w:rFonts w:hint="eastAsia" w:ascii="Times New Roman" w:hAnsi="Times New Roman"/>
                      <w:color w:val="FF0000"/>
                      <w:sz w:val="21"/>
                      <w:lang w:val="en-US" w:eastAsia="zh-CN"/>
                    </w:rPr>
                    <w:t>0.181</w:t>
                  </w:r>
                  <w:r>
                    <w:rPr>
                      <w:rFonts w:hint="eastAsia" w:ascii="Times New Roman" w:hAnsi="Times New Roman"/>
                      <w:color w:val="FF0000"/>
                      <w:sz w:val="21"/>
                    </w:rPr>
                    <w:t>t/a）。</w:t>
                  </w:r>
                </w:p>
                <w:p w14:paraId="53D7C41E">
                  <w:pPr>
                    <w:pStyle w:val="16"/>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default" w:ascii="Times New Roman" w:hAnsi="Times New Roman" w:cs="Times New Roman"/>
                      <w:color w:val="auto"/>
                    </w:rPr>
                  </w:pPr>
                  <w:r>
                    <w:rPr>
                      <w:rFonts w:hint="eastAsia" w:ascii="Times New Roman" w:hAnsi="Times New Roman"/>
                      <w:color w:val="auto"/>
                      <w:sz w:val="21"/>
                    </w:rPr>
                    <w:t>全厂废水：废水总量</w:t>
                  </w:r>
                  <w:r>
                    <w:rPr>
                      <w:rFonts w:hint="eastAsia" w:ascii="Times New Roman" w:hAnsi="Times New Roman"/>
                      <w:color w:val="auto"/>
                      <w:sz w:val="21"/>
                      <w:lang w:val="en-US" w:eastAsia="zh-CN"/>
                    </w:rPr>
                    <w:t>192</w:t>
                  </w:r>
                  <w:r>
                    <w:rPr>
                      <w:rFonts w:hint="eastAsia" w:ascii="Times New Roman" w:hAnsi="Times New Roman"/>
                      <w:color w:val="auto"/>
                      <w:sz w:val="21"/>
                    </w:rPr>
                    <w:t>t/a，废水环境排放量：COD</w:t>
                  </w:r>
                  <w:r>
                    <w:rPr>
                      <w:rFonts w:hint="eastAsia" w:ascii="Times New Roman" w:hAnsi="Times New Roman"/>
                      <w:color w:val="auto"/>
                      <w:sz w:val="21"/>
                      <w:lang w:val="en-US" w:eastAsia="zh-CN"/>
                    </w:rPr>
                    <w:t>0.0096</w:t>
                  </w:r>
                  <w:r>
                    <w:rPr>
                      <w:rFonts w:hint="eastAsia" w:ascii="Times New Roman" w:hAnsi="Times New Roman"/>
                      <w:color w:val="auto"/>
                      <w:sz w:val="21"/>
                    </w:rPr>
                    <w:t>t/a、NH</w:t>
                  </w:r>
                  <w:r>
                    <w:rPr>
                      <w:rFonts w:hint="eastAsia" w:ascii="Times New Roman" w:hAnsi="Times New Roman"/>
                      <w:color w:val="auto"/>
                      <w:sz w:val="21"/>
                      <w:vertAlign w:val="subscript"/>
                    </w:rPr>
                    <w:t>3</w:t>
                  </w:r>
                  <w:r>
                    <w:rPr>
                      <w:rFonts w:hint="eastAsia" w:ascii="Times New Roman" w:hAnsi="Times New Roman"/>
                      <w:color w:val="auto"/>
                      <w:sz w:val="21"/>
                    </w:rPr>
                    <w:t>-N</w:t>
                  </w:r>
                  <w:r>
                    <w:rPr>
                      <w:rFonts w:hint="eastAsia" w:ascii="Times New Roman" w:hAnsi="Times New Roman"/>
                      <w:color w:val="auto"/>
                      <w:sz w:val="21"/>
                      <w:lang w:val="en-US" w:eastAsia="zh-CN"/>
                    </w:rPr>
                    <w:t>0.001</w:t>
                  </w:r>
                  <w:r>
                    <w:rPr>
                      <w:rFonts w:hint="eastAsia" w:ascii="Times New Roman" w:hAnsi="Times New Roman"/>
                      <w:color w:val="auto"/>
                      <w:sz w:val="21"/>
                    </w:rPr>
                    <w:t>t/a、TN</w:t>
                  </w:r>
                  <w:r>
                    <w:rPr>
                      <w:rFonts w:hint="eastAsia" w:ascii="Times New Roman" w:hAnsi="Times New Roman"/>
                      <w:color w:val="auto"/>
                      <w:sz w:val="21"/>
                      <w:lang w:val="en-US" w:eastAsia="zh-CN"/>
                    </w:rPr>
                    <w:t>0.0029</w:t>
                  </w:r>
                  <w:r>
                    <w:rPr>
                      <w:rFonts w:hint="eastAsia" w:ascii="Times New Roman" w:hAnsi="Times New Roman"/>
                      <w:color w:val="auto"/>
                      <w:sz w:val="21"/>
                    </w:rPr>
                    <w:t>t/a、TP</w:t>
                  </w:r>
                  <w:r>
                    <w:rPr>
                      <w:rFonts w:hint="eastAsia" w:ascii="Times New Roman" w:hAnsi="Times New Roman"/>
                      <w:color w:val="auto"/>
                      <w:sz w:val="21"/>
                      <w:lang w:val="en-US" w:eastAsia="zh-CN"/>
                    </w:rPr>
                    <w:t>0.0001</w:t>
                  </w:r>
                  <w:r>
                    <w:rPr>
                      <w:rFonts w:hint="eastAsia" w:ascii="Times New Roman" w:hAnsi="Times New Roman"/>
                      <w:color w:val="auto"/>
                      <w:sz w:val="21"/>
                    </w:rPr>
                    <w:t>t/a。</w:t>
                  </w:r>
                </w:p>
              </w:tc>
              <w:tc>
                <w:tcPr>
                  <w:tcW w:w="784" w:type="dxa"/>
                  <w:noWrap w:val="0"/>
                  <w:vAlign w:val="center"/>
                </w:tcPr>
                <w:p w14:paraId="36371EF6">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7200A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01BAAAF">
                  <w:pPr>
                    <w:pStyle w:val="30"/>
                    <w:bidi w:val="0"/>
                    <w:rPr>
                      <w:rFonts w:hint="default" w:ascii="Times New Roman" w:hAnsi="Times New Roman" w:cs="Times New Roman"/>
                      <w:color w:val="auto"/>
                    </w:rPr>
                  </w:pPr>
                </w:p>
              </w:tc>
              <w:tc>
                <w:tcPr>
                  <w:tcW w:w="630" w:type="dxa"/>
                  <w:vMerge w:val="continue"/>
                  <w:noWrap w:val="0"/>
                  <w:vAlign w:val="center"/>
                </w:tcPr>
                <w:p w14:paraId="78C5BB71">
                  <w:pPr>
                    <w:pStyle w:val="30"/>
                    <w:bidi w:val="0"/>
                    <w:rPr>
                      <w:rFonts w:hint="default" w:ascii="Times New Roman" w:hAnsi="Times New Roman" w:cs="Times New Roman"/>
                      <w:color w:val="auto"/>
                    </w:rPr>
                  </w:pPr>
                </w:p>
              </w:tc>
              <w:tc>
                <w:tcPr>
                  <w:tcW w:w="3570" w:type="dxa"/>
                  <w:noWrap w:val="0"/>
                  <w:vAlign w:val="center"/>
                </w:tcPr>
                <w:p w14:paraId="7B99B7B2">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2.新</w:t>
                  </w:r>
                  <w:r>
                    <w:rPr>
                      <w:rFonts w:hint="eastAsia" w:cs="Times New Roman"/>
                      <w:color w:val="auto"/>
                      <w:kern w:val="0"/>
                      <w:sz w:val="21"/>
                      <w:szCs w:val="20"/>
                      <w:lang w:val="en-US" w:eastAsia="zh-CN" w:bidi="ar-SA"/>
                    </w:rPr>
                    <w:t>增资</w:t>
                  </w:r>
                  <w:r>
                    <w:rPr>
                      <w:rFonts w:hint="default" w:ascii="Times New Roman" w:hAnsi="Times New Roman" w:eastAsia="宋体" w:cs="Times New Roman"/>
                      <w:color w:val="auto"/>
                      <w:kern w:val="0"/>
                      <w:sz w:val="21"/>
                      <w:szCs w:val="20"/>
                      <w:lang w:val="en-US" w:eastAsia="zh-CN" w:bidi="ar-SA"/>
                    </w:rPr>
                    <w:t>源排放标准限制：根据《淮安市打赢蓝天保卫战三年行动计划实施方案》（淮政发〔2018〕113号），全市范围内二氧化硫、氮氧化物、颗粒物、VOCs全面执行大气污染物特别排放限值。</w:t>
                  </w:r>
                </w:p>
              </w:tc>
              <w:tc>
                <w:tcPr>
                  <w:tcW w:w="2382" w:type="dxa"/>
                  <w:noWrap w:val="0"/>
                  <w:vAlign w:val="center"/>
                </w:tcPr>
                <w:p w14:paraId="3A71A667">
                  <w:pPr>
                    <w:pStyle w:val="30"/>
                    <w:keepNext w:val="0"/>
                    <w:keepLines w:val="0"/>
                    <w:pageBreakBefore w:val="0"/>
                    <w:kinsoku/>
                    <w:wordWrap/>
                    <w:overflowPunct/>
                    <w:topLinePunct w:val="0"/>
                    <w:bidi w:val="0"/>
                    <w:jc w:val="both"/>
                    <w:textAlignment w:val="auto"/>
                    <w:rPr>
                      <w:rFonts w:hint="eastAsia" w:ascii="Times New Roman" w:hAnsi="Times New Roman" w:eastAsia="宋体" w:cs="Times New Roman"/>
                      <w:color w:val="auto"/>
                      <w:lang w:eastAsia="zh-CN"/>
                    </w:rPr>
                  </w:pPr>
                  <w:r>
                    <w:rPr>
                      <w:rFonts w:hint="eastAsia" w:ascii="Times New Roman" w:cs="Times New Roman"/>
                      <w:color w:val="auto"/>
                      <w:lang w:val="en-US" w:eastAsia="zh-CN"/>
                    </w:rPr>
                    <w:t>本项目营运期有组织颗粒物、非甲烷总烃、苯乙烯的排放执行行业标准《合成树脂工业污染物排放标准》（GB31572-2015，含2024年修改单）表5中限值要求，苯系物执行《大气污染物综合排放标准》（DB32/4041-2021）表1中限值要求</w:t>
                  </w:r>
                  <w:r>
                    <w:rPr>
                      <w:rFonts w:hint="eastAsia" w:ascii="Times New Roman" w:cs="Times New Roman"/>
                      <w:color w:val="auto"/>
                      <w:lang w:eastAsia="zh-CN"/>
                    </w:rPr>
                    <w:t>。</w:t>
                  </w:r>
                </w:p>
              </w:tc>
              <w:tc>
                <w:tcPr>
                  <w:tcW w:w="784" w:type="dxa"/>
                  <w:noWrap w:val="0"/>
                  <w:vAlign w:val="center"/>
                </w:tcPr>
                <w:p w14:paraId="5EE5C9D6">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60B5E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6CB5630">
                  <w:pPr>
                    <w:pStyle w:val="30"/>
                    <w:bidi w:val="0"/>
                    <w:rPr>
                      <w:rFonts w:hint="default" w:ascii="Times New Roman" w:hAnsi="Times New Roman" w:cs="Times New Roman"/>
                      <w:color w:val="auto"/>
                    </w:rPr>
                  </w:pPr>
                </w:p>
              </w:tc>
              <w:tc>
                <w:tcPr>
                  <w:tcW w:w="630" w:type="dxa"/>
                  <w:vMerge w:val="restart"/>
                  <w:noWrap w:val="0"/>
                  <w:vAlign w:val="center"/>
                </w:tcPr>
                <w:p w14:paraId="05DDF4E9">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环境风险管控</w:t>
                  </w:r>
                </w:p>
              </w:tc>
              <w:tc>
                <w:tcPr>
                  <w:tcW w:w="3570" w:type="dxa"/>
                  <w:noWrap w:val="0"/>
                  <w:vAlign w:val="center"/>
                </w:tcPr>
                <w:p w14:paraId="0A1926A1">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淮安市突发环境事件应急预案》（淮政办发〔2017〕93号）、《淮安市集中式饮用水源突发污染事件应急预案》（淮政办发〔2010〕173号）、《淮安市核与辐射突发环境事件应急预案》《淮安市重污染天气应急预案》（淮政办发〔2016〕159号）等文件要求，建立区域监测预警系统，建立省市县上下联动、区域之间左右联动等联动应急响应体系，实行联防联控。</w:t>
                  </w:r>
                </w:p>
              </w:tc>
              <w:tc>
                <w:tcPr>
                  <w:tcW w:w="2382" w:type="dxa"/>
                  <w:vMerge w:val="restart"/>
                  <w:noWrap w:val="0"/>
                  <w:vAlign w:val="center"/>
                </w:tcPr>
                <w:p w14:paraId="40816F3F">
                  <w:pPr>
                    <w:pStyle w:val="30"/>
                    <w:bidi w:val="0"/>
                    <w:rPr>
                      <w:rFonts w:hint="default" w:ascii="Times New Roman" w:hAnsi="Times New Roman" w:cs="Times New Roman"/>
                      <w:color w:val="auto"/>
                    </w:rPr>
                  </w:pPr>
                  <w:r>
                    <w:rPr>
                      <w:rFonts w:hint="default" w:ascii="Times New Roman" w:hAnsi="Times New Roman" w:cs="Times New Roman"/>
                      <w:color w:val="auto"/>
                    </w:rPr>
                    <w:t>拟建项目位于淮安市涟水经济开发区西区，不属于石化、化工、水泥、钢铁等重污染企业和危险化学品企业。企业严格管理，配备消防器材等应急物资及应急设施，采取严密的应急防范措施，按照要求编制突发环境事件应急预案并备案，定期组织演练，提高应急处置能力。</w:t>
                  </w:r>
                </w:p>
              </w:tc>
              <w:tc>
                <w:tcPr>
                  <w:tcW w:w="784" w:type="dxa"/>
                  <w:vMerge w:val="restart"/>
                  <w:noWrap w:val="0"/>
                  <w:vAlign w:val="center"/>
                </w:tcPr>
                <w:p w14:paraId="77995707">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38754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4D3AABC">
                  <w:pPr>
                    <w:pStyle w:val="30"/>
                    <w:bidi w:val="0"/>
                    <w:rPr>
                      <w:rFonts w:hint="default" w:ascii="Times New Roman" w:hAnsi="Times New Roman" w:cs="Times New Roman"/>
                      <w:color w:val="auto"/>
                    </w:rPr>
                  </w:pPr>
                </w:p>
              </w:tc>
              <w:tc>
                <w:tcPr>
                  <w:tcW w:w="630" w:type="dxa"/>
                  <w:vMerge w:val="continue"/>
                  <w:noWrap w:val="0"/>
                  <w:vAlign w:val="center"/>
                </w:tcPr>
                <w:p w14:paraId="142DF172">
                  <w:pPr>
                    <w:pStyle w:val="30"/>
                    <w:bidi w:val="0"/>
                    <w:rPr>
                      <w:rFonts w:hint="default" w:ascii="Times New Roman" w:hAnsi="Times New Roman" w:cs="Times New Roman"/>
                      <w:color w:val="auto"/>
                    </w:rPr>
                  </w:pPr>
                </w:p>
              </w:tc>
              <w:tc>
                <w:tcPr>
                  <w:tcW w:w="3570" w:type="dxa"/>
                  <w:noWrap w:val="0"/>
                  <w:vAlign w:val="center"/>
                </w:tcPr>
                <w:p w14:paraId="49F82A7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2.根据《淮安市“两减六治三提升”专项行动方案》（淮发〔2017〕26号），加强县以上城市应急备用水源建设和管理，强化应急体系建设，建立饮用水源地实时监测监控系统，落实水源地日常巡查制度。</w:t>
                  </w:r>
                </w:p>
              </w:tc>
              <w:tc>
                <w:tcPr>
                  <w:tcW w:w="2382" w:type="dxa"/>
                  <w:vMerge w:val="continue"/>
                  <w:noWrap w:val="0"/>
                  <w:vAlign w:val="center"/>
                </w:tcPr>
                <w:p w14:paraId="6EADE757">
                  <w:pPr>
                    <w:pStyle w:val="30"/>
                    <w:bidi w:val="0"/>
                    <w:rPr>
                      <w:rFonts w:hint="default" w:ascii="Times New Roman" w:hAnsi="Times New Roman" w:cs="Times New Roman"/>
                      <w:color w:val="auto"/>
                    </w:rPr>
                  </w:pPr>
                </w:p>
              </w:tc>
              <w:tc>
                <w:tcPr>
                  <w:tcW w:w="784" w:type="dxa"/>
                  <w:vMerge w:val="continue"/>
                  <w:noWrap w:val="0"/>
                  <w:vAlign w:val="center"/>
                </w:tcPr>
                <w:p w14:paraId="5CD226B1">
                  <w:pPr>
                    <w:pStyle w:val="30"/>
                    <w:bidi w:val="0"/>
                    <w:rPr>
                      <w:rFonts w:hint="default" w:ascii="Times New Roman" w:hAnsi="Times New Roman" w:cs="Times New Roman"/>
                      <w:color w:val="auto"/>
                    </w:rPr>
                  </w:pPr>
                </w:p>
              </w:tc>
            </w:tr>
            <w:tr w14:paraId="48F84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36EF471">
                  <w:pPr>
                    <w:pStyle w:val="30"/>
                    <w:bidi w:val="0"/>
                    <w:rPr>
                      <w:rFonts w:hint="default" w:ascii="Times New Roman" w:hAnsi="Times New Roman" w:cs="Times New Roman"/>
                      <w:color w:val="auto"/>
                    </w:rPr>
                  </w:pPr>
                </w:p>
              </w:tc>
              <w:tc>
                <w:tcPr>
                  <w:tcW w:w="630" w:type="dxa"/>
                  <w:vMerge w:val="continue"/>
                  <w:noWrap w:val="0"/>
                  <w:vAlign w:val="center"/>
                </w:tcPr>
                <w:p w14:paraId="598939A0">
                  <w:pPr>
                    <w:pStyle w:val="30"/>
                    <w:bidi w:val="0"/>
                    <w:rPr>
                      <w:rFonts w:hint="default" w:ascii="Times New Roman" w:hAnsi="Times New Roman" w:cs="Times New Roman"/>
                      <w:color w:val="auto"/>
                    </w:rPr>
                  </w:pPr>
                </w:p>
              </w:tc>
              <w:tc>
                <w:tcPr>
                  <w:tcW w:w="3570" w:type="dxa"/>
                  <w:noWrap w:val="0"/>
                  <w:vAlign w:val="center"/>
                </w:tcPr>
                <w:p w14:paraId="757B4F26">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中共淮安市委淮安市人民政府关于全面加强生态环境保护坚决打好污染防治攻坚战的实施意见》（淮发〔2018〕33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2382" w:type="dxa"/>
                  <w:vMerge w:val="continue"/>
                  <w:noWrap w:val="0"/>
                  <w:vAlign w:val="center"/>
                </w:tcPr>
                <w:p w14:paraId="5084E775">
                  <w:pPr>
                    <w:pStyle w:val="30"/>
                    <w:bidi w:val="0"/>
                    <w:rPr>
                      <w:rFonts w:hint="default" w:ascii="Times New Roman" w:hAnsi="Times New Roman" w:cs="Times New Roman"/>
                      <w:color w:val="auto"/>
                    </w:rPr>
                  </w:pPr>
                </w:p>
              </w:tc>
              <w:tc>
                <w:tcPr>
                  <w:tcW w:w="784" w:type="dxa"/>
                  <w:vMerge w:val="continue"/>
                  <w:noWrap w:val="0"/>
                  <w:vAlign w:val="center"/>
                </w:tcPr>
                <w:p w14:paraId="362165B8">
                  <w:pPr>
                    <w:pStyle w:val="30"/>
                    <w:bidi w:val="0"/>
                    <w:rPr>
                      <w:rFonts w:hint="default" w:ascii="Times New Roman" w:hAnsi="Times New Roman" w:cs="Times New Roman"/>
                      <w:color w:val="auto"/>
                    </w:rPr>
                  </w:pPr>
                </w:p>
              </w:tc>
            </w:tr>
            <w:tr w14:paraId="6C5D0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28918B8">
                  <w:pPr>
                    <w:pStyle w:val="30"/>
                    <w:bidi w:val="0"/>
                    <w:rPr>
                      <w:rFonts w:hint="default" w:ascii="Times New Roman" w:hAnsi="Times New Roman" w:cs="Times New Roman"/>
                      <w:color w:val="auto"/>
                    </w:rPr>
                  </w:pPr>
                </w:p>
              </w:tc>
              <w:tc>
                <w:tcPr>
                  <w:tcW w:w="630" w:type="dxa"/>
                  <w:vMerge w:val="restart"/>
                  <w:noWrap w:val="0"/>
                  <w:vAlign w:val="center"/>
                </w:tcPr>
                <w:p w14:paraId="74D6CC09">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资源利用效率要求</w:t>
                  </w:r>
                </w:p>
              </w:tc>
              <w:tc>
                <w:tcPr>
                  <w:tcW w:w="3570" w:type="dxa"/>
                  <w:noWrap w:val="0"/>
                  <w:vAlign w:val="center"/>
                </w:tcPr>
                <w:p w14:paraId="438CCCF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水资源利用总量及效率要求：根据《省最严格水资源管理考核联席会议关于下达2020年和2030年全省实行最严格水资源管理制度控制指标的通知》（苏水资联〔2016〕5号），到2020年，淮安市用水总量不得超过33.33亿立方米，万元地区生产总值用水量降至79立方米以下，万元工业增加值用水量降至10.3立方米以下，农田灌溉水有效利用系数达到0.610以上。</w:t>
                  </w:r>
                </w:p>
              </w:tc>
              <w:tc>
                <w:tcPr>
                  <w:tcW w:w="2382" w:type="dxa"/>
                  <w:vMerge w:val="restart"/>
                  <w:noWrap w:val="0"/>
                  <w:vAlign w:val="center"/>
                </w:tcPr>
                <w:p w14:paraId="0BABDF85">
                  <w:pPr>
                    <w:pStyle w:val="30"/>
                    <w:bidi w:val="0"/>
                    <w:rPr>
                      <w:rFonts w:hint="default" w:ascii="Times New Roman" w:hAnsi="Times New Roman" w:cs="Times New Roman"/>
                      <w:color w:val="auto"/>
                    </w:rPr>
                  </w:pPr>
                  <w:r>
                    <w:rPr>
                      <w:rFonts w:hint="default" w:ascii="Times New Roman" w:hAnsi="Times New Roman" w:cs="Times New Roman"/>
                      <w:color w:val="auto"/>
                    </w:rPr>
                    <w:t>本项目位于涟水经济开发区，不涉及工业用水，不属于禁燃区内；本项目不属于高耗能项目。</w:t>
                  </w:r>
                </w:p>
              </w:tc>
              <w:tc>
                <w:tcPr>
                  <w:tcW w:w="784" w:type="dxa"/>
                  <w:vMerge w:val="restart"/>
                  <w:noWrap w:val="0"/>
                  <w:vAlign w:val="center"/>
                </w:tcPr>
                <w:p w14:paraId="7D19975B">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C80A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CB520E">
                  <w:pPr>
                    <w:pStyle w:val="30"/>
                    <w:bidi w:val="0"/>
                    <w:rPr>
                      <w:rFonts w:hint="default" w:ascii="Times New Roman" w:hAnsi="Times New Roman" w:cs="Times New Roman"/>
                      <w:color w:val="auto"/>
                    </w:rPr>
                  </w:pPr>
                </w:p>
              </w:tc>
              <w:tc>
                <w:tcPr>
                  <w:tcW w:w="630" w:type="dxa"/>
                  <w:vMerge w:val="continue"/>
                  <w:noWrap w:val="0"/>
                  <w:vAlign w:val="center"/>
                </w:tcPr>
                <w:p w14:paraId="33FA6EBA">
                  <w:pPr>
                    <w:pStyle w:val="30"/>
                    <w:bidi w:val="0"/>
                    <w:rPr>
                      <w:rFonts w:hint="default" w:ascii="Times New Roman" w:hAnsi="Times New Roman" w:cs="Times New Roman"/>
                      <w:color w:val="auto"/>
                    </w:rPr>
                  </w:pPr>
                </w:p>
              </w:tc>
              <w:tc>
                <w:tcPr>
                  <w:tcW w:w="3570" w:type="dxa"/>
                  <w:noWrap w:val="0"/>
                  <w:vAlign w:val="center"/>
                </w:tcPr>
                <w:p w14:paraId="2AD27DB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2.地下水开采要求：根据《淮安市“两减六治三提升”专项行动方案》（淮发〔2017〕26号），到2020年，淮安市地下水超采区全面达到用水总量控制和水位红线控制要求，累计压缩地下水开采量3952.3万立方米。</w:t>
                  </w:r>
                </w:p>
              </w:tc>
              <w:tc>
                <w:tcPr>
                  <w:tcW w:w="2382" w:type="dxa"/>
                  <w:vMerge w:val="continue"/>
                  <w:noWrap w:val="0"/>
                  <w:vAlign w:val="center"/>
                </w:tcPr>
                <w:p w14:paraId="7EBA56C3">
                  <w:pPr>
                    <w:pStyle w:val="30"/>
                    <w:bidi w:val="0"/>
                    <w:rPr>
                      <w:rFonts w:hint="default" w:ascii="Times New Roman" w:hAnsi="Times New Roman" w:cs="Times New Roman"/>
                      <w:color w:val="auto"/>
                    </w:rPr>
                  </w:pPr>
                </w:p>
              </w:tc>
              <w:tc>
                <w:tcPr>
                  <w:tcW w:w="784" w:type="dxa"/>
                  <w:vMerge w:val="continue"/>
                  <w:noWrap w:val="0"/>
                  <w:vAlign w:val="center"/>
                </w:tcPr>
                <w:p w14:paraId="5B9F5851">
                  <w:pPr>
                    <w:pStyle w:val="30"/>
                    <w:bidi w:val="0"/>
                    <w:rPr>
                      <w:rFonts w:hint="default" w:ascii="Times New Roman" w:hAnsi="Times New Roman" w:cs="Times New Roman"/>
                      <w:color w:val="auto"/>
                    </w:rPr>
                  </w:pPr>
                </w:p>
              </w:tc>
            </w:tr>
            <w:tr w14:paraId="52EBD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F32C75A">
                  <w:pPr>
                    <w:pStyle w:val="30"/>
                    <w:bidi w:val="0"/>
                    <w:rPr>
                      <w:rFonts w:hint="default" w:ascii="Times New Roman" w:hAnsi="Times New Roman" w:cs="Times New Roman"/>
                      <w:color w:val="auto"/>
                    </w:rPr>
                  </w:pPr>
                </w:p>
              </w:tc>
              <w:tc>
                <w:tcPr>
                  <w:tcW w:w="630" w:type="dxa"/>
                  <w:vMerge w:val="continue"/>
                  <w:noWrap w:val="0"/>
                  <w:vAlign w:val="center"/>
                </w:tcPr>
                <w:p w14:paraId="7C9013EC">
                  <w:pPr>
                    <w:pStyle w:val="30"/>
                    <w:bidi w:val="0"/>
                    <w:rPr>
                      <w:rFonts w:hint="default" w:ascii="Times New Roman" w:hAnsi="Times New Roman" w:cs="Times New Roman"/>
                      <w:color w:val="auto"/>
                    </w:rPr>
                  </w:pPr>
                </w:p>
              </w:tc>
              <w:tc>
                <w:tcPr>
                  <w:tcW w:w="3570" w:type="dxa"/>
                  <w:noWrap w:val="0"/>
                  <w:vAlign w:val="center"/>
                </w:tcPr>
                <w:p w14:paraId="16C6717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3.土地资源利用总量及效率要求：根据《淮安市土地利用总体规划（2006</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2020年）调整方案》，到2020年，淮安市耕地保有量不得低于47.6027万公顷，永久基本农田保护面积不低于39.4699万公顷，开发强度不得高于18%。</w:t>
                  </w:r>
                </w:p>
              </w:tc>
              <w:tc>
                <w:tcPr>
                  <w:tcW w:w="2382" w:type="dxa"/>
                  <w:vMerge w:val="continue"/>
                  <w:noWrap w:val="0"/>
                  <w:vAlign w:val="center"/>
                </w:tcPr>
                <w:p w14:paraId="58A89C4D">
                  <w:pPr>
                    <w:pStyle w:val="30"/>
                    <w:bidi w:val="0"/>
                    <w:rPr>
                      <w:rFonts w:hint="default" w:ascii="Times New Roman" w:hAnsi="Times New Roman" w:cs="Times New Roman"/>
                      <w:color w:val="auto"/>
                    </w:rPr>
                  </w:pPr>
                </w:p>
              </w:tc>
              <w:tc>
                <w:tcPr>
                  <w:tcW w:w="784" w:type="dxa"/>
                  <w:vMerge w:val="continue"/>
                  <w:noWrap w:val="0"/>
                  <w:vAlign w:val="center"/>
                </w:tcPr>
                <w:p w14:paraId="520AEDD2">
                  <w:pPr>
                    <w:pStyle w:val="30"/>
                    <w:bidi w:val="0"/>
                    <w:rPr>
                      <w:rFonts w:hint="default" w:ascii="Times New Roman" w:hAnsi="Times New Roman" w:cs="Times New Roman"/>
                      <w:color w:val="auto"/>
                    </w:rPr>
                  </w:pPr>
                </w:p>
              </w:tc>
            </w:tr>
            <w:tr w14:paraId="2A252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A32258">
                  <w:pPr>
                    <w:pStyle w:val="30"/>
                    <w:bidi w:val="0"/>
                    <w:rPr>
                      <w:rFonts w:hint="default" w:ascii="Times New Roman" w:hAnsi="Times New Roman" w:cs="Times New Roman"/>
                      <w:color w:val="auto"/>
                    </w:rPr>
                  </w:pPr>
                </w:p>
              </w:tc>
              <w:tc>
                <w:tcPr>
                  <w:tcW w:w="630" w:type="dxa"/>
                  <w:vMerge w:val="continue"/>
                  <w:noWrap w:val="0"/>
                  <w:vAlign w:val="center"/>
                </w:tcPr>
                <w:p w14:paraId="1943BC97">
                  <w:pPr>
                    <w:pStyle w:val="30"/>
                    <w:bidi w:val="0"/>
                    <w:rPr>
                      <w:rFonts w:hint="default" w:ascii="Times New Roman" w:hAnsi="Times New Roman" w:cs="Times New Roman"/>
                      <w:color w:val="auto"/>
                    </w:rPr>
                  </w:pPr>
                </w:p>
              </w:tc>
              <w:tc>
                <w:tcPr>
                  <w:tcW w:w="3570" w:type="dxa"/>
                  <w:noWrap w:val="0"/>
                  <w:vAlign w:val="center"/>
                </w:tcPr>
                <w:p w14:paraId="2C2591B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能源利用总量及效率要求：根据《淮安市“两减六治三提升”专项行动方案》（淮发〔2017〕26号），到2020年，淮安市煤炭消费总量比2016年减少55万吨，电子行业煤炭消费占煤炭消费总量的比重提高到65%以上，非化石能源占一次能源比重达到10%。</w:t>
                  </w:r>
                </w:p>
              </w:tc>
              <w:tc>
                <w:tcPr>
                  <w:tcW w:w="2382" w:type="dxa"/>
                  <w:vMerge w:val="continue"/>
                  <w:noWrap w:val="0"/>
                  <w:vAlign w:val="center"/>
                </w:tcPr>
                <w:p w14:paraId="401C7CB3">
                  <w:pPr>
                    <w:pStyle w:val="30"/>
                    <w:bidi w:val="0"/>
                    <w:rPr>
                      <w:rFonts w:hint="default" w:ascii="Times New Roman" w:hAnsi="Times New Roman" w:cs="Times New Roman"/>
                      <w:color w:val="auto"/>
                    </w:rPr>
                  </w:pPr>
                </w:p>
              </w:tc>
              <w:tc>
                <w:tcPr>
                  <w:tcW w:w="784" w:type="dxa"/>
                  <w:vMerge w:val="continue"/>
                  <w:noWrap w:val="0"/>
                  <w:vAlign w:val="center"/>
                </w:tcPr>
                <w:p w14:paraId="195D80CA">
                  <w:pPr>
                    <w:pStyle w:val="30"/>
                    <w:bidi w:val="0"/>
                    <w:rPr>
                      <w:rFonts w:hint="default" w:ascii="Times New Roman" w:hAnsi="Times New Roman" w:cs="Times New Roman"/>
                      <w:color w:val="auto"/>
                    </w:rPr>
                  </w:pPr>
                </w:p>
              </w:tc>
            </w:tr>
            <w:tr w14:paraId="379C2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38FADDE">
                  <w:pPr>
                    <w:pStyle w:val="30"/>
                    <w:bidi w:val="0"/>
                    <w:rPr>
                      <w:rFonts w:hint="default" w:ascii="Times New Roman" w:hAnsi="Times New Roman" w:cs="Times New Roman"/>
                      <w:color w:val="auto"/>
                    </w:rPr>
                  </w:pPr>
                </w:p>
              </w:tc>
              <w:tc>
                <w:tcPr>
                  <w:tcW w:w="630" w:type="dxa"/>
                  <w:vMerge w:val="continue"/>
                  <w:noWrap w:val="0"/>
                  <w:vAlign w:val="center"/>
                </w:tcPr>
                <w:p w14:paraId="58551DD0">
                  <w:pPr>
                    <w:pStyle w:val="30"/>
                    <w:bidi w:val="0"/>
                    <w:rPr>
                      <w:rFonts w:hint="default" w:ascii="Times New Roman" w:hAnsi="Times New Roman" w:cs="Times New Roman"/>
                      <w:color w:val="auto"/>
                    </w:rPr>
                  </w:pPr>
                </w:p>
              </w:tc>
              <w:tc>
                <w:tcPr>
                  <w:tcW w:w="3570" w:type="dxa"/>
                  <w:noWrap w:val="0"/>
                  <w:vAlign w:val="center"/>
                </w:tcPr>
                <w:p w14:paraId="7FB051E3">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5.禁燃区要求：根据《江苏省大气污染防治条例》，禁燃区禁止新建、扩建燃用高污染燃料的项目和设施，已建成的应逐步或依法限期改用天然气、</w:t>
                  </w:r>
                  <w:r>
                    <w:rPr>
                      <w:rFonts w:hint="eastAsia" w:cs="Times New Roman"/>
                      <w:color w:val="auto"/>
                      <w:kern w:val="0"/>
                      <w:sz w:val="21"/>
                      <w:szCs w:val="20"/>
                      <w:lang w:val="en-US" w:eastAsia="zh-CN" w:bidi="ar-SA"/>
                    </w:rPr>
                    <w:t>电力</w:t>
                  </w:r>
                  <w:r>
                    <w:rPr>
                      <w:rFonts w:hint="default" w:ascii="Times New Roman" w:hAnsi="Times New Roman" w:eastAsia="宋体" w:cs="Times New Roman"/>
                      <w:color w:val="auto"/>
                      <w:kern w:val="0"/>
                      <w:sz w:val="21"/>
                      <w:szCs w:val="20"/>
                      <w:lang w:val="en-US" w:eastAsia="zh-CN" w:bidi="ar-SA"/>
                    </w:rPr>
                    <w:t>或者其他清洁能源。</w:t>
                  </w:r>
                </w:p>
              </w:tc>
              <w:tc>
                <w:tcPr>
                  <w:tcW w:w="2382" w:type="dxa"/>
                  <w:vMerge w:val="continue"/>
                  <w:noWrap w:val="0"/>
                  <w:vAlign w:val="center"/>
                </w:tcPr>
                <w:p w14:paraId="673F66FA">
                  <w:pPr>
                    <w:pStyle w:val="30"/>
                    <w:bidi w:val="0"/>
                    <w:rPr>
                      <w:rFonts w:hint="default" w:ascii="Times New Roman" w:hAnsi="Times New Roman" w:cs="Times New Roman"/>
                      <w:color w:val="auto"/>
                    </w:rPr>
                  </w:pPr>
                </w:p>
              </w:tc>
              <w:tc>
                <w:tcPr>
                  <w:tcW w:w="784" w:type="dxa"/>
                  <w:vMerge w:val="continue"/>
                  <w:noWrap w:val="0"/>
                  <w:vAlign w:val="center"/>
                </w:tcPr>
                <w:p w14:paraId="1DA87122">
                  <w:pPr>
                    <w:pStyle w:val="30"/>
                    <w:bidi w:val="0"/>
                    <w:rPr>
                      <w:rFonts w:hint="default" w:ascii="Times New Roman" w:hAnsi="Times New Roman" w:cs="Times New Roman"/>
                      <w:color w:val="auto"/>
                    </w:rPr>
                  </w:pPr>
                </w:p>
              </w:tc>
            </w:tr>
            <w:tr w14:paraId="7EB9B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CEDB1FF">
                  <w:pPr>
                    <w:pStyle w:val="30"/>
                    <w:bidi w:val="0"/>
                    <w:rPr>
                      <w:rFonts w:hint="default" w:ascii="Times New Roman" w:hAnsi="Times New Roman" w:cs="Times New Roman"/>
                      <w:color w:val="auto"/>
                    </w:rPr>
                  </w:pPr>
                </w:p>
              </w:tc>
              <w:tc>
                <w:tcPr>
                  <w:tcW w:w="630" w:type="dxa"/>
                  <w:vMerge w:val="continue"/>
                  <w:noWrap w:val="0"/>
                  <w:vAlign w:val="center"/>
                </w:tcPr>
                <w:p w14:paraId="19999E67">
                  <w:pPr>
                    <w:pStyle w:val="30"/>
                    <w:bidi w:val="0"/>
                    <w:rPr>
                      <w:rFonts w:hint="default" w:ascii="Times New Roman" w:hAnsi="Times New Roman" w:cs="Times New Roman"/>
                      <w:color w:val="auto"/>
                    </w:rPr>
                  </w:pPr>
                </w:p>
              </w:tc>
              <w:tc>
                <w:tcPr>
                  <w:tcW w:w="3570" w:type="dxa"/>
                  <w:noWrap w:val="0"/>
                  <w:vAlign w:val="center"/>
                </w:tcPr>
                <w:p w14:paraId="62ABC53C">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6.能耗要求：根据《淮安市打赢蓝天保卫战三年行动计划实施方案》（淮政发〔2018〕113号），新建高耗能项目单位产品（产值）能耗要达到国际先进水平。</w:t>
                  </w:r>
                </w:p>
              </w:tc>
              <w:tc>
                <w:tcPr>
                  <w:tcW w:w="2382" w:type="dxa"/>
                  <w:vMerge w:val="continue"/>
                  <w:noWrap w:val="0"/>
                  <w:vAlign w:val="center"/>
                </w:tcPr>
                <w:p w14:paraId="77168ADC">
                  <w:pPr>
                    <w:pStyle w:val="30"/>
                    <w:bidi w:val="0"/>
                    <w:rPr>
                      <w:rFonts w:hint="default" w:ascii="Times New Roman" w:hAnsi="Times New Roman" w:cs="Times New Roman"/>
                      <w:color w:val="auto"/>
                    </w:rPr>
                  </w:pPr>
                </w:p>
              </w:tc>
              <w:tc>
                <w:tcPr>
                  <w:tcW w:w="784" w:type="dxa"/>
                  <w:vMerge w:val="continue"/>
                  <w:noWrap w:val="0"/>
                  <w:vAlign w:val="center"/>
                </w:tcPr>
                <w:p w14:paraId="1BF4329B">
                  <w:pPr>
                    <w:pStyle w:val="30"/>
                    <w:bidi w:val="0"/>
                    <w:rPr>
                      <w:rFonts w:hint="default" w:ascii="Times New Roman" w:hAnsi="Times New Roman" w:cs="Times New Roman"/>
                      <w:color w:val="auto"/>
                    </w:rPr>
                  </w:pPr>
                </w:p>
              </w:tc>
            </w:tr>
          </w:tbl>
          <w:p w14:paraId="7E3DA2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rPr>
            </w:pPr>
            <w:r>
              <w:rPr>
                <w:rFonts w:hint="eastAsia"/>
                <w:color w:val="auto"/>
                <w:sz w:val="24"/>
                <w:lang w:val="en-US" w:eastAsia="zh-CN"/>
              </w:rPr>
              <w:t>根据上表分析可知，项目与《淮安市“三线一单”生态环境分区管控方案》及《市政府办公室关于对淮安市“三线一单”生态环境分区管控方案内容修改的通知》（淮政办函〔2022〕5号）是相符的。</w:t>
            </w:r>
          </w:p>
          <w:p w14:paraId="5BD4F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对照《江苏省2023年度生态环境分区管控动态更新成果》，建设项目所在地属于重点管控单元（单元名称；江苏涟水经济开发区；单元编码：ZH32082620176），本项目建设符合《江苏省2023年度生态环境分区管控动态更新成果》相关要求，</w:t>
            </w:r>
            <w:r>
              <w:rPr>
                <w:rFonts w:hint="eastAsia"/>
                <w:color w:val="auto"/>
                <w:sz w:val="24"/>
                <w:lang w:val="en-US" w:eastAsia="zh-CN"/>
              </w:rPr>
              <w:t>根据</w:t>
            </w:r>
            <w:r>
              <w:rPr>
                <w:rFonts w:hint="eastAsia"/>
                <w:color w:val="auto"/>
                <w:sz w:val="24"/>
              </w:rPr>
              <w:t>更新的生态环境管控要求分析本次项目相符性，相符性分析见</w:t>
            </w:r>
            <w:r>
              <w:rPr>
                <w:rFonts w:hint="eastAsia"/>
                <w:color w:val="auto"/>
                <w:sz w:val="24"/>
                <w:lang w:val="en-US" w:eastAsia="zh-CN"/>
              </w:rPr>
              <w:t>下</w:t>
            </w:r>
            <w:r>
              <w:rPr>
                <w:rFonts w:hint="eastAsia"/>
                <w:color w:val="auto"/>
                <w:sz w:val="24"/>
              </w:rPr>
              <w:t>表</w:t>
            </w:r>
            <w:r>
              <w:rPr>
                <w:rFonts w:hint="eastAsia"/>
                <w:color w:val="auto"/>
                <w:sz w:val="24"/>
                <w:lang w:eastAsia="zh-CN"/>
              </w:rPr>
              <w:t>。</w:t>
            </w:r>
          </w:p>
          <w:p w14:paraId="4CA705E6">
            <w:pPr>
              <w:pStyle w:val="53"/>
              <w:rPr>
                <w:rFonts w:hint="eastAsia"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表1-</w:t>
            </w:r>
            <w:r>
              <w:rPr>
                <w:rFonts w:hint="eastAsia" w:hAnsi="Times New Roman" w:eastAsia="宋体" w:cs="Times New Roman"/>
                <w:b/>
                <w:bCs/>
                <w:color w:val="auto"/>
                <w:spacing w:val="0"/>
                <w:kern w:val="2"/>
                <w:sz w:val="21"/>
                <w:szCs w:val="21"/>
                <w:lang w:val="en-US" w:eastAsia="zh-CN" w:bidi="ar-SA"/>
              </w:rPr>
              <w:t>6</w:t>
            </w:r>
            <w:r>
              <w:rPr>
                <w:rFonts w:hint="default" w:ascii="Times New Roman" w:hAnsi="Times New Roman" w:eastAsia="宋体" w:cs="Times New Roman"/>
                <w:b/>
                <w:bCs/>
                <w:color w:val="auto"/>
                <w:spacing w:val="0"/>
                <w:kern w:val="2"/>
                <w:sz w:val="21"/>
                <w:szCs w:val="21"/>
                <w:lang w:val="en-US" w:eastAsia="zh-CN" w:bidi="ar-SA"/>
              </w:rPr>
              <w:t xml:space="preserve">  </w:t>
            </w:r>
            <w:r>
              <w:rPr>
                <w:rFonts w:hint="eastAsia" w:hAnsi="Times New Roman" w:eastAsia="宋体" w:cs="Times New Roman"/>
                <w:b/>
                <w:bCs/>
                <w:color w:val="auto"/>
                <w:spacing w:val="0"/>
                <w:kern w:val="2"/>
                <w:sz w:val="21"/>
                <w:szCs w:val="21"/>
                <w:lang w:val="en-US" w:eastAsia="zh-CN" w:bidi="ar-SA"/>
              </w:rPr>
              <w:t>本</w:t>
            </w:r>
            <w:r>
              <w:rPr>
                <w:rFonts w:hint="default" w:ascii="Times New Roman" w:hAnsi="Times New Roman" w:eastAsia="宋体" w:cs="Times New Roman"/>
                <w:b/>
                <w:bCs/>
                <w:color w:val="auto"/>
                <w:spacing w:val="0"/>
                <w:kern w:val="2"/>
                <w:sz w:val="21"/>
                <w:szCs w:val="21"/>
                <w:lang w:val="en-US" w:eastAsia="zh-CN" w:bidi="ar-SA"/>
              </w:rPr>
              <w:t>项目与《</w:t>
            </w:r>
            <w:r>
              <w:rPr>
                <w:rFonts w:hint="eastAsia" w:ascii="Times New Roman" w:hAnsi="Times New Roman" w:eastAsia="宋体" w:cs="Times New Roman"/>
                <w:b/>
                <w:bCs/>
                <w:color w:val="auto"/>
                <w:spacing w:val="0"/>
                <w:kern w:val="2"/>
                <w:sz w:val="21"/>
                <w:szCs w:val="21"/>
                <w:lang w:val="en-US" w:eastAsia="zh-CN" w:bidi="ar-SA"/>
              </w:rPr>
              <w:t>江苏省2023年度生态环境分区管控动态更新成果</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40"/>
              <w:gridCol w:w="4350"/>
              <w:gridCol w:w="2333"/>
              <w:gridCol w:w="475"/>
            </w:tblGrid>
            <w:tr w14:paraId="3E7F7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3E9A140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管控类别</w:t>
                  </w:r>
                </w:p>
              </w:tc>
              <w:tc>
                <w:tcPr>
                  <w:tcW w:w="2825" w:type="pct"/>
                  <w:tcBorders>
                    <w:tl2br w:val="nil"/>
                    <w:tr2bl w:val="nil"/>
                  </w:tcBorders>
                  <w:shd w:val="clear" w:color="auto" w:fill="auto"/>
                  <w:vAlign w:val="center"/>
                </w:tcPr>
                <w:p w14:paraId="37FE673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重点管控要求</w:t>
                  </w:r>
                </w:p>
              </w:tc>
              <w:tc>
                <w:tcPr>
                  <w:tcW w:w="1515" w:type="pct"/>
                  <w:tcBorders>
                    <w:tl2br w:val="nil"/>
                    <w:tr2bl w:val="nil"/>
                  </w:tcBorders>
                  <w:shd w:val="clear" w:color="auto" w:fill="auto"/>
                  <w:vAlign w:val="center"/>
                </w:tcPr>
                <w:p w14:paraId="35C9B42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308" w:type="pct"/>
                  <w:tcBorders>
                    <w:tl2br w:val="nil"/>
                    <w:tr2bl w:val="nil"/>
                  </w:tcBorders>
                  <w:shd w:val="clear" w:color="auto" w:fill="auto"/>
                  <w:vAlign w:val="center"/>
                </w:tcPr>
                <w:p w14:paraId="1611A8A5">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220AB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C43CA7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0FBB5675">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按照《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tc>
              <w:tc>
                <w:tcPr>
                  <w:tcW w:w="1515" w:type="pct"/>
                  <w:tcBorders>
                    <w:tl2br w:val="nil"/>
                    <w:tr2bl w:val="nil"/>
                  </w:tcBorders>
                  <w:shd w:val="clear" w:color="auto" w:fill="auto"/>
                  <w:vAlign w:val="center"/>
                </w:tcPr>
                <w:p w14:paraId="20F0797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与《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2035年）》（国函〔2023〕69号）相符，不涉及生态保护红线区域，满足国土空间规划</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47044C3">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660E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0F6841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C35FE0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2．牢牢把握推动长江经济带发展“</w:t>
                  </w:r>
                  <w:r>
                    <w:rPr>
                      <w:rFonts w:hint="eastAsia"/>
                      <w:snapToGrid w:val="0"/>
                      <w:color w:val="auto"/>
                      <w:kern w:val="0"/>
                      <w:sz w:val="21"/>
                      <w:szCs w:val="18"/>
                      <w:lang w:eastAsia="zh-CN"/>
                    </w:rPr>
                    <w:t>共抓大保护、不搞大开发</w:t>
                  </w:r>
                  <w:r>
                    <w:rPr>
                      <w:rFonts w:ascii="Times New Roman" w:hAnsi="Times New Roman" w:eastAsia="宋体"/>
                      <w:snapToGrid w:val="0"/>
                      <w:color w:val="auto"/>
                      <w:kern w:val="0"/>
                      <w:sz w:val="21"/>
                      <w:szCs w:val="18"/>
                    </w:rPr>
                    <w:t>”战略导向，对省域范围内需要重点保护的岸线、河段和区域实行严格管控，管住控好排放量大、耗能高、产能过剩的产业，推动长江经济带高质量发展。</w:t>
                  </w:r>
                </w:p>
              </w:tc>
              <w:tc>
                <w:tcPr>
                  <w:tcW w:w="1515" w:type="pct"/>
                  <w:tcBorders>
                    <w:tl2br w:val="nil"/>
                    <w:tr2bl w:val="nil"/>
                  </w:tcBorders>
                  <w:shd w:val="clear" w:color="auto" w:fill="auto"/>
                  <w:vAlign w:val="center"/>
                </w:tcPr>
                <w:p w14:paraId="1E5F620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项目位于涟水经济开发区西区，不在省域范围需要重点保护的岸线、河段和区域实行严格管控区域，且项目不属于排放量大、耗能高、产能过剩产业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C40A0A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948B4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EEBFAB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DFD54E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大幅压减沿长江干支流两侧1公里范围内、环境敏感区域、城镇人口密集区、化工园区外和规模以下化工生产企业，着力破解“重化围江”突出问题，高起点同步推进沿江地区战略性转型和沿海地区战略性布局。</w:t>
                  </w:r>
                </w:p>
              </w:tc>
              <w:tc>
                <w:tcPr>
                  <w:tcW w:w="1515" w:type="pct"/>
                  <w:tcBorders>
                    <w:tl2br w:val="nil"/>
                    <w:tr2bl w:val="nil"/>
                  </w:tcBorders>
                  <w:shd w:val="clear" w:color="auto" w:fill="auto"/>
                  <w:vAlign w:val="center"/>
                </w:tcPr>
                <w:p w14:paraId="6AAF24B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项目不在长江干支流两侧1公里范围内</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C216C6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F7A2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53D154D">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36714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515" w:type="pct"/>
                  <w:tcBorders>
                    <w:tl2br w:val="nil"/>
                    <w:tr2bl w:val="nil"/>
                  </w:tcBorders>
                  <w:shd w:val="clear" w:color="auto" w:fill="auto"/>
                  <w:vAlign w:val="center"/>
                </w:tcPr>
                <w:p w14:paraId="349A756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项目不属于钢铁行业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2497D2A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6D1E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D73C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1E865A9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5．对列入国家和省规划，涉及生态保护红线和相关法定保护区的</w:t>
                  </w:r>
                  <w:r>
                    <w:rPr>
                      <w:rFonts w:hint="eastAsia"/>
                      <w:snapToGrid w:val="0"/>
                      <w:color w:val="auto"/>
                      <w:kern w:val="0"/>
                      <w:sz w:val="21"/>
                      <w:szCs w:val="18"/>
                      <w:lang w:eastAsia="zh-CN"/>
                    </w:rPr>
                    <w:t>重要民生项目</w:t>
                  </w:r>
                  <w:r>
                    <w:rPr>
                      <w:rFonts w:ascii="Times New Roman" w:hAnsi="Times New Roman" w:eastAsia="宋体"/>
                      <w:snapToGrid w:val="0"/>
                      <w:color w:val="auto"/>
                      <w:kern w:val="0"/>
                      <w:sz w:val="21"/>
                      <w:szCs w:val="18"/>
                    </w:rPr>
                    <w:t>、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515" w:type="pct"/>
                  <w:tcBorders>
                    <w:tl2br w:val="nil"/>
                    <w:tr2bl w:val="nil"/>
                  </w:tcBorders>
                  <w:shd w:val="clear" w:color="auto" w:fill="auto"/>
                  <w:vAlign w:val="center"/>
                </w:tcPr>
                <w:p w14:paraId="234EA18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项目不涉及生态保护红线和相关法定保护区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A96D0B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69AD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5E11973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63E1FA4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1．坚持生态环境质量只能更好、不能变坏，实施污染物总量控制，以环境容量定产业、定项目、定规模，确保开发建设行为不突破生态环境承载力。</w:t>
                  </w:r>
                </w:p>
              </w:tc>
              <w:tc>
                <w:tcPr>
                  <w:tcW w:w="1515" w:type="pct"/>
                  <w:vMerge w:val="restart"/>
                  <w:tcBorders>
                    <w:tl2br w:val="nil"/>
                    <w:tr2bl w:val="nil"/>
                  </w:tcBorders>
                  <w:shd w:val="clear" w:color="auto" w:fill="auto"/>
                  <w:vAlign w:val="center"/>
                </w:tcPr>
                <w:p w14:paraId="6F4B80EF">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根据</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建设项目主要污染物排放总量指标审核及管理暂行办法</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环发</w:t>
                  </w:r>
                  <w:r>
                    <w:rPr>
                      <w:rFonts w:hint="eastAsia"/>
                      <w:snapToGrid w:val="0"/>
                      <w:color w:val="auto"/>
                      <w:kern w:val="0"/>
                      <w:sz w:val="21"/>
                      <w:szCs w:val="18"/>
                      <w:lang w:eastAsia="zh-CN"/>
                    </w:rPr>
                    <w:t>〔2014〕197号</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项目污染物总量在涟水县范围内平衡，项目建设不突破生态环境承载力</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3E9E366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9FB2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0D887F30">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488410C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2025年，主要污染物排放减排完成国家下达任务，单位工业增加值二氧化碳排放量下降20%，主要高耗能行业单位产品二氧化碳排放达到世界先进水平。实施氮氧化物（NOx）和VOCs协同减排，推进多污染物和关联区域联防联控。</w:t>
                  </w:r>
                </w:p>
              </w:tc>
              <w:tc>
                <w:tcPr>
                  <w:tcW w:w="1515" w:type="pct"/>
                  <w:vMerge w:val="continue"/>
                  <w:tcBorders>
                    <w:tl2br w:val="nil"/>
                    <w:tr2bl w:val="nil"/>
                  </w:tcBorders>
                  <w:shd w:val="clear" w:color="auto" w:fill="auto"/>
                  <w:vAlign w:val="center"/>
                </w:tcPr>
                <w:p w14:paraId="0D839E6C">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0D6154B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0ED1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63B1304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F95F79A">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1．强化饮用水水源环境风险管控。县级以上城市全部建成应急水源或双源供水。</w:t>
                  </w:r>
                </w:p>
              </w:tc>
              <w:tc>
                <w:tcPr>
                  <w:tcW w:w="1515" w:type="pct"/>
                  <w:tcBorders>
                    <w:tl2br w:val="nil"/>
                    <w:tr2bl w:val="nil"/>
                  </w:tcBorders>
                  <w:shd w:val="clear" w:color="auto" w:fill="auto"/>
                  <w:vAlign w:val="center"/>
                </w:tcPr>
                <w:p w14:paraId="5748805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项目不涉及饮用水水源</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36FBE8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F710A29">
              <w:tblPrEx>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327620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78E8AE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515" w:type="pct"/>
                  <w:tcBorders>
                    <w:tl2br w:val="nil"/>
                    <w:tr2bl w:val="nil"/>
                  </w:tcBorders>
                  <w:shd w:val="clear" w:color="auto" w:fill="auto"/>
                  <w:vAlign w:val="center"/>
                </w:tcPr>
                <w:p w14:paraId="117CB19D">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项目不属于化工项目</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B6809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79F3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E9F9BF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C2E263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3．强化环境事故应急管理。深化跨部门、跨区域环境应急协调联动，分区域建立环境应急物资储备库。各级工业园区（集聚区）和企业的环境应急装备和储备物资应纳入储备体系。</w:t>
                  </w:r>
                </w:p>
              </w:tc>
              <w:tc>
                <w:tcPr>
                  <w:tcW w:w="1515" w:type="pct"/>
                  <w:tcBorders>
                    <w:tl2br w:val="nil"/>
                    <w:tr2bl w:val="nil"/>
                  </w:tcBorders>
                  <w:shd w:val="clear" w:color="auto" w:fill="auto"/>
                  <w:vAlign w:val="center"/>
                </w:tcPr>
                <w:p w14:paraId="417E137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项目位于涟水经济开发区西区，规划区应配备相应的应急装备和应急物资</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CBE32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EB7F2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1AB82EE">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BCAC0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5" w:type="pct"/>
                  <w:tcBorders>
                    <w:tl2br w:val="nil"/>
                    <w:tr2bl w:val="nil"/>
                  </w:tcBorders>
                  <w:shd w:val="clear" w:color="auto" w:fill="auto"/>
                  <w:vAlign w:val="center"/>
                </w:tcPr>
                <w:p w14:paraId="5C57FD1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项目位于涟水经济开发区西区，本项目严格建设自身环境风险防控体系，并与园区环境风险防控体系形成联动机制</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36964A94">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14AA9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1CE825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A6C2437">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1．水资源利用总量及效率要求：到2025年，全省用水总量控制在525.9亿立方米以内，万元地区生产总值用水量、万元工业增加值用水量下降完成国家下达目标，农田灌溉水有效利用系数提高到0.625。</w:t>
                  </w:r>
                </w:p>
              </w:tc>
              <w:tc>
                <w:tcPr>
                  <w:tcW w:w="1515" w:type="pct"/>
                  <w:tcBorders>
                    <w:tl2br w:val="nil"/>
                    <w:tr2bl w:val="nil"/>
                  </w:tcBorders>
                  <w:shd w:val="clear" w:color="auto" w:fill="auto"/>
                  <w:vAlign w:val="center"/>
                </w:tcPr>
                <w:p w14:paraId="01B64A8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对照《“十四五”节水型社会建设规划》项目不属于高耗水行业，根据本次项目节能报告及审查意见及对比同类先进企业情况，项目单位产品用水量均达到行业国内先进水平</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95673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A64C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F46B0D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5FAF8B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2．土地资源总量要求：到2025年，江苏省耕地保有量不低于5977万亩，其中永久基本农田保护面积不低于5344万亩。</w:t>
                  </w:r>
                </w:p>
              </w:tc>
              <w:tc>
                <w:tcPr>
                  <w:tcW w:w="1515" w:type="pct"/>
                  <w:tcBorders>
                    <w:tl2br w:val="nil"/>
                    <w:tr2bl w:val="nil"/>
                  </w:tcBorders>
                  <w:shd w:val="clear" w:color="auto" w:fill="auto"/>
                  <w:vAlign w:val="center"/>
                </w:tcPr>
                <w:p w14:paraId="0824E27F">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本项目不涉及基本农田，项目位于涟水经济开发区西区，为规划工业用地。</w:t>
                  </w:r>
                </w:p>
              </w:tc>
              <w:tc>
                <w:tcPr>
                  <w:tcW w:w="308" w:type="pct"/>
                  <w:tcBorders>
                    <w:tl2br w:val="nil"/>
                    <w:tr2bl w:val="nil"/>
                  </w:tcBorders>
                  <w:shd w:val="clear" w:color="auto" w:fill="auto"/>
                  <w:vAlign w:val="center"/>
                </w:tcPr>
                <w:p w14:paraId="0A11DD5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10AC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801C8E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3784548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3．禁燃区要求：在禁燃区内，禁止销售、燃用高污染燃料；禁止新建、扩建燃用高污染燃料的设施，已建成的，应当在城市人民政府规定的期限内改用天然气、页岩气、液化石油气、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515" w:type="pct"/>
                  <w:tcBorders>
                    <w:tl2br w:val="nil"/>
                    <w:tr2bl w:val="nil"/>
                  </w:tcBorders>
                  <w:shd w:val="clear" w:color="auto" w:fill="auto"/>
                  <w:vAlign w:val="center"/>
                </w:tcPr>
                <w:p w14:paraId="6AAC85E1">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本项目不使用燃料</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98EEB6">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3740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5000" w:type="pct"/>
                  <w:gridSpan w:val="4"/>
                  <w:tcBorders>
                    <w:tl2br w:val="nil"/>
                    <w:tr2bl w:val="nil"/>
                  </w:tcBorders>
                  <w:shd w:val="clear" w:color="auto" w:fill="auto"/>
                  <w:vAlign w:val="center"/>
                </w:tcPr>
                <w:p w14:paraId="5520B95D">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三、淮河流域</w:t>
                  </w:r>
                </w:p>
              </w:tc>
            </w:tr>
            <w:tr w14:paraId="409B8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75971F4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4198BED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1．禁止在淮河流域新建化学制浆造纸企业，禁止在淮河流域新建制革、化工、印染、电镀、酿造等污染严重的小型企业。</w:t>
                  </w:r>
                </w:p>
              </w:tc>
              <w:tc>
                <w:tcPr>
                  <w:tcW w:w="1515" w:type="pct"/>
                  <w:tcBorders>
                    <w:tl2br w:val="nil"/>
                    <w:tr2bl w:val="nil"/>
                  </w:tcBorders>
                  <w:shd w:val="clear" w:color="auto" w:fill="auto"/>
                  <w:vAlign w:val="center"/>
                </w:tcPr>
                <w:p w14:paraId="1BDF01B9">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项目不属于制革、化工、印染、电镀、酿造等污染严重的企业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551DD1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6975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AC03BF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BC908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落实《江苏省通榆河水污染防治条例》，在通榆河一级保护区、二级保护区，禁止新建、改建、扩建制浆、造纸、化工、制革、酿造、染料、印染、电镀、炼油、铅酸蓄电池和排放水污染物的黑色金属冶炼及压延加工项目、有色金属冶炼及压延加工项目、金属制品项目等污染环境的项目。</w:t>
                  </w:r>
                </w:p>
              </w:tc>
              <w:tc>
                <w:tcPr>
                  <w:tcW w:w="1515" w:type="pct"/>
                  <w:vMerge w:val="restart"/>
                  <w:tcBorders>
                    <w:tl2br w:val="nil"/>
                    <w:tr2bl w:val="nil"/>
                  </w:tcBorders>
                  <w:shd w:val="clear" w:color="auto" w:fill="auto"/>
                  <w:vAlign w:val="center"/>
                </w:tcPr>
                <w:p w14:paraId="5A594423">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项目不涉及通榆河一级保护区、二级保护区</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2D97E0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3820B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63EA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D79C120">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3．在通榆河一级保护区，禁止新建、扩建直接或者间接向水体排放污染物的项目，禁止建设工业固体废物集中贮存、利用、处置设施或者场所以及城市生活垃圾填埋场，禁止新建规模化畜禽养殖场。</w:t>
                  </w:r>
                </w:p>
              </w:tc>
              <w:tc>
                <w:tcPr>
                  <w:tcW w:w="1515" w:type="pct"/>
                  <w:vMerge w:val="continue"/>
                  <w:tcBorders>
                    <w:tl2br w:val="nil"/>
                    <w:tr2bl w:val="nil"/>
                  </w:tcBorders>
                  <w:shd w:val="clear" w:color="auto" w:fill="auto"/>
                  <w:vAlign w:val="center"/>
                </w:tcPr>
                <w:p w14:paraId="12F29642">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7F7B2D3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24DD2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1F0C28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30757704">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按照《淮河流域水污染防治暂行条例》实施排污总量控制制度。</w:t>
                  </w:r>
                </w:p>
              </w:tc>
              <w:tc>
                <w:tcPr>
                  <w:tcW w:w="1515" w:type="pct"/>
                  <w:tcBorders>
                    <w:tl2br w:val="nil"/>
                    <w:tr2bl w:val="nil"/>
                  </w:tcBorders>
                  <w:shd w:val="clear" w:color="auto" w:fill="auto"/>
                  <w:vAlign w:val="center"/>
                </w:tcPr>
                <w:p w14:paraId="25639844">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本次项目污染物均可在涟水县范围内平衡</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8D52A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906D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53771F8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C01505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禁止运输剧毒化学品以及国家规定禁止通过内河运输的其他危险化学品的船舶进入通榆河及主要供水河道。</w:t>
                  </w:r>
                </w:p>
              </w:tc>
              <w:tc>
                <w:tcPr>
                  <w:tcW w:w="1515" w:type="pct"/>
                  <w:tcBorders>
                    <w:tl2br w:val="nil"/>
                    <w:tr2bl w:val="nil"/>
                  </w:tcBorders>
                  <w:shd w:val="clear" w:color="auto" w:fill="auto"/>
                  <w:vAlign w:val="center"/>
                </w:tcPr>
                <w:p w14:paraId="7972F7D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本次项目物料采用公路运输，不涉及通榆河及主要供水河道的内河运输</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A9AA05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BF50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079403F1">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467E3A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限制缺水地区发展耗水型产业，调整缺水地区的产业结构，严格控制高耗水、高耗能和重污染的建设项目。</w:t>
                  </w:r>
                </w:p>
              </w:tc>
              <w:tc>
                <w:tcPr>
                  <w:tcW w:w="1515" w:type="pct"/>
                  <w:tcBorders>
                    <w:tl2br w:val="nil"/>
                    <w:tr2bl w:val="nil"/>
                  </w:tcBorders>
                  <w:shd w:val="clear" w:color="auto" w:fill="auto"/>
                  <w:vAlign w:val="center"/>
                </w:tcPr>
                <w:p w14:paraId="30966DB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项目所在区域不属于缺水地区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5FBE7B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3685F9A9">
            <w:pPr>
              <w:pStyle w:val="5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lang w:val="en-US" w:eastAsia="zh-CN"/>
              </w:rPr>
            </w:pPr>
            <w:r>
              <w:rPr>
                <w:rFonts w:hint="eastAsia" w:eastAsia="宋体"/>
                <w:color w:val="auto"/>
                <w:sz w:val="24"/>
                <w:lang w:val="en-US" w:eastAsia="zh-CN"/>
              </w:rPr>
              <w:t>根据上表可知，本项目与《江苏省2023年度生态环境分区管控动态更新成果》是相符的。</w:t>
            </w:r>
          </w:p>
          <w:p w14:paraId="46F666E0">
            <w:pPr>
              <w:pStyle w:val="5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color w:val="auto"/>
                <w:sz w:val="24"/>
              </w:rPr>
            </w:pPr>
            <w:r>
              <w:rPr>
                <w:rFonts w:eastAsia="宋体"/>
                <w:color w:val="auto"/>
                <w:sz w:val="24"/>
              </w:rPr>
              <w:t>对照</w:t>
            </w:r>
            <w:r>
              <w:rPr>
                <w:rFonts w:hint="eastAsia" w:eastAsia="宋体"/>
                <w:color w:val="auto"/>
                <w:sz w:val="24"/>
              </w:rPr>
              <w:t>《淮安市生态环境分区管控动态更新成果》（2023版）更新的生态环境管控要求分析本次项目相符性，</w:t>
            </w:r>
            <w:r>
              <w:rPr>
                <w:rFonts w:eastAsia="宋体"/>
                <w:color w:val="auto"/>
                <w:sz w:val="24"/>
              </w:rPr>
              <w:t>相符性分析见</w:t>
            </w:r>
            <w:r>
              <w:rPr>
                <w:rFonts w:hint="eastAsia" w:eastAsia="宋体"/>
                <w:color w:val="auto"/>
                <w:sz w:val="24"/>
                <w:lang w:val="en-US" w:eastAsia="zh-CN"/>
              </w:rPr>
              <w:t>下表</w:t>
            </w:r>
            <w:r>
              <w:rPr>
                <w:rFonts w:eastAsia="宋体"/>
                <w:color w:val="auto"/>
                <w:sz w:val="24"/>
              </w:rPr>
              <w:t>。</w:t>
            </w:r>
          </w:p>
          <w:p w14:paraId="75D56C40">
            <w:pPr>
              <w:pStyle w:val="53"/>
              <w:rPr>
                <w:rFonts w:hint="eastAsia"/>
                <w:color w:val="auto"/>
                <w:spacing w:val="0"/>
              </w:rPr>
            </w:pPr>
            <w:r>
              <w:rPr>
                <w:rFonts w:hint="eastAsia" w:ascii="Times New Roman" w:hAnsi="Times New Roman" w:eastAsia="宋体" w:cs="Times New Roman"/>
                <w:b/>
                <w:bCs/>
                <w:color w:val="auto"/>
                <w:spacing w:val="0"/>
                <w:kern w:val="2"/>
                <w:sz w:val="21"/>
                <w:szCs w:val="21"/>
                <w:lang w:val="en-US" w:eastAsia="zh-CN" w:bidi="ar-SA"/>
              </w:rPr>
              <w:t>表1</w:t>
            </w:r>
            <w:r>
              <w:rPr>
                <w:rFonts w:hint="default" w:ascii="Times New Roman" w:hAnsi="Times New Roman" w:eastAsia="宋体" w:cs="Times New Roman"/>
                <w:b/>
                <w:bCs/>
                <w:color w:val="auto"/>
                <w:spacing w:val="0"/>
                <w:kern w:val="2"/>
                <w:sz w:val="21"/>
                <w:szCs w:val="21"/>
                <w:lang w:val="en-US" w:eastAsia="zh-CN" w:bidi="ar-SA"/>
              </w:rPr>
              <w:t>-</w:t>
            </w:r>
            <w:r>
              <w:rPr>
                <w:rFonts w:hint="eastAsia" w:hAnsi="Times New Roman" w:eastAsia="宋体" w:cs="Times New Roman"/>
                <w:b/>
                <w:bCs/>
                <w:color w:val="auto"/>
                <w:spacing w:val="0"/>
                <w:kern w:val="2"/>
                <w:sz w:val="21"/>
                <w:szCs w:val="21"/>
                <w:lang w:val="en-US" w:eastAsia="zh-CN" w:bidi="ar-SA"/>
              </w:rPr>
              <w:t>7</w:t>
            </w:r>
            <w:r>
              <w:rPr>
                <w:rFonts w:hint="eastAsia" w:ascii="Times New Roman" w:hAnsi="Times New Roman" w:eastAsia="宋体" w:cs="Times New Roman"/>
                <w:b/>
                <w:bCs/>
                <w:color w:val="auto"/>
                <w:spacing w:val="0"/>
                <w:kern w:val="2"/>
                <w:sz w:val="21"/>
                <w:szCs w:val="21"/>
                <w:lang w:val="en-US" w:eastAsia="zh-CN" w:bidi="ar-SA"/>
              </w:rPr>
              <w:t xml:space="preserve">  </w:t>
            </w:r>
            <w:r>
              <w:rPr>
                <w:rFonts w:hint="eastAsia" w:hAnsi="Times New Roman" w:eastAsia="宋体" w:cs="Times New Roman"/>
                <w:b/>
                <w:bCs/>
                <w:color w:val="auto"/>
                <w:spacing w:val="0"/>
                <w:kern w:val="2"/>
                <w:sz w:val="21"/>
                <w:szCs w:val="21"/>
                <w:lang w:val="en-US" w:eastAsia="zh-CN" w:bidi="ar-SA"/>
              </w:rPr>
              <w:t>项目</w:t>
            </w:r>
            <w:r>
              <w:rPr>
                <w:rFonts w:hint="default" w:ascii="Times New Roman" w:hAnsi="Times New Roman" w:eastAsia="宋体" w:cs="Times New Roman"/>
                <w:b/>
                <w:bCs/>
                <w:color w:val="auto"/>
                <w:spacing w:val="0"/>
                <w:kern w:val="2"/>
                <w:sz w:val="21"/>
                <w:szCs w:val="21"/>
                <w:lang w:val="en-US" w:eastAsia="zh-CN" w:bidi="ar-SA"/>
              </w:rPr>
              <w:t>与</w:t>
            </w:r>
            <w:r>
              <w:rPr>
                <w:rFonts w:hint="eastAsia" w:ascii="Times New Roman" w:hAnsi="Times New Roman" w:eastAsia="宋体" w:cs="Times New Roman"/>
                <w:b/>
                <w:bCs/>
                <w:color w:val="auto"/>
                <w:spacing w:val="0"/>
                <w:kern w:val="2"/>
                <w:sz w:val="21"/>
                <w:szCs w:val="21"/>
                <w:lang w:val="en-US" w:eastAsia="zh-CN" w:bidi="ar-SA"/>
              </w:rPr>
              <w:t>《淮安市生态环境分区管控动态更新成果》（2023版）</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99"/>
              <w:gridCol w:w="4784"/>
              <w:gridCol w:w="1643"/>
              <w:gridCol w:w="672"/>
            </w:tblGrid>
            <w:tr w14:paraId="47568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7A6BB07">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w:t>
                  </w:r>
                </w:p>
                <w:p w14:paraId="7261C50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类别</w:t>
                  </w:r>
                </w:p>
              </w:tc>
              <w:tc>
                <w:tcPr>
                  <w:tcW w:w="3107" w:type="pct"/>
                  <w:tcBorders>
                    <w:tl2br w:val="nil"/>
                    <w:tr2bl w:val="nil"/>
                  </w:tcBorders>
                  <w:shd w:val="clear" w:color="auto" w:fill="auto"/>
                  <w:vAlign w:val="center"/>
                </w:tcPr>
                <w:p w14:paraId="2BD13E7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管控要求（2023年版）</w:t>
                  </w:r>
                </w:p>
              </w:tc>
              <w:tc>
                <w:tcPr>
                  <w:tcW w:w="1067" w:type="pct"/>
                  <w:tcBorders>
                    <w:tl2br w:val="nil"/>
                    <w:tr2bl w:val="nil"/>
                  </w:tcBorders>
                  <w:shd w:val="clear" w:color="auto" w:fill="auto"/>
                  <w:vAlign w:val="center"/>
                </w:tcPr>
                <w:p w14:paraId="155644A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437" w:type="pct"/>
                  <w:tcBorders>
                    <w:tl2br w:val="nil"/>
                    <w:tr2bl w:val="nil"/>
                  </w:tcBorders>
                  <w:shd w:val="clear" w:color="auto" w:fill="auto"/>
                  <w:vAlign w:val="center"/>
                </w:tcPr>
                <w:p w14:paraId="2994AA50">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1C255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5E297F2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3107" w:type="pct"/>
                  <w:tcBorders>
                    <w:tl2br w:val="nil"/>
                    <w:tr2bl w:val="nil"/>
                  </w:tcBorders>
                  <w:shd w:val="clear" w:color="auto" w:fill="auto"/>
                  <w:vAlign w:val="center"/>
                </w:tcPr>
                <w:p w14:paraId="78FEDD2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中共江苏省委江苏省人民政府关于深入打好污染防治攻坚战的实施意见》（2022年1月24日）、《淮安市深入打好净土保卫战实施方案》（淮污防攻坚指办〔2023〕17号）、《淮安市生态碧水三年行动方案》（淮政发〔2022〕12号）等文件要求。</w:t>
                  </w:r>
                </w:p>
              </w:tc>
              <w:tc>
                <w:tcPr>
                  <w:tcW w:w="1067" w:type="pct"/>
                  <w:vMerge w:val="restart"/>
                  <w:tcBorders>
                    <w:tl2br w:val="nil"/>
                    <w:tr2bl w:val="nil"/>
                  </w:tcBorders>
                  <w:shd w:val="clear" w:color="auto" w:fill="auto"/>
                  <w:vAlign w:val="center"/>
                </w:tcPr>
                <w:p w14:paraId="6476AB35">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本项目位于</w:t>
                  </w:r>
                  <w:r>
                    <w:rPr>
                      <w:rFonts w:hint="eastAsia" w:ascii="Times New Roman" w:hAnsi="Times New Roman" w:eastAsia="宋体"/>
                      <w:snapToGrid w:val="0"/>
                      <w:color w:val="auto"/>
                      <w:kern w:val="0"/>
                      <w:sz w:val="21"/>
                      <w:szCs w:val="18"/>
                    </w:rPr>
                    <w:t>江苏省淮安市涟水县经济开发区</w:t>
                  </w:r>
                  <w:r>
                    <w:rPr>
                      <w:rFonts w:ascii="Times New Roman" w:hAnsi="Times New Roman" w:eastAsia="宋体"/>
                      <w:snapToGrid w:val="0"/>
                      <w:color w:val="auto"/>
                      <w:kern w:val="0"/>
                      <w:sz w:val="21"/>
                      <w:szCs w:val="18"/>
                    </w:rPr>
                    <w:t>工业用地范围内，不占用耕地及永久农田、不属于大运河淮安段核心监控区，符合淮污防攻坚指办〔2023〕17号、淮政发〔2022〕12号《淮安市国土空间总体规划（2021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2035年）》、苏长江办发〔2022〕55号文件要求</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3792F74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41B7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F52DE79">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092DB1C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2.严格执行《</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长江经济带发展负面清单指南（试行，2022年版）</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江苏省实施细则》（苏长江办发〔2022〕55号）中相关要求。</w:t>
                  </w:r>
                </w:p>
              </w:tc>
              <w:tc>
                <w:tcPr>
                  <w:tcW w:w="1067" w:type="pct"/>
                  <w:vMerge w:val="continue"/>
                  <w:tcBorders>
                    <w:tl2br w:val="nil"/>
                    <w:tr2bl w:val="nil"/>
                  </w:tcBorders>
                  <w:shd w:val="clear" w:color="auto" w:fill="auto"/>
                  <w:vAlign w:val="center"/>
                </w:tcPr>
                <w:p w14:paraId="3909253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2EE64CC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D78D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E01ABD7">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612A39EF">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3.严格执行《淮安市国土空间总体规划（2021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中相关要求，坚持最严格的耕地保护制度、生态保护制度和节约用地制度，严格保护耕地资源，落实耕地和永久基本农田保护红线。严格保护湿地资源，强化湿地建设与管理，加快保护区建设与管理；加强其他土地开发的生态影响评价，严禁在生态脆弱和环境敏感地区进行土地开发。</w:t>
                  </w:r>
                </w:p>
              </w:tc>
              <w:tc>
                <w:tcPr>
                  <w:tcW w:w="1067" w:type="pct"/>
                  <w:vMerge w:val="continue"/>
                  <w:tcBorders>
                    <w:tl2br w:val="nil"/>
                    <w:tr2bl w:val="nil"/>
                  </w:tcBorders>
                  <w:shd w:val="clear" w:color="auto" w:fill="auto"/>
                  <w:vAlign w:val="center"/>
                </w:tcPr>
                <w:p w14:paraId="2BFD761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5A747C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3DF8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01C96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73C859E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4.根据《大运河淮安段核心监控区国土空间管控细则》（淮政规〔2022〕8号）核心监控区内，实行国土空间准入正负面清单管理制度，控制开发规模和强度，禁止不符合主体功能定位的各类开发活动。</w:t>
                  </w:r>
                </w:p>
              </w:tc>
              <w:tc>
                <w:tcPr>
                  <w:tcW w:w="1067" w:type="pct"/>
                  <w:vMerge w:val="continue"/>
                  <w:tcBorders>
                    <w:tl2br w:val="nil"/>
                    <w:tr2bl w:val="nil"/>
                  </w:tcBorders>
                  <w:shd w:val="clear" w:color="auto" w:fill="auto"/>
                  <w:vAlign w:val="center"/>
                </w:tcPr>
                <w:p w14:paraId="682D624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02058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B088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0E36F0B">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3107" w:type="pct"/>
                  <w:tcBorders>
                    <w:tl2br w:val="nil"/>
                    <w:tr2bl w:val="nil"/>
                  </w:tcBorders>
                  <w:shd w:val="clear" w:color="auto" w:fill="auto"/>
                  <w:vAlign w:val="center"/>
                </w:tcPr>
                <w:p w14:paraId="0027B02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根据《江苏省“十四五”节能减排综合实施方案》，到2025年，氮氧化物、挥发性有机物、化学需氧量、氨氮、总氮、总磷等主要污染物重点工程减排量分别达到5425吨、4333吨、10059吨、584吨、1225吨、134吨。</w:t>
                  </w:r>
                </w:p>
              </w:tc>
              <w:tc>
                <w:tcPr>
                  <w:tcW w:w="1067" w:type="pct"/>
                  <w:tcBorders>
                    <w:tl2br w:val="nil"/>
                    <w:tr2bl w:val="nil"/>
                  </w:tcBorders>
                  <w:shd w:val="clear" w:color="auto" w:fill="auto"/>
                  <w:vAlign w:val="center"/>
                </w:tcPr>
                <w:p w14:paraId="0D9D49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项目污染物总量可在涟水县范围内平衡</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6611918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39E2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21AD34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3107" w:type="pct"/>
                  <w:tcBorders>
                    <w:tl2br w:val="nil"/>
                    <w:tr2bl w:val="nil"/>
                  </w:tcBorders>
                  <w:shd w:val="clear" w:color="auto" w:fill="auto"/>
                  <w:vAlign w:val="center"/>
                </w:tcPr>
                <w:p w14:paraId="0CCED3F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淮安市突发环境事件应急预案》（淮政复〔2020〕67号）、《淮安市集中式饮用水源突发污染事件应急预案》（淮污防攻坚指办〔2020〕58号）、《淮安市辐射事故应急预案》《淮安市重污染天气应急预案》（淮政复〔2021〕24号）等文件要求，建立区域监测预警系统，建立省市县上下联动、区域之间左右联动等联动应急响应体系，实行联防联控。</w:t>
                  </w:r>
                </w:p>
              </w:tc>
              <w:tc>
                <w:tcPr>
                  <w:tcW w:w="1067" w:type="pct"/>
                  <w:vMerge w:val="restart"/>
                  <w:tcBorders>
                    <w:tl2br w:val="nil"/>
                    <w:tr2bl w:val="nil"/>
                  </w:tcBorders>
                  <w:shd w:val="clear" w:color="auto" w:fill="auto"/>
                  <w:vAlign w:val="center"/>
                </w:tcPr>
                <w:p w14:paraId="75A5A4FB">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项目建成后，配套设置预警监测系统，与园区、县区建立联动应急</w:t>
                  </w:r>
                  <w:r>
                    <w:rPr>
                      <w:rFonts w:hint="eastAsia"/>
                      <w:snapToGrid w:val="0"/>
                      <w:color w:val="auto"/>
                      <w:kern w:val="0"/>
                      <w:sz w:val="21"/>
                      <w:szCs w:val="18"/>
                      <w:lang w:eastAsia="zh-CN"/>
                    </w:rPr>
                    <w:t>响</w:t>
                  </w:r>
                  <w:r>
                    <w:rPr>
                      <w:rFonts w:ascii="Times New Roman" w:hAnsi="Times New Roman" w:eastAsia="宋体"/>
                      <w:snapToGrid w:val="0"/>
                      <w:color w:val="auto"/>
                      <w:kern w:val="0"/>
                      <w:sz w:val="21"/>
                      <w:szCs w:val="18"/>
                    </w:rPr>
                    <w:t>应体系</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6EB7289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737D6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64D4C53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519E967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根据《中共江苏省委江苏省人民政府关于深入打好污染防治攻坚战的实施意见》（2022年1月24日），完善省、市、县三级环境应急管理体系，健全跨区域、跨部门突发生态环境事件联防联控机制，建成重点敏感保护目标突发水污染事件应急防范体系。开展涉危险废物涉重金属企业、园区等重点领域环境风险调查评估，完成重点河流突发水污染事件“一河一策一图”全覆盖，常态化</w:t>
                  </w:r>
                  <w:r>
                    <w:rPr>
                      <w:rFonts w:hint="eastAsia"/>
                      <w:snapToGrid w:val="0"/>
                      <w:color w:val="auto"/>
                      <w:kern w:val="0"/>
                      <w:sz w:val="21"/>
                      <w:szCs w:val="18"/>
                      <w:lang w:eastAsia="zh-CN"/>
                    </w:rPr>
                    <w:t>应</w:t>
                  </w:r>
                  <w:r>
                    <w:rPr>
                      <w:rFonts w:ascii="Times New Roman" w:hAnsi="Times New Roman" w:eastAsia="宋体"/>
                      <w:snapToGrid w:val="0"/>
                      <w:color w:val="auto"/>
                      <w:kern w:val="0"/>
                      <w:sz w:val="21"/>
                      <w:szCs w:val="18"/>
                    </w:rPr>
                    <w:t>急指挥体系，建成区域环境应急基地和应急物资储备库。</w:t>
                  </w:r>
                </w:p>
              </w:tc>
              <w:tc>
                <w:tcPr>
                  <w:tcW w:w="1067" w:type="pct"/>
                  <w:vMerge w:val="continue"/>
                  <w:tcBorders>
                    <w:tl2br w:val="nil"/>
                    <w:tr2bl w:val="nil"/>
                  </w:tcBorders>
                  <w:shd w:val="clear" w:color="auto" w:fill="auto"/>
                  <w:vAlign w:val="center"/>
                </w:tcPr>
                <w:p w14:paraId="4BFF11A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1354CC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5DA49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741A82B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3107" w:type="pct"/>
                  <w:tcBorders>
                    <w:tl2br w:val="nil"/>
                    <w:tr2bl w:val="nil"/>
                  </w:tcBorders>
                  <w:shd w:val="clear" w:color="auto" w:fill="auto"/>
                  <w:vAlign w:val="center"/>
                </w:tcPr>
                <w:p w14:paraId="38166F57">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1.水资源利用总量及效率要求：根据《江苏省水利厅 江苏省发改委关于印发十四五”用水总量和强度控制目标的通知》（苏水节〔2022〕6号）、《市水利局市发展和改革委员会关于下达“十四五”用水总量和强度控制目标的通知》（淮水资〔2022〕4号），到2025年，淮安市用水总量不得超过33亿立方米，万元地区生产总值用水量比2020年下降20%，万元工业增加值用水量比2020年下降19%，灌溉水有效利用系数达到0.617以上。</w:t>
                  </w:r>
                </w:p>
              </w:tc>
              <w:tc>
                <w:tcPr>
                  <w:tcW w:w="1067" w:type="pct"/>
                  <w:tcBorders>
                    <w:tl2br w:val="nil"/>
                    <w:tr2bl w:val="nil"/>
                  </w:tcBorders>
                  <w:shd w:val="clear" w:color="auto" w:fill="auto"/>
                  <w:vAlign w:val="center"/>
                </w:tcPr>
                <w:p w14:paraId="4FBA3EF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企业优化工艺、设备等，类比</w:t>
                  </w:r>
                  <w:r>
                    <w:rPr>
                      <w:rFonts w:hint="eastAsia"/>
                      <w:snapToGrid w:val="0"/>
                      <w:color w:val="auto"/>
                      <w:kern w:val="0"/>
                      <w:sz w:val="21"/>
                      <w:szCs w:val="18"/>
                      <w:lang w:eastAsia="zh-CN"/>
                    </w:rPr>
                    <w:t>同</w:t>
                  </w:r>
                  <w:r>
                    <w:rPr>
                      <w:rFonts w:ascii="Times New Roman" w:hAnsi="Times New Roman" w:eastAsia="宋体"/>
                      <w:snapToGrid w:val="0"/>
                      <w:color w:val="auto"/>
                      <w:kern w:val="0"/>
                      <w:sz w:val="21"/>
                      <w:szCs w:val="18"/>
                    </w:rPr>
                    <w:t>类项目单位产品用水量达到国内先进水平</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70F365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2FED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0F4B12F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4E2287D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2.土地资源利用总量及效率要求：根据《淮安市国土空间总体规划（2021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2035年）》，淮安市耕地保有量不少于697.3500万亩，永久基本农田保护面积不低于596.0050万亩，控制全市城镇开发边界扩展倍数不高于1.3599。</w:t>
                  </w:r>
                </w:p>
              </w:tc>
              <w:tc>
                <w:tcPr>
                  <w:tcW w:w="1067" w:type="pct"/>
                  <w:tcBorders>
                    <w:tl2br w:val="nil"/>
                    <w:tr2bl w:val="nil"/>
                  </w:tcBorders>
                  <w:shd w:val="clear" w:color="auto" w:fill="auto"/>
                  <w:vAlign w:val="center"/>
                </w:tcPr>
                <w:p w14:paraId="1DC1DFE1">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本次项目位于</w:t>
                  </w:r>
                  <w:r>
                    <w:rPr>
                      <w:rFonts w:hint="eastAsia" w:ascii="Times New Roman" w:hAnsi="Times New Roman" w:eastAsia="宋体"/>
                      <w:snapToGrid w:val="0"/>
                      <w:color w:val="auto"/>
                      <w:kern w:val="0"/>
                      <w:sz w:val="21"/>
                      <w:szCs w:val="18"/>
                    </w:rPr>
                    <w:t>涟水县经济开发区</w:t>
                  </w:r>
                  <w:r>
                    <w:rPr>
                      <w:rFonts w:ascii="Times New Roman" w:hAnsi="Times New Roman" w:eastAsia="宋体"/>
                      <w:snapToGrid w:val="0"/>
                      <w:color w:val="auto"/>
                      <w:kern w:val="0"/>
                      <w:sz w:val="21"/>
                      <w:szCs w:val="18"/>
                    </w:rPr>
                    <w:t>工业用地范围内，不占用耕地及农田</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1B68AF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5E3B6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451787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32A5A88A">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能源利用总量及效率要求：根据《中共江苏省委江苏省人民政府关于深入打好污染防治攻坚战的实施意见》（2022年1月24日），到2025年，煤炭消费总量下降5%左右，煤炭占能源消费总量的比重下降至50%左右，非化石能源消费比重达到18%左右。</w:t>
                  </w:r>
                </w:p>
              </w:tc>
              <w:tc>
                <w:tcPr>
                  <w:tcW w:w="1067" w:type="pct"/>
                  <w:tcBorders>
                    <w:tl2br w:val="nil"/>
                    <w:tr2bl w:val="nil"/>
                  </w:tcBorders>
                  <w:shd w:val="clear" w:color="auto" w:fill="auto"/>
                  <w:vAlign w:val="center"/>
                </w:tcPr>
                <w:p w14:paraId="183F78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项目不涉及煤炭消费</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55F6BDF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ABB6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BED936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243C2F6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4.禁燃区要求：根据《江苏省大气污染防治条例》，禁燃区禁止新建、扩建燃用高污染燃料的项目和设施，已建成的应逐步或依法限期改用天然气、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067" w:type="pct"/>
                  <w:tcBorders>
                    <w:tl2br w:val="nil"/>
                    <w:tr2bl w:val="nil"/>
                  </w:tcBorders>
                  <w:shd w:val="clear" w:color="auto" w:fill="auto"/>
                  <w:vAlign w:val="center"/>
                </w:tcPr>
                <w:p w14:paraId="33F28417">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项目不使用燃料</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79C236C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5C30DEED">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根据上表可知，项目与《淮安市生态环境分区管控动态更新成果》（2023版）是相符的。</w:t>
            </w:r>
          </w:p>
          <w:p w14:paraId="6F13A562">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default" w:ascii="Times New Roman" w:hAnsi="Times New Roman" w:cs="Times New Roman"/>
                <w:color w:val="auto"/>
              </w:rPr>
            </w:pPr>
            <w:r>
              <w:rPr>
                <w:rFonts w:hint="eastAsia" w:cs="Times New Roman"/>
                <w:color w:val="auto"/>
                <w:lang w:val="en-US" w:eastAsia="zh-CN"/>
              </w:rPr>
              <w:t>综上所述</w:t>
            </w:r>
            <w:r>
              <w:rPr>
                <w:rFonts w:hint="default" w:ascii="Times New Roman" w:hAnsi="Times New Roman" w:cs="Times New Roman"/>
                <w:color w:val="auto"/>
              </w:rPr>
              <w:t>，本项目的建设符合生态保护红线的要求。本项目与</w:t>
            </w:r>
            <w:r>
              <w:rPr>
                <w:rFonts w:hint="default" w:ascii="Times New Roman" w:hAnsi="Times New Roman" w:cs="Times New Roman"/>
                <w:color w:val="auto"/>
                <w:lang w:val="en-US" w:eastAsia="zh-CN"/>
              </w:rPr>
              <w:t>江苏省</w:t>
            </w:r>
            <w:r>
              <w:rPr>
                <w:rFonts w:hint="eastAsia" w:cs="Times New Roman"/>
                <w:color w:val="auto"/>
                <w:lang w:val="en-US" w:eastAsia="zh-CN"/>
              </w:rPr>
              <w:t>生态功能保护区</w:t>
            </w:r>
            <w:r>
              <w:rPr>
                <w:rFonts w:hint="default" w:ascii="Times New Roman" w:hAnsi="Times New Roman" w:cs="Times New Roman"/>
                <w:color w:val="auto"/>
              </w:rPr>
              <w:t>的位置关系见附图</w:t>
            </w:r>
            <w:r>
              <w:rPr>
                <w:rFonts w:hint="eastAsia" w:cs="Times New Roman"/>
                <w:color w:val="auto"/>
                <w:lang w:val="en-US" w:eastAsia="zh-CN"/>
              </w:rPr>
              <w:t>2，与江苏省生态环境分区管控单元位置关系详见附图3，与淮安市生态环境分区管控单元位置关系详见附图4</w:t>
            </w:r>
            <w:r>
              <w:rPr>
                <w:rFonts w:hint="default" w:ascii="Times New Roman" w:hAnsi="Times New Roman" w:cs="Times New Roman"/>
                <w:color w:val="auto"/>
              </w:rPr>
              <w:t>。</w:t>
            </w:r>
          </w:p>
          <w:p w14:paraId="28CDC976">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（2）环境质量底线</w:t>
            </w:r>
          </w:p>
          <w:p w14:paraId="58C73ABC">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①大气环境</w:t>
            </w:r>
          </w:p>
          <w:p w14:paraId="3E3A63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根据《202</w:t>
            </w:r>
            <w:r>
              <w:rPr>
                <w:rFonts w:hint="eastAsia" w:cs="Times New Roman"/>
                <w:color w:val="auto"/>
                <w:sz w:val="24"/>
                <w:lang w:val="en-US" w:eastAsia="zh-CN"/>
              </w:rPr>
              <w:t>3</w:t>
            </w:r>
            <w:r>
              <w:rPr>
                <w:rFonts w:hint="default" w:ascii="Times New Roman" w:hAnsi="Times New Roman" w:cs="Times New Roman"/>
                <w:color w:val="auto"/>
                <w:sz w:val="24"/>
              </w:rPr>
              <w:t>年淮安市生态环境状况公报》</w:t>
            </w:r>
            <w:r>
              <w:rPr>
                <w:rFonts w:hint="eastAsia" w:cs="Times New Roman"/>
                <w:color w:val="auto"/>
                <w:sz w:val="24"/>
                <w:lang w:eastAsia="zh-CN"/>
              </w:rPr>
              <w:t>：</w:t>
            </w:r>
            <w:r>
              <w:rPr>
                <w:rFonts w:hint="default" w:ascii="Times New Roman" w:hAnsi="Times New Roman" w:cs="Times New Roman"/>
                <w:color w:val="auto"/>
                <w:sz w:val="24"/>
              </w:rPr>
              <w:t>202</w:t>
            </w:r>
            <w:r>
              <w:rPr>
                <w:rFonts w:hint="eastAsia" w:cs="Times New Roman"/>
                <w:color w:val="auto"/>
                <w:sz w:val="24"/>
                <w:lang w:val="en-US" w:eastAsia="zh-CN"/>
              </w:rPr>
              <w:t>3</w:t>
            </w:r>
            <w:r>
              <w:rPr>
                <w:rFonts w:hint="default" w:ascii="Times New Roman" w:hAnsi="Times New Roman" w:cs="Times New Roman"/>
                <w:color w:val="auto"/>
                <w:sz w:val="24"/>
              </w:rPr>
              <w:t>年，全市细颗粒物（PM</w:t>
            </w:r>
            <w:r>
              <w:rPr>
                <w:rFonts w:hint="default" w:ascii="Times New Roman" w:hAnsi="Times New Roman" w:cs="Times New Roman"/>
                <w:color w:val="auto"/>
                <w:sz w:val="24"/>
                <w:vertAlign w:val="subscript"/>
              </w:rPr>
              <w:t>2.</w:t>
            </w:r>
            <w:r>
              <w:rPr>
                <w:rFonts w:hint="eastAsia" w:cs="Times New Roman"/>
                <w:color w:val="auto"/>
                <w:sz w:val="24"/>
                <w:vertAlign w:val="subscript"/>
                <w:lang w:eastAsia="zh-CN"/>
              </w:rPr>
              <w:t>5）</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w:t>
            </w:r>
            <w:r>
              <w:rPr>
                <w:rFonts w:hint="eastAsia" w:cs="Times New Roman"/>
                <w:color w:val="auto"/>
                <w:sz w:val="24"/>
                <w:lang w:eastAsia="zh-CN"/>
              </w:rPr>
              <w:t>、</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）年均浓度分别为3</w:t>
            </w:r>
            <w:r>
              <w:rPr>
                <w:rFonts w:hint="eastAsia" w:cs="Times New Roman"/>
                <w:color w:val="auto"/>
                <w:sz w:val="24"/>
                <w:lang w:val="en-US" w:eastAsia="zh-CN"/>
              </w:rPr>
              <w:t>6</w:t>
            </w:r>
            <w:r>
              <w:rPr>
                <w:rFonts w:hint="default" w:ascii="Times New Roman" w:hAnsi="Times New Roman" w:cs="Times New Roman"/>
                <w:color w:val="auto"/>
                <w:sz w:val="24"/>
              </w:rPr>
              <w:t>微克/立方米、</w:t>
            </w:r>
            <w:r>
              <w:rPr>
                <w:rFonts w:hint="eastAsia" w:cs="Times New Roman"/>
                <w:color w:val="auto"/>
                <w:sz w:val="24"/>
                <w:lang w:val="en-US" w:eastAsia="zh-CN"/>
              </w:rPr>
              <w:t>58</w:t>
            </w:r>
            <w:r>
              <w:rPr>
                <w:rFonts w:hint="default" w:ascii="Times New Roman" w:hAnsi="Times New Roman" w:cs="Times New Roman"/>
                <w:color w:val="auto"/>
                <w:sz w:val="24"/>
              </w:rPr>
              <w:t>微克/立方米、</w:t>
            </w:r>
            <w:r>
              <w:rPr>
                <w:rFonts w:hint="eastAsia" w:cs="Times New Roman"/>
                <w:color w:val="auto"/>
                <w:sz w:val="24"/>
                <w:lang w:val="en-US" w:eastAsia="zh-CN"/>
              </w:rPr>
              <w:t>8</w:t>
            </w:r>
            <w:r>
              <w:rPr>
                <w:rFonts w:hint="default" w:ascii="Times New Roman" w:hAnsi="Times New Roman" w:cs="Times New Roman"/>
                <w:color w:val="auto"/>
                <w:sz w:val="24"/>
              </w:rPr>
              <w:t>微克/立方米、2</w:t>
            </w:r>
            <w:r>
              <w:rPr>
                <w:rFonts w:hint="eastAsia" w:cs="Times New Roman"/>
                <w:color w:val="auto"/>
                <w:sz w:val="24"/>
                <w:lang w:val="en-US" w:eastAsia="zh-CN"/>
              </w:rPr>
              <w:t>5</w:t>
            </w:r>
            <w:r>
              <w:rPr>
                <w:rFonts w:hint="default" w:ascii="Times New Roman" w:hAnsi="Times New Roman" w:cs="Times New Roman"/>
                <w:color w:val="auto"/>
                <w:sz w:val="24"/>
              </w:rPr>
              <w:t>微克/立方米</w:t>
            </w:r>
            <w:r>
              <w:rPr>
                <w:rFonts w:hint="eastAsia" w:cs="Times New Roman"/>
                <w:color w:val="auto"/>
                <w:sz w:val="24"/>
                <w:lang w:eastAsia="zh-CN"/>
              </w:rPr>
              <w:t>、</w:t>
            </w:r>
            <w:r>
              <w:rPr>
                <w:rFonts w:hint="eastAsia" w:cs="Times New Roman"/>
                <w:color w:val="auto"/>
                <w:sz w:val="24"/>
                <w:lang w:val="en-US" w:eastAsia="zh-CN"/>
              </w:rPr>
              <w:t>1.0</w:t>
            </w:r>
            <w:r>
              <w:rPr>
                <w:rFonts w:hint="default" w:ascii="Times New Roman" w:hAnsi="Times New Roman" w:cs="Times New Roman"/>
                <w:color w:val="auto"/>
                <w:sz w:val="24"/>
              </w:rPr>
              <w:t>毫克/立方米、15</w:t>
            </w:r>
            <w:r>
              <w:rPr>
                <w:rFonts w:hint="eastAsia" w:cs="Times New Roman"/>
                <w:color w:val="auto"/>
                <w:sz w:val="24"/>
                <w:lang w:val="en-US" w:eastAsia="zh-CN"/>
              </w:rPr>
              <w:t>8</w:t>
            </w:r>
            <w:r>
              <w:rPr>
                <w:rFonts w:hint="default" w:ascii="Times New Roman" w:hAnsi="Times New Roman" w:cs="Times New Roman"/>
                <w:color w:val="auto"/>
                <w:sz w:val="24"/>
              </w:rPr>
              <w:t>微克/立方米。与202</w:t>
            </w:r>
            <w:r>
              <w:rPr>
                <w:rFonts w:hint="eastAsia" w:cs="Times New Roman"/>
                <w:color w:val="auto"/>
                <w:sz w:val="24"/>
                <w:lang w:val="en-US" w:eastAsia="zh-CN"/>
              </w:rPr>
              <w:t>2</w:t>
            </w:r>
            <w:r>
              <w:rPr>
                <w:rFonts w:hint="default" w:ascii="Times New Roman" w:hAnsi="Times New Roman" w:cs="Times New Roman"/>
                <w:color w:val="auto"/>
                <w:sz w:val="24"/>
              </w:rPr>
              <w:t>年相比，</w:t>
            </w:r>
            <w:r>
              <w:rPr>
                <w:rFonts w:hint="eastAsia" w:cs="Times New Roman"/>
                <w:color w:val="auto"/>
                <w:sz w:val="24"/>
                <w:lang w:val="en-US" w:eastAsia="zh-CN"/>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污染有所改善，</w:t>
            </w:r>
            <w:r>
              <w:rPr>
                <w:rFonts w:hint="eastAsia" w:cs="Times New Roman"/>
                <w:color w:val="auto"/>
                <w:sz w:val="24"/>
                <w:lang w:val="en-US" w:eastAsia="zh-CN"/>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为首要污染物的超标天减少3天，PM</w:t>
            </w:r>
            <w:r>
              <w:rPr>
                <w:rFonts w:hint="default" w:ascii="Times New Roman" w:hAnsi="Times New Roman" w:cs="Times New Roman"/>
                <w:color w:val="auto"/>
                <w:sz w:val="24"/>
                <w:vertAlign w:val="subscript"/>
              </w:rPr>
              <w:t>2</w:t>
            </w:r>
            <w:r>
              <w:rPr>
                <w:rFonts w:hint="eastAsia" w:cs="Times New Roman"/>
                <w:color w:val="auto"/>
                <w:sz w:val="24"/>
                <w:vertAlign w:val="subscript"/>
                <w:lang w:val="en-US" w:eastAsia="zh-CN"/>
              </w:rPr>
              <w:t>.</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浓度有所反弹，PM</w:t>
            </w:r>
            <w:r>
              <w:rPr>
                <w:rFonts w:hint="eastAsia" w:cs="Times New Roman"/>
                <w:color w:val="auto"/>
                <w:sz w:val="24"/>
                <w:vertAlign w:val="subscript"/>
                <w:lang w:val="en-US" w:eastAsia="zh-CN"/>
              </w:rPr>
              <w:t>2.5</w:t>
            </w:r>
            <w:r>
              <w:rPr>
                <w:rFonts w:hint="default" w:ascii="Times New Roman" w:hAnsi="Times New Roman" w:cs="Times New Roman"/>
                <w:color w:val="auto"/>
                <w:sz w:val="24"/>
              </w:rPr>
              <w:t>为首要污染物的超标天增加7天。PM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降幅分别为3.3%、11.1%、0.6%。可吸入颗粒物（PM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）年均浓度超标。因此，2023年本项目所在区域环境空气质量为不达标区。</w:t>
            </w:r>
          </w:p>
          <w:p w14:paraId="24B1CA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针对细颗粒物（PM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）超标现象，淮安市深入打好污染防治攻坚战指挥部办公室印发了《淮安市2024年大气污染防治工作计划》（淮污防攻坚指办〔2024〕50 号）（以下简称《工作计划》）。</w:t>
            </w:r>
          </w:p>
          <w:p w14:paraId="14EF6F7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《工作计划》明确了工作目标：全市PM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35微克/立方米左右，优良天数比率达到81.2%左右，臭氧浓度增长趋势得到有效遏制。完成省下达的氮氧化物4340吨、挥发性有机物3466吨的重点工程减排量目标。并提出以下重点任务：（一）优化产业结构，促进产业产品绿色升级；（二）优化能源结构，加速能源清洁低碳高效发展；（三）优化交通结构，大力发展绿色运输体系；（四）聚焦重点行业，推进大气污染综合治理；（五）开展 VOCs大会战，持续压降VOCs 浓度；（六）强化面源污染治理，提升精细化管理水平；（七）强化执法检查和监督帮扶，加强污染过程应对；（八）加强能力建设，健全标准体系。</w:t>
            </w:r>
          </w:p>
          <w:p w14:paraId="434DCC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随着《淮安市2024年大气污染防治工作计划》（淮污防攻坚指办〔2024〕50 号）的逐步落实，淮安市环境空气质量将逐渐得到改善，能够满足区域环境质量改善目标管理的要求。</w:t>
            </w:r>
          </w:p>
          <w:p w14:paraId="285BEAF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②地表水环境</w:t>
            </w:r>
          </w:p>
          <w:p w14:paraId="05B787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根据《202</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lang w:val="en-US" w:eastAsia="zh-CN"/>
              </w:rPr>
              <w:t>年淮安市生态环境状况公报》：2023年淮安市水环境质量总体较好，优I比例超过省定考核指标，27条主要河流水质状况达优良，湖泊水质保持稳定，饮用水源地水质稳定达标，地下水水质稳中趋好。纳入“十四五”国家地表水环境质量考核的11个国考断面中，年均水质达到或好于Ⅲ类标准的断面9个(Ⅱ类断面4个)，优Ⅲ比例81.8%，达标率100%，无V类和劣V类断面。纳入江苏省“十四五”水环境质量目标考核的57个断面中水质达到或好于</w:t>
            </w:r>
            <w:r>
              <w:rPr>
                <w:rFonts w:hint="eastAsia" w:cs="Times New Roman"/>
                <w:color w:val="auto"/>
                <w:sz w:val="24"/>
                <w:lang w:val="en-US" w:eastAsia="zh-CN"/>
              </w:rPr>
              <w:t>Ⅲ</w:t>
            </w:r>
            <w:r>
              <w:rPr>
                <w:rFonts w:hint="default" w:ascii="Times New Roman" w:hAnsi="Times New Roman" w:eastAsia="宋体" w:cs="Times New Roman"/>
                <w:color w:val="auto"/>
                <w:sz w:val="24"/>
                <w:lang w:val="en-US" w:eastAsia="zh-CN"/>
              </w:rPr>
              <w:t>类标准的断面有53个，优Ⅲ比例93%，达标率100%，无V类和劣V类断面。</w:t>
            </w:r>
          </w:p>
          <w:p w14:paraId="4CF1C99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202</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年，淮河、京杭大运河、苏北灌溉总渠、盐河、淮河入江水道、分淮入沂水道水质状况为优</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入海水道南偏泓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浔河、黄河故道、金宝航道、维桥河、利农河、南淮泗河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张福河、团结河、高桥河、南六塘河、跃进河、汪木排河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草泽河、唐响河、头溪河、运西河-新河、周桥灌区总干渠</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一帆河、铜龙河、池河水质状况为良好</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入海水道北偏泓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赵公河、公兴河水质状况为轻度污染。</w:t>
            </w:r>
          </w:p>
          <w:p w14:paraId="288B029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针对水环境保护，淮安市深入打好污染防治攻坚战指挥部办公室印发了</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eastAsia" w:ascii="Times New Roman" w:hAnsi="Times New Roman" w:eastAsia="宋体" w:cs="Times New Roman"/>
                <w:color w:val="auto"/>
                <w:sz w:val="24"/>
                <w:szCs w:val="24"/>
                <w:lang w:val="en-US" w:eastAsia="zh-CN"/>
              </w:rPr>
              <w:t>（以下简称《工作计划》）。</w:t>
            </w:r>
          </w:p>
          <w:p w14:paraId="66D9CB6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《工作计划》明确了工作目标：（一）国省考断面优</w:t>
            </w:r>
            <w:r>
              <w:rPr>
                <w:rFonts w:hint="default" w:ascii="Times New Roman" w:hAnsi="Times New Roman" w:eastAsia="宋体" w:cs="Times New Roman"/>
                <w:color w:val="auto"/>
                <w:sz w:val="24"/>
                <w:szCs w:val="24"/>
                <w:lang w:val="en-US" w:eastAsia="zh-CN"/>
              </w:rPr>
              <w:t>Ⅲ</w:t>
            </w:r>
            <w:r>
              <w:rPr>
                <w:rFonts w:hint="eastAsia" w:ascii="Times New Roman" w:hAnsi="Times New Roman" w:eastAsia="宋体" w:cs="Times New Roman"/>
                <w:color w:val="auto"/>
                <w:sz w:val="24"/>
                <w:szCs w:val="24"/>
                <w:lang w:val="en-US" w:eastAsia="zh-CN"/>
              </w:rPr>
              <w:t>比例目标；（二）城镇生活污水集中收集处理率目标；（三）南水北调东线重要湖泊水环境质量目标；（四）主要水污染物总量减排目标。并提出以下主要任务：（一）强化重点水体保护；（二）加强工业污染防治；（三）深化城镇生活污染防治；（四）推进农业农村污染防治；（五）加强船舶港口污染监管；（六）推进水生态保护修复；（七）加强水资源保护利用；（八）促进</w:t>
            </w:r>
            <w:r>
              <w:rPr>
                <w:rFonts w:hint="eastAsia" w:cs="Times New Roman"/>
                <w:color w:val="auto"/>
                <w:sz w:val="24"/>
                <w:szCs w:val="24"/>
                <w:lang w:val="en-US" w:eastAsia="zh-CN"/>
              </w:rPr>
              <w:t>治理体系和治理能力现代化</w:t>
            </w:r>
            <w:r>
              <w:rPr>
                <w:rFonts w:hint="eastAsia" w:ascii="Times New Roman" w:hAnsi="Times New Roman" w:eastAsia="宋体" w:cs="Times New Roman"/>
                <w:color w:val="auto"/>
                <w:sz w:val="24"/>
                <w:szCs w:val="24"/>
                <w:lang w:val="en-US" w:eastAsia="zh-CN"/>
              </w:rPr>
              <w:t>。</w:t>
            </w:r>
          </w:p>
          <w:p w14:paraId="1B0F13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kern w:val="0"/>
                <w:sz w:val="24"/>
                <w:szCs w:val="24"/>
                <w:lang w:val="en-US" w:eastAsia="zh-CN" w:bidi="ar"/>
              </w:rPr>
              <w:t>随着</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逐步</w:t>
            </w:r>
            <w:r>
              <w:rPr>
                <w:rFonts w:hint="default" w:ascii="Times New Roman" w:hAnsi="Times New Roman" w:eastAsia="宋体" w:cs="Times New Roman"/>
                <w:color w:val="auto"/>
                <w:kern w:val="0"/>
                <w:sz w:val="24"/>
                <w:szCs w:val="24"/>
                <w:lang w:val="en-US" w:eastAsia="zh-CN" w:bidi="ar"/>
              </w:rPr>
              <w:t>落实，</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6893BE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③声环境</w:t>
            </w:r>
          </w:p>
          <w:p w14:paraId="50146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根据《202</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年淮安市生态环境状况公报》显示，2023年，淮安市声环境总体较好，全市各功能区昼夜噪声均达标。全市区域环境昼间噪声均值为55.1dB(A)，夜间均值为45.3dB(A)，同比均有所改善</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全市昼间交通噪声均值为65.4dB(A)，夜间交通噪声均值为55.4dB(A)，均保持稳定，处于</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好</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水平。</w:t>
            </w:r>
          </w:p>
          <w:p w14:paraId="00A9B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综上，本</w:t>
            </w:r>
            <w:r>
              <w:rPr>
                <w:rFonts w:hint="default" w:ascii="Times New Roman" w:hAnsi="Times New Roman" w:eastAsia="宋体" w:cs="Times New Roman"/>
                <w:color w:val="auto"/>
                <w:sz w:val="24"/>
              </w:rPr>
              <w:t>项目营运期各类污染物采取相应污染防治措施后，对周围环境影响均较小，不会降低当地环境质量，符合环境质量底线标准。</w:t>
            </w:r>
          </w:p>
          <w:p w14:paraId="03A89E8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（3）资源利用上线</w:t>
            </w:r>
          </w:p>
          <w:p w14:paraId="59E5DA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本项目与资源利用上线的相符性分析见</w:t>
            </w:r>
            <w:r>
              <w:rPr>
                <w:rFonts w:hint="eastAsia"/>
                <w:color w:val="auto"/>
                <w:sz w:val="24"/>
                <w:lang w:val="en-US" w:eastAsia="zh-CN"/>
              </w:rPr>
              <w:t>下表</w:t>
            </w:r>
            <w:r>
              <w:rPr>
                <w:rFonts w:hint="eastAsia"/>
                <w:color w:val="auto"/>
                <w:sz w:val="24"/>
              </w:rPr>
              <w:t>。</w:t>
            </w:r>
          </w:p>
          <w:p w14:paraId="4A2EBE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7C04D38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3E32D0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11CF038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14A1FBE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3C52862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33ECC0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6F3BB5C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b/>
                <w:bCs/>
                <w:color w:val="auto"/>
                <w:szCs w:val="21"/>
              </w:rPr>
            </w:pPr>
            <w:r>
              <w:rPr>
                <w:rFonts w:hint="eastAsia" w:ascii="Times New Roman" w:hAnsi="Times New Roman" w:eastAsia="宋体"/>
                <w:b/>
                <w:bCs/>
                <w:color w:val="auto"/>
                <w:szCs w:val="21"/>
              </w:rPr>
              <w:t>表1-</w:t>
            </w:r>
            <w:r>
              <w:rPr>
                <w:rFonts w:hint="eastAsia"/>
                <w:b/>
                <w:bCs/>
                <w:color w:val="auto"/>
                <w:szCs w:val="21"/>
                <w:lang w:val="en-US" w:eastAsia="zh-CN"/>
              </w:rPr>
              <w:t>8</w:t>
            </w:r>
            <w:r>
              <w:rPr>
                <w:rFonts w:hint="eastAsia" w:ascii="Times New Roman" w:hAnsi="Times New Roman" w:eastAsia="宋体"/>
                <w:b/>
                <w:bCs/>
                <w:color w:val="auto"/>
                <w:szCs w:val="21"/>
                <w:lang w:val="en-US" w:eastAsia="zh-CN"/>
              </w:rPr>
              <w:t xml:space="preserve"> </w:t>
            </w:r>
            <w:r>
              <w:rPr>
                <w:rFonts w:hint="eastAsia" w:ascii="Times New Roman" w:hAnsi="Times New Roman" w:eastAsia="宋体"/>
                <w:b/>
                <w:bCs/>
                <w:color w:val="auto"/>
                <w:szCs w:val="21"/>
              </w:rPr>
              <w:t>项目与资源利用上限的相符性分析表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2"/>
              <w:gridCol w:w="803"/>
              <w:gridCol w:w="5147"/>
              <w:gridCol w:w="1066"/>
            </w:tblGrid>
            <w:tr w14:paraId="3CF2AB3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733C8922">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序号</w:t>
                  </w:r>
                </w:p>
              </w:tc>
              <w:tc>
                <w:tcPr>
                  <w:tcW w:w="521" w:type="pct"/>
                  <w:noWrap w:val="0"/>
                  <w:vAlign w:val="center"/>
                </w:tcPr>
                <w:p w14:paraId="2FC13FFF">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内容</w:t>
                  </w:r>
                </w:p>
              </w:tc>
              <w:tc>
                <w:tcPr>
                  <w:tcW w:w="3342" w:type="pct"/>
                  <w:noWrap w:val="0"/>
                  <w:vAlign w:val="center"/>
                </w:tcPr>
                <w:p w14:paraId="1D40C72B">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与资源利用上线的相符性</w:t>
                  </w:r>
                </w:p>
              </w:tc>
              <w:tc>
                <w:tcPr>
                  <w:tcW w:w="692" w:type="pct"/>
                  <w:noWrap w:val="0"/>
                  <w:vAlign w:val="center"/>
                </w:tcPr>
                <w:p w14:paraId="6533C457">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是否符合</w:t>
                  </w:r>
                </w:p>
              </w:tc>
            </w:tr>
            <w:tr w14:paraId="4859E44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0AA1318">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1</w:t>
                  </w:r>
                </w:p>
              </w:tc>
              <w:tc>
                <w:tcPr>
                  <w:tcW w:w="521" w:type="pct"/>
                  <w:noWrap w:val="0"/>
                  <w:vAlign w:val="center"/>
                </w:tcPr>
                <w:p w14:paraId="5CF41EE7">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能耗</w:t>
                  </w:r>
                </w:p>
                <w:p w14:paraId="40B4AA69">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消耗</w:t>
                  </w:r>
                </w:p>
              </w:tc>
              <w:tc>
                <w:tcPr>
                  <w:tcW w:w="3342" w:type="pct"/>
                  <w:noWrap w:val="0"/>
                  <w:vAlign w:val="center"/>
                </w:tcPr>
                <w:p w14:paraId="1FC3322A">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olor w:val="auto"/>
                    </w:rPr>
                    <w:t>不增加煤炭使用；不属于压缩产能、过剩产能，</w:t>
                  </w:r>
                  <w:r>
                    <w:rPr>
                      <w:rFonts w:hint="eastAsia" w:ascii="Times New Roman" w:hAnsi="Times New Roman" w:eastAsia="宋体"/>
                      <w:color w:val="auto"/>
                    </w:rPr>
                    <w:t>“两高”</w:t>
                  </w:r>
                  <w:r>
                    <w:rPr>
                      <w:rFonts w:ascii="Times New Roman" w:hAnsi="Times New Roman" w:eastAsia="宋体"/>
                      <w:color w:val="auto"/>
                    </w:rPr>
                    <w:t>行业；本项目用电量约为</w:t>
                  </w:r>
                  <w:r>
                    <w:rPr>
                      <w:rFonts w:hint="eastAsia" w:ascii="Times New Roman" w:hAnsi="Times New Roman" w:eastAsia="宋体"/>
                      <w:color w:val="auto"/>
                      <w:lang w:val="en-US" w:eastAsia="zh-CN"/>
                    </w:rPr>
                    <w:t>20</w:t>
                  </w:r>
                  <w:r>
                    <w:rPr>
                      <w:rFonts w:ascii="Times New Roman" w:hAnsi="Times New Roman" w:eastAsia="宋体"/>
                      <w:color w:val="auto"/>
                    </w:rPr>
                    <w:t>万千瓦时/年，</w:t>
                  </w:r>
                  <w:r>
                    <w:rPr>
                      <w:rFonts w:hint="eastAsia" w:ascii="Times New Roman" w:hAnsi="Times New Roman" w:eastAsia="宋体"/>
                      <w:color w:val="auto"/>
                    </w:rPr>
                    <w:t>项目</w:t>
                  </w:r>
                  <w:r>
                    <w:rPr>
                      <w:rFonts w:ascii="Times New Roman" w:hAnsi="Times New Roman" w:eastAsia="宋体"/>
                      <w:color w:val="auto"/>
                    </w:rPr>
                    <w:t>所在地可以满足用电需求，不会突破当地资源利用上线。</w:t>
                  </w:r>
                </w:p>
              </w:tc>
              <w:tc>
                <w:tcPr>
                  <w:tcW w:w="692" w:type="pct"/>
                  <w:noWrap w:val="0"/>
                  <w:vAlign w:val="center"/>
                </w:tcPr>
                <w:p w14:paraId="4412195C">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r w14:paraId="6CCEFC6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418B416C">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2</w:t>
                  </w:r>
                </w:p>
              </w:tc>
              <w:tc>
                <w:tcPr>
                  <w:tcW w:w="521" w:type="pct"/>
                  <w:noWrap w:val="0"/>
                  <w:vAlign w:val="center"/>
                </w:tcPr>
                <w:p w14:paraId="78CC9F8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水资源消耗</w:t>
                  </w:r>
                </w:p>
              </w:tc>
              <w:tc>
                <w:tcPr>
                  <w:tcW w:w="3342" w:type="pct"/>
                  <w:noWrap w:val="0"/>
                  <w:vAlign w:val="center"/>
                </w:tcPr>
                <w:p w14:paraId="74D0015E">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s="Times New Roman"/>
                      <w:color w:val="auto"/>
                    </w:rPr>
                    <w:t>本项目所在地不属于严重缺水地区；区域供水管网可以满足</w:t>
                  </w:r>
                  <w:r>
                    <w:rPr>
                      <w:rFonts w:hint="eastAsia" w:ascii="Times New Roman" w:hAnsi="Times New Roman" w:eastAsia="宋体" w:cs="Times New Roman"/>
                      <w:color w:val="auto"/>
                    </w:rPr>
                    <w:t>本</w:t>
                  </w:r>
                  <w:r>
                    <w:rPr>
                      <w:rFonts w:ascii="Times New Roman" w:hAnsi="Times New Roman" w:eastAsia="宋体" w:cs="Times New Roman"/>
                      <w:color w:val="auto"/>
                    </w:rPr>
                    <w:t>项目用水</w:t>
                  </w:r>
                  <w:r>
                    <w:rPr>
                      <w:rFonts w:hint="eastAsia" w:ascii="Times New Roman" w:hAnsi="Times New Roman" w:eastAsia="宋体" w:cs="Times New Roman"/>
                      <w:color w:val="auto"/>
                    </w:rPr>
                    <w:t>需求</w:t>
                  </w:r>
                  <w:r>
                    <w:rPr>
                      <w:rFonts w:ascii="Times New Roman" w:hAnsi="Times New Roman" w:eastAsia="宋体" w:cs="Times New Roman"/>
                      <w:color w:val="auto"/>
                    </w:rPr>
                    <w:t>；</w:t>
                  </w:r>
                  <w:r>
                    <w:rPr>
                      <w:rFonts w:hint="eastAsia" w:ascii="Times New Roman" w:hAnsi="Times New Roman" w:eastAsia="宋体" w:cs="Times New Roman"/>
                      <w:color w:val="auto"/>
                    </w:rPr>
                    <w:t>本</w:t>
                  </w:r>
                  <w:r>
                    <w:rPr>
                      <w:rFonts w:ascii="Times New Roman" w:hAnsi="Times New Roman" w:eastAsia="宋体" w:cs="Times New Roman"/>
                      <w:color w:val="auto"/>
                    </w:rPr>
                    <w:t>项目不涉及地下水开采。本项目用水量为</w:t>
                  </w:r>
                  <w:r>
                    <w:rPr>
                      <w:rFonts w:hint="eastAsia" w:cs="Times New Roman"/>
                      <w:color w:val="auto"/>
                      <w:lang w:val="en-US" w:eastAsia="zh-CN"/>
                    </w:rPr>
                    <w:t>480m</w:t>
                  </w:r>
                  <w:r>
                    <w:rPr>
                      <w:rFonts w:hint="eastAsia" w:cs="Times New Roman"/>
                      <w:color w:val="auto"/>
                      <w:vertAlign w:val="superscript"/>
                      <w:lang w:val="en-US" w:eastAsia="zh-CN"/>
                    </w:rPr>
                    <w:t>3</w:t>
                  </w:r>
                  <w:r>
                    <w:rPr>
                      <w:rFonts w:ascii="Times New Roman" w:hAnsi="Times New Roman" w:eastAsia="宋体" w:cs="Times New Roman"/>
                      <w:color w:val="auto"/>
                    </w:rPr>
                    <w:t>/a。</w:t>
                  </w:r>
                </w:p>
              </w:tc>
              <w:tc>
                <w:tcPr>
                  <w:tcW w:w="692" w:type="pct"/>
                  <w:noWrap w:val="0"/>
                  <w:vAlign w:val="center"/>
                </w:tcPr>
                <w:p w14:paraId="57CFE478">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r w14:paraId="236050D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863F03E">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3</w:t>
                  </w:r>
                </w:p>
              </w:tc>
              <w:tc>
                <w:tcPr>
                  <w:tcW w:w="521" w:type="pct"/>
                  <w:noWrap w:val="0"/>
                  <w:vAlign w:val="center"/>
                </w:tcPr>
                <w:p w14:paraId="7938928E">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土地</w:t>
                  </w:r>
                </w:p>
                <w:p w14:paraId="65A300F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资源</w:t>
                  </w:r>
                  <w:r>
                    <w:rPr>
                      <w:rFonts w:hint="eastAsia" w:ascii="Times New Roman" w:hAnsi="Times New Roman" w:eastAsia="宋体"/>
                      <w:color w:val="auto"/>
                    </w:rPr>
                    <w:t>消耗</w:t>
                  </w:r>
                </w:p>
              </w:tc>
              <w:tc>
                <w:tcPr>
                  <w:tcW w:w="3342" w:type="pct"/>
                  <w:noWrap w:val="0"/>
                  <w:vAlign w:val="center"/>
                </w:tcPr>
                <w:p w14:paraId="5E609C9B">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olor w:val="auto"/>
                    </w:rPr>
                    <w:t>本项目</w:t>
                  </w:r>
                  <w:r>
                    <w:rPr>
                      <w:rFonts w:hint="eastAsia" w:ascii="Times New Roman" w:hAnsi="Times New Roman" w:eastAsia="宋体"/>
                      <w:color w:val="auto"/>
                    </w:rPr>
                    <w:t>选址于涟水县</w:t>
                  </w:r>
                  <w:r>
                    <w:rPr>
                      <w:rFonts w:hint="eastAsia" w:ascii="Times New Roman" w:hAnsi="Times New Roman" w:eastAsia="宋体"/>
                      <w:color w:val="auto"/>
                      <w:lang w:val="en-US" w:eastAsia="zh-CN"/>
                    </w:rPr>
                    <w:t>经济开发区炎黄大道</w:t>
                  </w:r>
                  <w:r>
                    <w:rPr>
                      <w:rFonts w:hint="eastAsia"/>
                      <w:color w:val="auto"/>
                      <w:lang w:val="en-US" w:eastAsia="zh-CN"/>
                    </w:rPr>
                    <w:t>99</w:t>
                  </w:r>
                  <w:r>
                    <w:rPr>
                      <w:rFonts w:hint="eastAsia" w:ascii="Times New Roman" w:hAnsi="Times New Roman" w:eastAsia="宋体"/>
                      <w:color w:val="auto"/>
                      <w:lang w:val="en-US" w:eastAsia="zh-CN"/>
                    </w:rPr>
                    <w:t>号</w:t>
                  </w:r>
                  <w:r>
                    <w:rPr>
                      <w:rFonts w:hint="eastAsia" w:ascii="Times New Roman" w:hAnsi="Times New Roman" w:eastAsia="宋体"/>
                      <w:color w:val="auto"/>
                    </w:rPr>
                    <w:t>，</w:t>
                  </w:r>
                  <w:r>
                    <w:rPr>
                      <w:rFonts w:ascii="Times New Roman" w:hAnsi="Times New Roman" w:eastAsia="宋体"/>
                      <w:color w:val="auto"/>
                    </w:rPr>
                    <w:t>所在地不属于用地供需矛盾特别突出地区；本项目占地面积为</w:t>
                  </w:r>
                  <w:r>
                    <w:rPr>
                      <w:rFonts w:hint="eastAsia"/>
                      <w:color w:val="auto"/>
                      <w:lang w:val="en-US" w:eastAsia="zh-CN"/>
                    </w:rPr>
                    <w:t>1951</w:t>
                  </w:r>
                  <w:r>
                    <w:rPr>
                      <w:rFonts w:ascii="Times New Roman" w:hAnsi="Times New Roman" w:eastAsia="宋体"/>
                      <w:color w:val="auto"/>
                    </w:rPr>
                    <w:t>m</w:t>
                  </w:r>
                  <w:r>
                    <w:rPr>
                      <w:rFonts w:ascii="Times New Roman" w:hAnsi="Times New Roman" w:eastAsia="宋体"/>
                      <w:color w:val="auto"/>
                      <w:vertAlign w:val="superscript"/>
                    </w:rPr>
                    <w:t>2</w:t>
                  </w:r>
                  <w:r>
                    <w:rPr>
                      <w:rFonts w:ascii="Times New Roman" w:hAnsi="Times New Roman" w:eastAsia="宋体"/>
                      <w:color w:val="auto"/>
                    </w:rPr>
                    <w:t>，为</w:t>
                  </w:r>
                  <w:r>
                    <w:rPr>
                      <w:rFonts w:hint="eastAsia" w:ascii="Times New Roman" w:hAnsi="Times New Roman" w:eastAsia="宋体"/>
                      <w:color w:val="auto"/>
                      <w:lang w:val="en-US" w:eastAsia="zh-CN"/>
                    </w:rPr>
                    <w:t>租赁江苏涟水经济开发区炎黄大道99号上水创业园28号厂房，总建筑物面积约</w:t>
                  </w:r>
                  <w:r>
                    <w:rPr>
                      <w:rFonts w:hint="eastAsia"/>
                      <w:color w:val="auto"/>
                      <w:lang w:val="en-US" w:eastAsia="zh-CN"/>
                    </w:rPr>
                    <w:t>1364.21</w:t>
                  </w:r>
                  <w:r>
                    <w:rPr>
                      <w:rFonts w:ascii="Times New Roman" w:hAnsi="Times New Roman" w:eastAsia="宋体"/>
                      <w:color w:val="auto"/>
                    </w:rPr>
                    <w:t>m</w:t>
                  </w:r>
                  <w:r>
                    <w:rPr>
                      <w:rFonts w:ascii="Times New Roman" w:hAnsi="Times New Roman" w:eastAsia="宋体"/>
                      <w:color w:val="auto"/>
                      <w:vertAlign w:val="superscript"/>
                    </w:rPr>
                    <w:t>2</w:t>
                  </w:r>
                  <w:r>
                    <w:rPr>
                      <w:rFonts w:hint="eastAsia" w:ascii="Times New Roman" w:hAnsi="Times New Roman" w:eastAsia="宋体"/>
                      <w:color w:val="auto"/>
                    </w:rPr>
                    <w:t>，不涉及农耕用地</w:t>
                  </w:r>
                  <w:r>
                    <w:rPr>
                      <w:rFonts w:ascii="Times New Roman" w:hAnsi="Times New Roman" w:eastAsia="宋体"/>
                      <w:color w:val="auto"/>
                    </w:rPr>
                    <w:t>。</w:t>
                  </w:r>
                </w:p>
              </w:tc>
              <w:tc>
                <w:tcPr>
                  <w:tcW w:w="692" w:type="pct"/>
                  <w:noWrap w:val="0"/>
                  <w:vAlign w:val="center"/>
                </w:tcPr>
                <w:p w14:paraId="6E354BB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bl>
          <w:p w14:paraId="2754C7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由上表分析可知，本项目符合资源利用上线要求。</w:t>
            </w:r>
          </w:p>
          <w:p w14:paraId="611BD6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（4）环境准入负面清单</w:t>
            </w:r>
          </w:p>
          <w:p w14:paraId="7B2F17D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cs="Times New Roman"/>
                <w:b/>
                <w:bCs/>
                <w:color w:val="auto"/>
                <w:sz w:val="21"/>
                <w:szCs w:val="21"/>
              </w:rPr>
            </w:pPr>
            <w:r>
              <w:rPr>
                <w:rFonts w:hint="eastAsia"/>
                <w:color w:val="auto"/>
                <w:sz w:val="24"/>
              </w:rPr>
              <w:t>①本次环评对照国家及地方产业政策和《市场准入负面清单（2022年版）》进行说明，具体见</w:t>
            </w:r>
            <w:r>
              <w:rPr>
                <w:rFonts w:hint="eastAsia"/>
                <w:color w:val="auto"/>
                <w:sz w:val="24"/>
                <w:lang w:val="en-US" w:eastAsia="zh-CN"/>
              </w:rPr>
              <w:t>下表</w:t>
            </w:r>
            <w:r>
              <w:rPr>
                <w:rFonts w:hint="eastAsia"/>
                <w:color w:val="auto"/>
                <w:sz w:val="24"/>
              </w:rPr>
              <w:t>。</w:t>
            </w:r>
          </w:p>
          <w:p w14:paraId="3591ECF4">
            <w:pPr>
              <w:pStyle w:val="19"/>
              <w:spacing w:line="240" w:lineRule="auto"/>
              <w:ind w:left="105" w:leftChars="50"/>
              <w:jc w:val="center"/>
              <w:rPr>
                <w:b/>
                <w:bCs/>
                <w:color w:val="auto"/>
                <w:sz w:val="21"/>
                <w:szCs w:val="21"/>
              </w:rPr>
            </w:pPr>
            <w:r>
              <w:rPr>
                <w:rFonts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 xml:space="preserve">9 </w:t>
            </w:r>
            <w:r>
              <w:rPr>
                <w:rFonts w:ascii="Times New Roman" w:hAnsi="Times New Roman" w:cs="Times New Roman"/>
                <w:b/>
                <w:bCs/>
                <w:color w:val="auto"/>
                <w:sz w:val="21"/>
                <w:szCs w:val="21"/>
              </w:rPr>
              <w:t>区域环境准入负面清单</w:t>
            </w:r>
          </w:p>
          <w:tbl>
            <w:tblPr>
              <w:tblStyle w:val="23"/>
              <w:tblW w:w="76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4"/>
              <w:gridCol w:w="3706"/>
              <w:gridCol w:w="3010"/>
              <w:gridCol w:w="558"/>
            </w:tblGrid>
            <w:tr w14:paraId="4338C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424" w:type="dxa"/>
                  <w:noWrap w:val="0"/>
                  <w:vAlign w:val="center"/>
                </w:tcPr>
                <w:p w14:paraId="0056F225">
                  <w:pPr>
                    <w:pStyle w:val="18"/>
                    <w:spacing w:after="0" w:line="280" w:lineRule="exact"/>
                    <w:ind w:left="0" w:leftChars="0" w:firstLine="0" w:firstLineChars="0"/>
                    <w:jc w:val="center"/>
                    <w:rPr>
                      <w:color w:val="auto"/>
                      <w:sz w:val="21"/>
                    </w:rPr>
                  </w:pPr>
                  <w:r>
                    <w:rPr>
                      <w:rFonts w:hint="eastAsia"/>
                      <w:color w:val="auto"/>
                      <w:sz w:val="21"/>
                    </w:rPr>
                    <w:t>序号</w:t>
                  </w:r>
                </w:p>
              </w:tc>
              <w:tc>
                <w:tcPr>
                  <w:tcW w:w="3706" w:type="dxa"/>
                  <w:noWrap w:val="0"/>
                  <w:vAlign w:val="center"/>
                </w:tcPr>
                <w:p w14:paraId="5D428972">
                  <w:pPr>
                    <w:pStyle w:val="18"/>
                    <w:spacing w:after="0" w:line="280" w:lineRule="exact"/>
                    <w:ind w:left="0" w:leftChars="0" w:firstLine="0" w:firstLineChars="0"/>
                    <w:jc w:val="center"/>
                    <w:rPr>
                      <w:color w:val="auto"/>
                      <w:sz w:val="21"/>
                    </w:rPr>
                  </w:pPr>
                  <w:r>
                    <w:rPr>
                      <w:rFonts w:hint="eastAsia"/>
                      <w:color w:val="auto"/>
                      <w:sz w:val="21"/>
                    </w:rPr>
                    <w:t>文件名称</w:t>
                  </w:r>
                </w:p>
              </w:tc>
              <w:tc>
                <w:tcPr>
                  <w:tcW w:w="3010" w:type="dxa"/>
                  <w:noWrap w:val="0"/>
                  <w:vAlign w:val="center"/>
                </w:tcPr>
                <w:p w14:paraId="2BA747C3">
                  <w:pPr>
                    <w:pStyle w:val="18"/>
                    <w:spacing w:after="0" w:line="280" w:lineRule="exact"/>
                    <w:ind w:left="0" w:leftChars="0" w:firstLine="0" w:firstLineChars="0"/>
                    <w:jc w:val="center"/>
                    <w:rPr>
                      <w:color w:val="auto"/>
                      <w:sz w:val="21"/>
                    </w:rPr>
                  </w:pPr>
                  <w:r>
                    <w:rPr>
                      <w:rFonts w:hint="eastAsia"/>
                      <w:color w:val="auto"/>
                      <w:sz w:val="21"/>
                    </w:rPr>
                    <w:t>相符性分析</w:t>
                  </w:r>
                </w:p>
              </w:tc>
              <w:tc>
                <w:tcPr>
                  <w:tcW w:w="558" w:type="dxa"/>
                  <w:noWrap w:val="0"/>
                  <w:vAlign w:val="center"/>
                </w:tcPr>
                <w:p w14:paraId="0BCA627E">
                  <w:pPr>
                    <w:pStyle w:val="18"/>
                    <w:spacing w:after="0" w:line="280" w:lineRule="exact"/>
                    <w:ind w:left="0" w:leftChars="0" w:firstLine="0" w:firstLineChars="0"/>
                    <w:jc w:val="center"/>
                    <w:rPr>
                      <w:color w:val="auto"/>
                      <w:sz w:val="21"/>
                    </w:rPr>
                  </w:pPr>
                  <w:r>
                    <w:rPr>
                      <w:rFonts w:hint="eastAsia"/>
                      <w:color w:val="auto"/>
                      <w:sz w:val="21"/>
                    </w:rPr>
                    <w:t>是否符合</w:t>
                  </w:r>
                </w:p>
              </w:tc>
            </w:tr>
            <w:tr w14:paraId="48292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424" w:type="dxa"/>
                  <w:noWrap w:val="0"/>
                  <w:vAlign w:val="center"/>
                </w:tcPr>
                <w:p w14:paraId="2D17ECE7">
                  <w:pPr>
                    <w:pStyle w:val="18"/>
                    <w:spacing w:after="0" w:line="280" w:lineRule="exact"/>
                    <w:ind w:left="0" w:leftChars="0" w:firstLine="0" w:firstLineChars="0"/>
                    <w:jc w:val="center"/>
                    <w:rPr>
                      <w:color w:val="auto"/>
                      <w:sz w:val="21"/>
                    </w:rPr>
                  </w:pPr>
                  <w:r>
                    <w:rPr>
                      <w:rFonts w:hint="eastAsia"/>
                      <w:color w:val="auto"/>
                      <w:sz w:val="21"/>
                    </w:rPr>
                    <w:t>1</w:t>
                  </w:r>
                </w:p>
              </w:tc>
              <w:tc>
                <w:tcPr>
                  <w:tcW w:w="3706" w:type="dxa"/>
                  <w:noWrap w:val="0"/>
                  <w:vAlign w:val="center"/>
                </w:tcPr>
                <w:p w14:paraId="40368D2E">
                  <w:pPr>
                    <w:pStyle w:val="18"/>
                    <w:spacing w:after="0" w:line="280" w:lineRule="exact"/>
                    <w:ind w:left="0" w:leftChars="0" w:firstLine="0" w:firstLineChars="0"/>
                    <w:rPr>
                      <w:color w:val="auto"/>
                      <w:sz w:val="21"/>
                    </w:rPr>
                  </w:pPr>
                  <w:r>
                    <w:rPr>
                      <w:rFonts w:hint="eastAsia"/>
                      <w:color w:val="auto"/>
                      <w:sz w:val="21"/>
                    </w:rPr>
                    <w:t>《市场准入负面清单（2022年本）》</w:t>
                  </w:r>
                </w:p>
              </w:tc>
              <w:tc>
                <w:tcPr>
                  <w:tcW w:w="3010" w:type="dxa"/>
                  <w:noWrap w:val="0"/>
                  <w:vAlign w:val="center"/>
                </w:tcPr>
                <w:p w14:paraId="07699335">
                  <w:pPr>
                    <w:pStyle w:val="18"/>
                    <w:spacing w:after="0" w:line="280" w:lineRule="exact"/>
                    <w:ind w:left="0" w:leftChars="0" w:firstLine="0" w:firstLineChars="0"/>
                    <w:rPr>
                      <w:color w:val="auto"/>
                      <w:sz w:val="21"/>
                    </w:rPr>
                  </w:pPr>
                  <w:r>
                    <w:rPr>
                      <w:rFonts w:hint="eastAsia"/>
                      <w:color w:val="auto"/>
                      <w:sz w:val="21"/>
                    </w:rPr>
                    <w:t>本项目不属于市场禁止准入事项</w:t>
                  </w:r>
                </w:p>
              </w:tc>
              <w:tc>
                <w:tcPr>
                  <w:tcW w:w="558" w:type="dxa"/>
                  <w:noWrap w:val="0"/>
                  <w:vAlign w:val="center"/>
                </w:tcPr>
                <w:p w14:paraId="73B02815">
                  <w:pPr>
                    <w:pStyle w:val="18"/>
                    <w:spacing w:after="0" w:line="280" w:lineRule="exact"/>
                    <w:ind w:left="0" w:leftChars="0" w:firstLine="0" w:firstLineChars="0"/>
                    <w:jc w:val="center"/>
                    <w:rPr>
                      <w:color w:val="auto"/>
                      <w:sz w:val="21"/>
                    </w:rPr>
                  </w:pPr>
                  <w:r>
                    <w:rPr>
                      <w:rFonts w:hint="eastAsia"/>
                      <w:color w:val="auto"/>
                      <w:sz w:val="21"/>
                    </w:rPr>
                    <w:t>符合</w:t>
                  </w:r>
                </w:p>
              </w:tc>
            </w:tr>
            <w:tr w14:paraId="48F822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424" w:type="dxa"/>
                  <w:noWrap w:val="0"/>
                  <w:vAlign w:val="center"/>
                </w:tcPr>
                <w:p w14:paraId="492651A9">
                  <w:pPr>
                    <w:pStyle w:val="18"/>
                    <w:spacing w:after="0" w:line="280" w:lineRule="exact"/>
                    <w:ind w:left="0" w:leftChars="0" w:firstLine="0" w:firstLineChars="0"/>
                    <w:jc w:val="center"/>
                    <w:rPr>
                      <w:color w:val="auto"/>
                      <w:sz w:val="21"/>
                    </w:rPr>
                  </w:pPr>
                  <w:r>
                    <w:rPr>
                      <w:rFonts w:hint="eastAsia"/>
                      <w:color w:val="auto"/>
                      <w:sz w:val="21"/>
                    </w:rPr>
                    <w:t>2</w:t>
                  </w:r>
                </w:p>
              </w:tc>
              <w:tc>
                <w:tcPr>
                  <w:tcW w:w="3706" w:type="dxa"/>
                  <w:noWrap w:val="0"/>
                  <w:vAlign w:val="center"/>
                </w:tcPr>
                <w:p w14:paraId="0CBA22FF">
                  <w:pPr>
                    <w:pStyle w:val="18"/>
                    <w:spacing w:after="0" w:line="280" w:lineRule="exact"/>
                    <w:ind w:left="0" w:leftChars="0" w:firstLine="0" w:firstLineChars="0"/>
                    <w:rPr>
                      <w:color w:val="auto"/>
                      <w:sz w:val="21"/>
                    </w:rPr>
                  </w:pPr>
                  <w:r>
                    <w:rPr>
                      <w:rFonts w:hint="eastAsia"/>
                      <w:color w:val="auto"/>
                      <w:sz w:val="21"/>
                    </w:rPr>
                    <w:t>《产业结构调整指导目录（20</w:t>
                  </w:r>
                  <w:r>
                    <w:rPr>
                      <w:rFonts w:hint="eastAsia"/>
                      <w:color w:val="auto"/>
                      <w:sz w:val="21"/>
                      <w:lang w:val="en-US" w:eastAsia="zh-CN"/>
                    </w:rPr>
                    <w:t>24</w:t>
                  </w:r>
                  <w:r>
                    <w:rPr>
                      <w:rFonts w:hint="eastAsia"/>
                      <w:color w:val="auto"/>
                      <w:sz w:val="21"/>
                    </w:rPr>
                    <w:t>年本</w:t>
                  </w:r>
                  <w:r>
                    <w:rPr>
                      <w:rFonts w:hint="eastAsia"/>
                      <w:color w:val="auto"/>
                      <w:sz w:val="21"/>
                      <w:lang w:eastAsia="zh-CN"/>
                    </w:rPr>
                    <w:t>）</w:t>
                  </w:r>
                  <w:r>
                    <w:rPr>
                      <w:rFonts w:hint="eastAsia"/>
                      <w:color w:val="auto"/>
                      <w:sz w:val="21"/>
                    </w:rPr>
                    <w:t>》</w:t>
                  </w:r>
                </w:p>
              </w:tc>
              <w:tc>
                <w:tcPr>
                  <w:tcW w:w="3010" w:type="dxa"/>
                  <w:noWrap w:val="0"/>
                  <w:vAlign w:val="center"/>
                </w:tcPr>
                <w:p w14:paraId="0EF4FF19">
                  <w:pPr>
                    <w:pStyle w:val="18"/>
                    <w:spacing w:after="0" w:line="280" w:lineRule="exact"/>
                    <w:ind w:left="0" w:leftChars="0" w:firstLine="0" w:firstLineChars="0"/>
                    <w:rPr>
                      <w:rFonts w:hint="default" w:eastAsia="宋体"/>
                      <w:color w:val="auto"/>
                      <w:sz w:val="21"/>
                      <w:lang w:val="en-US" w:eastAsia="zh-CN"/>
                    </w:rPr>
                  </w:pPr>
                  <w:r>
                    <w:rPr>
                      <w:rFonts w:hint="eastAsia"/>
                      <w:color w:val="auto"/>
                      <w:sz w:val="21"/>
                    </w:rPr>
                    <w:t>不属于限制类、淘汰类</w:t>
                  </w:r>
                  <w:r>
                    <w:rPr>
                      <w:rFonts w:hint="eastAsia"/>
                      <w:color w:val="auto"/>
                      <w:sz w:val="21"/>
                      <w:lang w:eastAsia="zh-CN"/>
                    </w:rPr>
                    <w:t>、</w:t>
                  </w:r>
                  <w:r>
                    <w:rPr>
                      <w:rFonts w:hint="eastAsia"/>
                      <w:color w:val="auto"/>
                      <w:sz w:val="21"/>
                      <w:lang w:val="en-US" w:eastAsia="zh-CN"/>
                    </w:rPr>
                    <w:t>鼓励类</w:t>
                  </w:r>
                  <w:r>
                    <w:rPr>
                      <w:rFonts w:hint="eastAsia"/>
                      <w:color w:val="auto"/>
                      <w:sz w:val="21"/>
                    </w:rPr>
                    <w:t>项目</w:t>
                  </w:r>
                  <w:r>
                    <w:rPr>
                      <w:rFonts w:hint="eastAsia"/>
                      <w:color w:val="auto"/>
                      <w:sz w:val="21"/>
                      <w:lang w:eastAsia="zh-CN"/>
                    </w:rPr>
                    <w:t>，</w:t>
                  </w:r>
                  <w:r>
                    <w:rPr>
                      <w:rFonts w:hint="eastAsia"/>
                      <w:color w:val="auto"/>
                      <w:sz w:val="21"/>
                      <w:lang w:val="en-US" w:eastAsia="zh-CN"/>
                    </w:rPr>
                    <w:t>属于允许类项目</w:t>
                  </w:r>
                </w:p>
              </w:tc>
              <w:tc>
                <w:tcPr>
                  <w:tcW w:w="558" w:type="dxa"/>
                  <w:noWrap w:val="0"/>
                  <w:vAlign w:val="center"/>
                </w:tcPr>
                <w:p w14:paraId="087CCF7B">
                  <w:pPr>
                    <w:pStyle w:val="18"/>
                    <w:spacing w:after="0" w:line="280" w:lineRule="exact"/>
                    <w:ind w:left="0" w:leftChars="0" w:firstLine="0" w:firstLineChars="0"/>
                    <w:jc w:val="center"/>
                    <w:rPr>
                      <w:color w:val="auto"/>
                      <w:sz w:val="21"/>
                    </w:rPr>
                  </w:pPr>
                  <w:r>
                    <w:rPr>
                      <w:rFonts w:hint="eastAsia"/>
                      <w:color w:val="auto"/>
                      <w:sz w:val="21"/>
                    </w:rPr>
                    <w:t>符合</w:t>
                  </w:r>
                </w:p>
              </w:tc>
            </w:tr>
            <w:tr w14:paraId="3EB0E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424" w:type="dxa"/>
                  <w:noWrap w:val="0"/>
                  <w:vAlign w:val="center"/>
                </w:tcPr>
                <w:p w14:paraId="54701B97">
                  <w:pPr>
                    <w:pStyle w:val="18"/>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3</w:t>
                  </w:r>
                </w:p>
              </w:tc>
              <w:tc>
                <w:tcPr>
                  <w:tcW w:w="3706" w:type="dxa"/>
                  <w:noWrap w:val="0"/>
                  <w:vAlign w:val="center"/>
                </w:tcPr>
                <w:p w14:paraId="0A9A55B4">
                  <w:pPr>
                    <w:pStyle w:val="18"/>
                    <w:spacing w:after="0" w:line="280" w:lineRule="exact"/>
                    <w:ind w:left="0" w:leftChars="0" w:firstLine="0" w:firstLineChars="0"/>
                    <w:rPr>
                      <w:color w:val="auto"/>
                      <w:sz w:val="21"/>
                    </w:rPr>
                  </w:pPr>
                  <w:r>
                    <w:rPr>
                      <w:rFonts w:hint="eastAsia"/>
                      <w:color w:val="auto"/>
                      <w:sz w:val="21"/>
                    </w:rPr>
                    <w:t>《自然资源要素支撑产业高质量发展指导目录（2024年本）》</w:t>
                  </w:r>
                </w:p>
              </w:tc>
              <w:tc>
                <w:tcPr>
                  <w:tcW w:w="3010" w:type="dxa"/>
                  <w:noWrap w:val="0"/>
                  <w:vAlign w:val="center"/>
                </w:tcPr>
                <w:p w14:paraId="3AACDF8C">
                  <w:pPr>
                    <w:pStyle w:val="18"/>
                    <w:spacing w:after="0" w:line="280" w:lineRule="exact"/>
                    <w:ind w:left="0" w:leftChars="0" w:firstLine="0" w:firstLineChars="0"/>
                    <w:rPr>
                      <w:color w:val="auto"/>
                      <w:sz w:val="21"/>
                    </w:rPr>
                  </w:pPr>
                  <w:r>
                    <w:rPr>
                      <w:rFonts w:hint="eastAsia"/>
                      <w:color w:val="auto"/>
                      <w:sz w:val="21"/>
                    </w:rPr>
                    <w:t>不属于限制、禁止用地项目</w:t>
                  </w:r>
                </w:p>
              </w:tc>
              <w:tc>
                <w:tcPr>
                  <w:tcW w:w="558" w:type="dxa"/>
                  <w:noWrap w:val="0"/>
                  <w:vAlign w:val="center"/>
                </w:tcPr>
                <w:p w14:paraId="45206A7B">
                  <w:pPr>
                    <w:pStyle w:val="18"/>
                    <w:spacing w:after="0" w:line="280" w:lineRule="exact"/>
                    <w:ind w:left="0" w:leftChars="0" w:firstLine="0" w:firstLineChars="0"/>
                    <w:jc w:val="center"/>
                    <w:rPr>
                      <w:color w:val="auto"/>
                      <w:sz w:val="21"/>
                    </w:rPr>
                  </w:pPr>
                  <w:r>
                    <w:rPr>
                      <w:rFonts w:hint="eastAsia"/>
                      <w:color w:val="auto"/>
                      <w:sz w:val="21"/>
                    </w:rPr>
                    <w:t>符合</w:t>
                  </w:r>
                </w:p>
              </w:tc>
            </w:tr>
            <w:tr w14:paraId="623C8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424" w:type="dxa"/>
                  <w:noWrap w:val="0"/>
                  <w:vAlign w:val="center"/>
                </w:tcPr>
                <w:p w14:paraId="73C62D2D">
                  <w:pPr>
                    <w:pStyle w:val="18"/>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4</w:t>
                  </w:r>
                </w:p>
              </w:tc>
              <w:tc>
                <w:tcPr>
                  <w:tcW w:w="3706" w:type="dxa"/>
                  <w:noWrap w:val="0"/>
                  <w:vAlign w:val="center"/>
                </w:tcPr>
                <w:p w14:paraId="5E8DBBDE">
                  <w:pPr>
                    <w:pStyle w:val="18"/>
                    <w:spacing w:after="0" w:line="280" w:lineRule="exact"/>
                    <w:ind w:left="0" w:leftChars="0" w:firstLine="0" w:firstLineChars="0"/>
                    <w:rPr>
                      <w:color w:val="auto"/>
                      <w:sz w:val="21"/>
                    </w:rPr>
                  </w:pPr>
                  <w:r>
                    <w:rPr>
                      <w:rFonts w:hint="eastAsia"/>
                      <w:color w:val="auto"/>
                      <w:sz w:val="21"/>
                    </w:rPr>
                    <w:t>《江苏省限制用地项目目录</w:t>
                  </w:r>
                  <w:r>
                    <w:rPr>
                      <w:rFonts w:hint="eastAsia"/>
                      <w:color w:val="auto"/>
                      <w:sz w:val="21"/>
                      <w:lang w:eastAsia="zh-CN"/>
                    </w:rPr>
                    <w:t>（</w:t>
                  </w:r>
                  <w:r>
                    <w:rPr>
                      <w:rFonts w:hint="eastAsia"/>
                      <w:color w:val="auto"/>
                      <w:sz w:val="21"/>
                    </w:rPr>
                    <w:t>2013年本</w:t>
                  </w:r>
                  <w:r>
                    <w:rPr>
                      <w:rFonts w:hint="eastAsia"/>
                      <w:color w:val="auto"/>
                      <w:sz w:val="21"/>
                      <w:lang w:eastAsia="zh-CN"/>
                    </w:rPr>
                    <w:t>）</w:t>
                  </w:r>
                  <w:r>
                    <w:rPr>
                      <w:rFonts w:hint="eastAsia"/>
                      <w:color w:val="auto"/>
                      <w:sz w:val="21"/>
                    </w:rPr>
                    <w:t>》《江苏省禁止用地项目目录</w:t>
                  </w:r>
                  <w:r>
                    <w:rPr>
                      <w:rFonts w:hint="eastAsia"/>
                      <w:color w:val="auto"/>
                      <w:sz w:val="21"/>
                      <w:lang w:eastAsia="zh-CN"/>
                    </w:rPr>
                    <w:t>（</w:t>
                  </w:r>
                  <w:r>
                    <w:rPr>
                      <w:rFonts w:hint="eastAsia"/>
                      <w:color w:val="auto"/>
                      <w:sz w:val="21"/>
                    </w:rPr>
                    <w:t>2013年本</w:t>
                  </w:r>
                  <w:r>
                    <w:rPr>
                      <w:rFonts w:hint="eastAsia"/>
                      <w:color w:val="auto"/>
                      <w:sz w:val="21"/>
                      <w:lang w:eastAsia="zh-CN"/>
                    </w:rPr>
                    <w:t>）</w:t>
                  </w:r>
                  <w:r>
                    <w:rPr>
                      <w:rFonts w:hint="eastAsia"/>
                      <w:color w:val="auto"/>
                      <w:sz w:val="21"/>
                    </w:rPr>
                    <w:t>》</w:t>
                  </w:r>
                </w:p>
              </w:tc>
              <w:tc>
                <w:tcPr>
                  <w:tcW w:w="3010" w:type="dxa"/>
                  <w:noWrap w:val="0"/>
                  <w:vAlign w:val="center"/>
                </w:tcPr>
                <w:p w14:paraId="76A3EB9A">
                  <w:pPr>
                    <w:pStyle w:val="18"/>
                    <w:spacing w:after="0" w:line="280" w:lineRule="exact"/>
                    <w:ind w:left="0" w:leftChars="0" w:firstLine="0" w:firstLineChars="0"/>
                    <w:rPr>
                      <w:color w:val="auto"/>
                      <w:sz w:val="21"/>
                    </w:rPr>
                  </w:pPr>
                  <w:r>
                    <w:rPr>
                      <w:rFonts w:hint="eastAsia"/>
                      <w:color w:val="auto"/>
                      <w:sz w:val="21"/>
                    </w:rPr>
                    <w:t>不属于限制、禁止用地项目</w:t>
                  </w:r>
                </w:p>
              </w:tc>
              <w:tc>
                <w:tcPr>
                  <w:tcW w:w="558" w:type="dxa"/>
                  <w:noWrap w:val="0"/>
                  <w:vAlign w:val="center"/>
                </w:tcPr>
                <w:p w14:paraId="6FF859E7">
                  <w:pPr>
                    <w:pStyle w:val="18"/>
                    <w:spacing w:after="0" w:line="280" w:lineRule="exact"/>
                    <w:ind w:left="0" w:leftChars="0" w:firstLine="0" w:firstLineChars="0"/>
                    <w:jc w:val="center"/>
                    <w:rPr>
                      <w:color w:val="auto"/>
                      <w:sz w:val="21"/>
                    </w:rPr>
                  </w:pPr>
                  <w:r>
                    <w:rPr>
                      <w:rFonts w:hint="eastAsia"/>
                      <w:color w:val="auto"/>
                      <w:sz w:val="21"/>
                    </w:rPr>
                    <w:t>符合</w:t>
                  </w:r>
                </w:p>
              </w:tc>
            </w:tr>
            <w:tr w14:paraId="49C8D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3B65F375">
                  <w:pPr>
                    <w:pStyle w:val="18"/>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5</w:t>
                  </w:r>
                </w:p>
              </w:tc>
              <w:tc>
                <w:tcPr>
                  <w:tcW w:w="3706" w:type="dxa"/>
                  <w:noWrap w:val="0"/>
                  <w:vAlign w:val="center"/>
                </w:tcPr>
                <w:p w14:paraId="2A867BEA">
                  <w:pPr>
                    <w:pStyle w:val="18"/>
                    <w:spacing w:after="0" w:line="280" w:lineRule="exact"/>
                    <w:ind w:left="0" w:leftChars="0" w:firstLine="0" w:firstLineChars="0"/>
                    <w:rPr>
                      <w:color w:val="auto"/>
                      <w:sz w:val="21"/>
                    </w:rPr>
                  </w:pPr>
                  <w:r>
                    <w:rPr>
                      <w:rFonts w:hint="eastAsia"/>
                      <w:color w:val="auto"/>
                      <w:sz w:val="21"/>
                    </w:rPr>
                    <w:t>《环境保护综合名录（2021年版）》</w:t>
                  </w:r>
                </w:p>
              </w:tc>
              <w:tc>
                <w:tcPr>
                  <w:tcW w:w="3010" w:type="dxa"/>
                  <w:noWrap w:val="0"/>
                  <w:vAlign w:val="center"/>
                </w:tcPr>
                <w:p w14:paraId="49C568FE">
                  <w:pPr>
                    <w:pStyle w:val="18"/>
                    <w:spacing w:after="0" w:line="280" w:lineRule="exact"/>
                    <w:ind w:left="0" w:leftChars="0" w:firstLine="0" w:firstLineChars="0"/>
                    <w:rPr>
                      <w:color w:val="auto"/>
                      <w:sz w:val="21"/>
                    </w:rPr>
                  </w:pPr>
                  <w:r>
                    <w:rPr>
                      <w:rFonts w:hint="eastAsia"/>
                      <w:color w:val="auto"/>
                      <w:sz w:val="21"/>
                    </w:rPr>
                    <w:t>不属于高污染、高环境风险产品名录</w:t>
                  </w:r>
                </w:p>
              </w:tc>
              <w:tc>
                <w:tcPr>
                  <w:tcW w:w="558" w:type="dxa"/>
                  <w:noWrap w:val="0"/>
                  <w:vAlign w:val="center"/>
                </w:tcPr>
                <w:p w14:paraId="7C1F4500">
                  <w:pPr>
                    <w:pStyle w:val="18"/>
                    <w:spacing w:after="0" w:line="280" w:lineRule="exact"/>
                    <w:ind w:left="0" w:leftChars="0" w:firstLine="0" w:firstLineChars="0"/>
                    <w:jc w:val="center"/>
                    <w:rPr>
                      <w:color w:val="auto"/>
                      <w:sz w:val="21"/>
                    </w:rPr>
                  </w:pPr>
                  <w:r>
                    <w:rPr>
                      <w:rFonts w:hint="eastAsia"/>
                      <w:color w:val="auto"/>
                      <w:sz w:val="21"/>
                    </w:rPr>
                    <w:t>符合</w:t>
                  </w:r>
                </w:p>
              </w:tc>
            </w:tr>
            <w:tr w14:paraId="60759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46D94ECE">
                  <w:pPr>
                    <w:pStyle w:val="18"/>
                    <w:spacing w:after="0" w:line="280" w:lineRule="exact"/>
                    <w:ind w:left="0" w:leftChars="0" w:firstLine="0" w:firstLineChars="0"/>
                    <w:jc w:val="center"/>
                    <w:rPr>
                      <w:rFonts w:hint="eastAsia"/>
                      <w:color w:val="auto"/>
                      <w:sz w:val="21"/>
                      <w:lang w:val="en-US" w:eastAsia="zh-CN"/>
                    </w:rPr>
                  </w:pPr>
                  <w:r>
                    <w:rPr>
                      <w:rFonts w:hint="eastAsia"/>
                      <w:color w:val="auto"/>
                      <w:sz w:val="21"/>
                      <w:lang w:val="en-US" w:eastAsia="zh-CN"/>
                    </w:rPr>
                    <w:t>6</w:t>
                  </w:r>
                </w:p>
              </w:tc>
              <w:tc>
                <w:tcPr>
                  <w:tcW w:w="3706" w:type="dxa"/>
                  <w:noWrap w:val="0"/>
                  <w:vAlign w:val="center"/>
                </w:tcPr>
                <w:p w14:paraId="25EBCA1E">
                  <w:pPr>
                    <w:pStyle w:val="30"/>
                    <w:bidi w:val="0"/>
                    <w:jc w:val="center"/>
                    <w:rPr>
                      <w:rFonts w:hint="eastAsia"/>
                      <w:color w:val="auto"/>
                      <w:sz w:val="21"/>
                    </w:rPr>
                  </w:pPr>
                  <w:r>
                    <w:rPr>
                      <w:rFonts w:hint="default" w:ascii="Times New Roman" w:hAnsi="Times New Roman" w:cs="Times New Roman"/>
                      <w:color w:val="auto"/>
                      <w:sz w:val="21"/>
                    </w:rPr>
                    <w:t>《长江经济带发展负面清单指南（试行，2022年版）》（长江办</w:t>
                  </w:r>
                  <w:r>
                    <w:rPr>
                      <w:rFonts w:hint="eastAsia" w:ascii="Times New Roman" w:cs="Times New Roman"/>
                      <w:color w:val="auto"/>
                      <w:sz w:val="21"/>
                      <w:lang w:eastAsia="zh-CN"/>
                    </w:rPr>
                    <w:t>〔2022〕7号</w:t>
                  </w:r>
                  <w:r>
                    <w:rPr>
                      <w:rFonts w:hint="default" w:ascii="Times New Roman" w:hAnsi="Times New Roman" w:cs="Times New Roman"/>
                      <w:color w:val="auto"/>
                      <w:sz w:val="21"/>
                    </w:rPr>
                    <w:t>）</w:t>
                  </w:r>
                </w:p>
              </w:tc>
              <w:tc>
                <w:tcPr>
                  <w:tcW w:w="3010" w:type="dxa"/>
                  <w:noWrap w:val="0"/>
                  <w:vAlign w:val="center"/>
                </w:tcPr>
                <w:p w14:paraId="74F594E2">
                  <w:pPr>
                    <w:pStyle w:val="30"/>
                    <w:bidi w:val="0"/>
                    <w:jc w:val="center"/>
                    <w:rPr>
                      <w:rFonts w:hint="eastAsia"/>
                      <w:color w:val="auto"/>
                      <w:sz w:val="21"/>
                    </w:rPr>
                  </w:pPr>
                  <w:r>
                    <w:rPr>
                      <w:rFonts w:hint="default" w:ascii="Times New Roman" w:hAnsi="Times New Roman" w:cs="Times New Roman"/>
                      <w:color w:val="auto"/>
                      <w:sz w:val="21"/>
                    </w:rPr>
                    <w:t>不属于负面清单中禁止类项目</w:t>
                  </w:r>
                </w:p>
              </w:tc>
              <w:tc>
                <w:tcPr>
                  <w:tcW w:w="558" w:type="dxa"/>
                  <w:noWrap w:val="0"/>
                  <w:vAlign w:val="center"/>
                </w:tcPr>
                <w:p w14:paraId="7AD93C2F">
                  <w:pPr>
                    <w:pStyle w:val="30"/>
                    <w:bidi w:val="0"/>
                    <w:jc w:val="center"/>
                    <w:rPr>
                      <w:rFonts w:hint="eastAsia"/>
                      <w:color w:val="auto"/>
                      <w:sz w:val="21"/>
                    </w:rPr>
                  </w:pPr>
                  <w:r>
                    <w:rPr>
                      <w:rFonts w:hint="default" w:ascii="Times New Roman" w:hAnsi="Times New Roman" w:cs="Times New Roman"/>
                      <w:color w:val="auto"/>
                      <w:sz w:val="21"/>
                      <w:lang w:val="en-US" w:eastAsia="zh-CN"/>
                    </w:rPr>
                    <w:t>符合</w:t>
                  </w:r>
                </w:p>
              </w:tc>
            </w:tr>
            <w:tr w14:paraId="476D77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4B9D135D">
                  <w:pPr>
                    <w:pStyle w:val="18"/>
                    <w:spacing w:after="0" w:line="280" w:lineRule="exact"/>
                    <w:ind w:left="0" w:leftChars="0" w:firstLine="0" w:firstLineChars="0"/>
                    <w:jc w:val="center"/>
                    <w:rPr>
                      <w:rFonts w:hint="eastAsia"/>
                      <w:color w:val="auto"/>
                      <w:sz w:val="21"/>
                      <w:lang w:val="en-US" w:eastAsia="zh-CN"/>
                    </w:rPr>
                  </w:pPr>
                  <w:r>
                    <w:rPr>
                      <w:rFonts w:hint="eastAsia"/>
                      <w:color w:val="auto"/>
                      <w:sz w:val="21"/>
                      <w:lang w:val="en-US" w:eastAsia="zh-CN"/>
                    </w:rPr>
                    <w:t>7</w:t>
                  </w:r>
                </w:p>
              </w:tc>
              <w:tc>
                <w:tcPr>
                  <w:tcW w:w="3706" w:type="dxa"/>
                  <w:noWrap w:val="0"/>
                  <w:vAlign w:val="center"/>
                </w:tcPr>
                <w:p w14:paraId="3ECDB552">
                  <w:pPr>
                    <w:pStyle w:val="30"/>
                    <w:bidi w:val="0"/>
                    <w:jc w:val="center"/>
                    <w:rPr>
                      <w:rFonts w:hint="eastAsia"/>
                      <w:color w:val="auto"/>
                      <w:sz w:val="21"/>
                    </w:rPr>
                  </w:pPr>
                  <w:r>
                    <w:rPr>
                      <w:rFonts w:hint="default" w:ascii="Times New Roman" w:hAnsi="Times New Roman" w:cs="Times New Roman"/>
                      <w:color w:val="auto"/>
                      <w:sz w:val="21"/>
                    </w:rPr>
                    <w:t>《</w:t>
                  </w:r>
                  <w:r>
                    <w:rPr>
                      <w:rFonts w:hint="eastAsia" w:ascii="Times New Roman" w:cs="Times New Roman"/>
                      <w:color w:val="auto"/>
                      <w:sz w:val="21"/>
                      <w:lang w:eastAsia="zh-CN"/>
                    </w:rPr>
                    <w:t>〈</w:t>
                  </w:r>
                  <w:r>
                    <w:rPr>
                      <w:rFonts w:hint="default" w:ascii="Times New Roman" w:hAnsi="Times New Roman" w:cs="Times New Roman"/>
                      <w:color w:val="auto"/>
                      <w:sz w:val="21"/>
                    </w:rPr>
                    <w:t>长江经济带发展负面清单指南（试行，2022年版）</w:t>
                  </w:r>
                  <w:r>
                    <w:rPr>
                      <w:rFonts w:hint="eastAsia" w:ascii="Times New Roman" w:cs="Times New Roman"/>
                      <w:color w:val="auto"/>
                      <w:sz w:val="21"/>
                      <w:lang w:eastAsia="zh-CN"/>
                    </w:rPr>
                    <w:t>〉</w:t>
                  </w:r>
                  <w:r>
                    <w:rPr>
                      <w:rFonts w:hint="default" w:ascii="Times New Roman" w:hAnsi="Times New Roman" w:cs="Times New Roman"/>
                      <w:color w:val="auto"/>
                      <w:sz w:val="21"/>
                    </w:rPr>
                    <w:t>江苏省实施细则》（苏长江办发</w:t>
                  </w:r>
                  <w:r>
                    <w:rPr>
                      <w:rFonts w:hint="eastAsia" w:ascii="Times New Roman" w:cs="Times New Roman"/>
                      <w:color w:val="auto"/>
                      <w:sz w:val="21"/>
                      <w:lang w:eastAsia="zh-CN"/>
                    </w:rPr>
                    <w:t>〔2022〕55号</w:t>
                  </w:r>
                  <w:r>
                    <w:rPr>
                      <w:rFonts w:hint="default" w:ascii="Times New Roman" w:hAnsi="Times New Roman" w:cs="Times New Roman"/>
                      <w:color w:val="auto"/>
                      <w:sz w:val="21"/>
                    </w:rPr>
                    <w:t>）</w:t>
                  </w:r>
                </w:p>
              </w:tc>
              <w:tc>
                <w:tcPr>
                  <w:tcW w:w="3010" w:type="dxa"/>
                  <w:noWrap w:val="0"/>
                  <w:vAlign w:val="center"/>
                </w:tcPr>
                <w:p w14:paraId="1B11B900">
                  <w:pPr>
                    <w:pStyle w:val="30"/>
                    <w:bidi w:val="0"/>
                    <w:jc w:val="center"/>
                    <w:rPr>
                      <w:rFonts w:hint="eastAsia"/>
                      <w:color w:val="auto"/>
                      <w:sz w:val="21"/>
                    </w:rPr>
                  </w:pPr>
                  <w:r>
                    <w:rPr>
                      <w:rFonts w:hint="default" w:ascii="Times New Roman" w:hAnsi="Times New Roman" w:cs="Times New Roman"/>
                      <w:color w:val="auto"/>
                      <w:sz w:val="21"/>
                    </w:rPr>
                    <w:t>不属于负面清单中禁止类项目</w:t>
                  </w:r>
                </w:p>
              </w:tc>
              <w:tc>
                <w:tcPr>
                  <w:tcW w:w="558" w:type="dxa"/>
                  <w:noWrap w:val="0"/>
                  <w:vAlign w:val="center"/>
                </w:tcPr>
                <w:p w14:paraId="34EF3A72">
                  <w:pPr>
                    <w:pStyle w:val="30"/>
                    <w:bidi w:val="0"/>
                    <w:jc w:val="center"/>
                    <w:rPr>
                      <w:rFonts w:hint="eastAsia"/>
                      <w:color w:val="auto"/>
                      <w:sz w:val="21"/>
                    </w:rPr>
                  </w:pPr>
                  <w:r>
                    <w:rPr>
                      <w:rFonts w:hint="default" w:ascii="Times New Roman" w:hAnsi="Times New Roman" w:cs="Times New Roman"/>
                      <w:color w:val="auto"/>
                      <w:sz w:val="21"/>
                      <w:lang w:val="en-US" w:eastAsia="zh-CN"/>
                    </w:rPr>
                    <w:t>符合</w:t>
                  </w:r>
                </w:p>
              </w:tc>
            </w:tr>
          </w:tbl>
          <w:p w14:paraId="0FC3197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②本项目与江苏涟水经济开发区生态环境准入清单的相符性分析见下表。</w:t>
            </w:r>
          </w:p>
          <w:p w14:paraId="18FAFA0B">
            <w:pPr>
              <w:pStyle w:val="51"/>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p w14:paraId="5C81DC7E">
            <w:pPr>
              <w:pStyle w:val="51"/>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表1-10 江苏涟水经济开发区生态环境准入清单</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2"/>
              <w:gridCol w:w="413"/>
              <w:gridCol w:w="4214"/>
              <w:gridCol w:w="1980"/>
              <w:gridCol w:w="676"/>
            </w:tblGrid>
            <w:tr w14:paraId="48CFFD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tcBorders>
                    <w:tl2br w:val="nil"/>
                    <w:tr2bl w:val="nil"/>
                  </w:tcBorders>
                  <w:vAlign w:val="center"/>
                </w:tcPr>
                <w:p w14:paraId="7539CE6A">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类别</w:t>
                  </w:r>
                </w:p>
              </w:tc>
              <w:tc>
                <w:tcPr>
                  <w:tcW w:w="2738" w:type="pct"/>
                  <w:tcBorders>
                    <w:tl2br w:val="nil"/>
                    <w:tr2bl w:val="nil"/>
                  </w:tcBorders>
                  <w:vAlign w:val="center"/>
                </w:tcPr>
                <w:p w14:paraId="49904983">
                  <w:pPr>
                    <w:pStyle w:val="30"/>
                    <w:bidi w:val="0"/>
                    <w:rPr>
                      <w:rFonts w:hint="eastAsia"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环境准入条件</w:t>
                  </w:r>
                </w:p>
              </w:tc>
              <w:tc>
                <w:tcPr>
                  <w:tcW w:w="1286" w:type="pct"/>
                  <w:tcBorders>
                    <w:tl2br w:val="nil"/>
                    <w:tr2bl w:val="nil"/>
                  </w:tcBorders>
                  <w:vAlign w:val="center"/>
                </w:tcPr>
                <w:p w14:paraId="7913B102">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项目情况</w:t>
                  </w:r>
                </w:p>
              </w:tc>
              <w:tc>
                <w:tcPr>
                  <w:tcW w:w="439" w:type="pct"/>
                  <w:tcBorders>
                    <w:tl2br w:val="nil"/>
                    <w:tr2bl w:val="nil"/>
                  </w:tcBorders>
                  <w:vAlign w:val="center"/>
                </w:tcPr>
                <w:p w14:paraId="3CAA32F8">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相符性分析</w:t>
                  </w:r>
                </w:p>
              </w:tc>
            </w:tr>
            <w:tr w14:paraId="3A4C9D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204E304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产业准入</w:t>
                  </w:r>
                </w:p>
              </w:tc>
              <w:tc>
                <w:tcPr>
                  <w:tcW w:w="268" w:type="pct"/>
                  <w:tcBorders>
                    <w:tl2br w:val="nil"/>
                    <w:tr2bl w:val="nil"/>
                  </w:tcBorders>
                  <w:vAlign w:val="center"/>
                </w:tcPr>
                <w:p w14:paraId="100E60E4">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主导产业</w:t>
                  </w:r>
                </w:p>
              </w:tc>
              <w:tc>
                <w:tcPr>
                  <w:tcW w:w="2738" w:type="pct"/>
                  <w:tcBorders>
                    <w:tl2br w:val="nil"/>
                    <w:tr2bl w:val="nil"/>
                  </w:tcBorders>
                  <w:vAlign w:val="center"/>
                </w:tcPr>
                <w:p w14:paraId="567E4F71">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主要发展装备制造、纺织服装、电子信息、绿色食品4大主导产业。保留符合上一轮规划产业定位的企业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禁止引进建材、医药等行业企业。</w:t>
                  </w:r>
                </w:p>
              </w:tc>
              <w:tc>
                <w:tcPr>
                  <w:tcW w:w="1286" w:type="pct"/>
                  <w:tcBorders>
                    <w:tl2br w:val="nil"/>
                    <w:tr2bl w:val="nil"/>
                  </w:tcBorders>
                  <w:vAlign w:val="center"/>
                </w:tcPr>
                <w:p w14:paraId="22B427BC">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rPr>
                    <w:t>本项目</w:t>
                  </w:r>
                  <w:r>
                    <w:rPr>
                      <w:rFonts w:hint="eastAsia" w:ascii="Times New Roman" w:hAnsi="Times New Roman" w:eastAsia="宋体"/>
                      <w:color w:val="auto"/>
                      <w:lang w:val="en-US" w:eastAsia="zh-CN"/>
                    </w:rPr>
                    <w:t>为</w:t>
                  </w:r>
                  <w:r>
                    <w:rPr>
                      <w:rFonts w:hint="eastAsia" w:ascii="Times New Roman"/>
                      <w:color w:val="auto"/>
                      <w:lang w:val="en-US" w:eastAsia="zh-CN"/>
                    </w:rPr>
                    <w:t>涟水呈颖模塑有限公司年产50万件塑料手柄加工项目</w:t>
                  </w:r>
                  <w:r>
                    <w:rPr>
                      <w:rFonts w:hint="eastAsia" w:ascii="Times New Roman" w:hAnsi="Times New Roman" w:eastAsia="宋体"/>
                      <w:color w:val="auto"/>
                      <w:lang w:eastAsia="zh-CN"/>
                    </w:rPr>
                    <w:t>，</w:t>
                  </w:r>
                  <w:r>
                    <w:rPr>
                      <w:rFonts w:ascii="Times New Roman" w:hAnsi="Times New Roman" w:eastAsia="宋体"/>
                      <w:color w:val="auto"/>
                    </w:rPr>
                    <w:t>属于</w:t>
                  </w:r>
                  <w:r>
                    <w:rPr>
                      <w:rFonts w:hint="eastAsia" w:ascii="Times New Roman" w:hAnsi="Times New Roman" w:eastAsia="宋体"/>
                      <w:color w:val="auto"/>
                    </w:rPr>
                    <w:t>C2929塑料零件及其他塑料制品制造</w:t>
                  </w:r>
                  <w:r>
                    <w:rPr>
                      <w:rFonts w:hint="eastAsia" w:ascii="Times New Roman"/>
                      <w:color w:val="auto"/>
                      <w:lang w:eastAsia="zh-CN"/>
                    </w:rPr>
                    <w:t>、C3062玻璃纤维增强塑料制品制造</w:t>
                  </w:r>
                  <w:r>
                    <w:rPr>
                      <w:rFonts w:hint="eastAsia" w:ascii="Times New Roman" w:hAnsi="Times New Roman" w:eastAsia="宋体"/>
                      <w:color w:val="auto"/>
                      <w:lang w:eastAsia="zh-CN"/>
                    </w:rPr>
                    <w:t>，</w:t>
                  </w:r>
                  <w:r>
                    <w:rPr>
                      <w:rFonts w:hint="eastAsia" w:ascii="Times New Roman" w:hAnsi="Times New Roman" w:eastAsia="宋体"/>
                      <w:color w:val="auto"/>
                    </w:rPr>
                    <w:t>不属于</w:t>
                  </w:r>
                  <w:r>
                    <w:rPr>
                      <w:rFonts w:hint="eastAsia" w:ascii="Times New Roman" w:hAnsi="Times New Roman" w:eastAsia="宋体"/>
                      <w:color w:val="auto"/>
                      <w:lang w:val="en-US" w:eastAsia="zh-CN"/>
                    </w:rPr>
                    <w:t>园区主导产业</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也不属于园区限制引入和禁止引入的产业，</w:t>
                  </w:r>
                  <w:r>
                    <w:rPr>
                      <w:rFonts w:hint="eastAsia" w:ascii="Times New Roman" w:hAnsi="Times New Roman" w:eastAsia="宋体"/>
                      <w:color w:val="auto"/>
                    </w:rPr>
                    <w:t>属于允许</w:t>
                  </w:r>
                  <w:r>
                    <w:rPr>
                      <w:rFonts w:hint="eastAsia" w:ascii="Times New Roman" w:hAnsi="Times New Roman" w:eastAsia="宋体"/>
                      <w:color w:val="auto"/>
                      <w:lang w:val="en-US" w:eastAsia="zh-CN"/>
                    </w:rPr>
                    <w:t>引入</w:t>
                  </w:r>
                  <w:r>
                    <w:rPr>
                      <w:rFonts w:hint="eastAsia" w:ascii="Times New Roman" w:hAnsi="Times New Roman" w:eastAsia="宋体"/>
                      <w:color w:val="auto"/>
                    </w:rPr>
                    <w:t>类</w:t>
                  </w:r>
                  <w:r>
                    <w:rPr>
                      <w:rFonts w:hint="eastAsia" w:ascii="Times New Roman" w:hAnsi="Times New Roman" w:eastAsia="宋体"/>
                      <w:color w:val="auto"/>
                      <w:lang w:val="en-US" w:eastAsia="zh-CN"/>
                    </w:rPr>
                    <w:t>产业</w:t>
                  </w:r>
                  <w:r>
                    <w:rPr>
                      <w:rFonts w:hint="eastAsia" w:ascii="Times New Roman" w:hAnsi="Times New Roman" w:eastAsia="宋体"/>
                      <w:color w:val="auto"/>
                    </w:rPr>
                    <w:t>。</w:t>
                  </w:r>
                </w:p>
              </w:tc>
              <w:tc>
                <w:tcPr>
                  <w:tcW w:w="439" w:type="pct"/>
                  <w:tcBorders>
                    <w:tl2br w:val="nil"/>
                    <w:tr2bl w:val="nil"/>
                  </w:tcBorders>
                  <w:vAlign w:val="center"/>
                </w:tcPr>
                <w:p w14:paraId="6407A54F">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42271C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267" w:type="pct"/>
                  <w:vMerge w:val="continue"/>
                  <w:tcBorders>
                    <w:tl2br w:val="nil"/>
                    <w:tr2bl w:val="nil"/>
                  </w:tcBorders>
                  <w:vAlign w:val="center"/>
                </w:tcPr>
                <w:p w14:paraId="6D0A0A1C">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704D9F41">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禁止引入</w:t>
                  </w:r>
                </w:p>
              </w:tc>
              <w:tc>
                <w:tcPr>
                  <w:tcW w:w="2738" w:type="pct"/>
                  <w:tcBorders>
                    <w:tl2br w:val="nil"/>
                    <w:tr2bl w:val="nil"/>
                  </w:tcBorders>
                  <w:vAlign w:val="center"/>
                </w:tcPr>
                <w:p w14:paraId="0E5A4B1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1、含酿造工艺的项目。</w:t>
                  </w:r>
                </w:p>
              </w:tc>
              <w:tc>
                <w:tcPr>
                  <w:tcW w:w="1286" w:type="pct"/>
                  <w:tcBorders>
                    <w:tl2br w:val="nil"/>
                    <w:tr2bl w:val="nil"/>
                  </w:tcBorders>
                  <w:vAlign w:val="center"/>
                </w:tcPr>
                <w:p w14:paraId="3E1C7F36">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本项目不含</w:t>
                  </w:r>
                  <w:r>
                    <w:rPr>
                      <w:rFonts w:ascii="Times New Roman" w:hAnsi="Times New Roman" w:eastAsia="宋体"/>
                      <w:color w:val="auto"/>
                      <w:lang w:val="en-US" w:eastAsia="zh-CN"/>
                    </w:rPr>
                    <w:t>酿造工艺</w:t>
                  </w:r>
                </w:p>
              </w:tc>
              <w:tc>
                <w:tcPr>
                  <w:tcW w:w="439" w:type="pct"/>
                  <w:vMerge w:val="restart"/>
                  <w:tcBorders>
                    <w:tl2br w:val="nil"/>
                    <w:tr2bl w:val="nil"/>
                  </w:tcBorders>
                  <w:vAlign w:val="center"/>
                </w:tcPr>
                <w:p w14:paraId="119712EB">
                  <w:pPr>
                    <w:pStyle w:val="30"/>
                    <w:bidi w:val="0"/>
                    <w:rPr>
                      <w:rFonts w:ascii="Times New Roman" w:hAnsi="Times New Roman" w:eastAsia="宋体"/>
                      <w:color w:val="auto"/>
                      <w:lang w:val="en-US" w:eastAsia="zh-CN"/>
                    </w:rPr>
                  </w:pPr>
                  <w:r>
                    <w:rPr>
                      <w:rFonts w:hint="eastAsia" w:ascii="Times New Roman" w:hAnsi="Times New Roman" w:eastAsia="宋体"/>
                      <w:color w:val="auto"/>
                    </w:rPr>
                    <w:t>符合</w:t>
                  </w:r>
                </w:p>
                <w:p w14:paraId="517DF96E">
                  <w:pPr>
                    <w:pStyle w:val="30"/>
                    <w:bidi w:val="0"/>
                    <w:rPr>
                      <w:rFonts w:ascii="Times New Roman" w:hAnsi="Times New Roman" w:eastAsia="宋体"/>
                      <w:color w:val="auto"/>
                      <w:lang w:val="en-US" w:eastAsia="zh-CN"/>
                    </w:rPr>
                  </w:pPr>
                </w:p>
              </w:tc>
            </w:tr>
            <w:tr w14:paraId="5255A8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698EC13">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6072C02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68470FA5">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2、使用高VOCs含量的溶剂型涂料、油墨、</w:t>
                  </w:r>
                  <w:r>
                    <w:rPr>
                      <w:rFonts w:hint="eastAsia" w:ascii="Times New Roman"/>
                      <w:color w:val="auto"/>
                      <w:lang w:val="en-US" w:eastAsia="zh-CN"/>
                    </w:rPr>
                    <w:t>胶黏剂</w:t>
                  </w:r>
                  <w:r>
                    <w:rPr>
                      <w:rFonts w:ascii="Times New Roman" w:hAnsi="Times New Roman" w:eastAsia="宋体"/>
                      <w:color w:val="auto"/>
                      <w:lang w:val="en-US" w:eastAsia="zh-CN"/>
                    </w:rPr>
                    <w:t>等项目。</w:t>
                  </w:r>
                </w:p>
              </w:tc>
              <w:tc>
                <w:tcPr>
                  <w:tcW w:w="1286" w:type="pct"/>
                  <w:tcBorders>
                    <w:tl2br w:val="nil"/>
                    <w:tr2bl w:val="nil"/>
                  </w:tcBorders>
                  <w:vAlign w:val="center"/>
                </w:tcPr>
                <w:p w14:paraId="2669C7B0">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本项目不使用</w:t>
                  </w:r>
                  <w:r>
                    <w:rPr>
                      <w:rFonts w:ascii="Times New Roman" w:hAnsi="Times New Roman" w:eastAsia="宋体"/>
                      <w:color w:val="auto"/>
                      <w:lang w:val="en-US" w:eastAsia="zh-CN"/>
                    </w:rPr>
                    <w:t>溶剂</w:t>
                  </w:r>
                  <w:r>
                    <w:rPr>
                      <w:rFonts w:hint="eastAsia" w:ascii="Times New Roman"/>
                      <w:color w:val="auto"/>
                      <w:lang w:val="en-US" w:eastAsia="zh-CN"/>
                    </w:rPr>
                    <w:t>性</w:t>
                  </w:r>
                  <w:r>
                    <w:rPr>
                      <w:rFonts w:ascii="Times New Roman" w:hAnsi="Times New Roman" w:eastAsia="宋体"/>
                      <w:color w:val="auto"/>
                      <w:lang w:val="en-US" w:eastAsia="zh-CN"/>
                    </w:rPr>
                    <w:t>涂料、油墨、</w:t>
                  </w:r>
                  <w:r>
                    <w:rPr>
                      <w:rFonts w:hint="eastAsia" w:ascii="Times New Roman"/>
                      <w:color w:val="auto"/>
                      <w:lang w:val="en-US" w:eastAsia="zh-CN"/>
                    </w:rPr>
                    <w:t>胶黏剂。</w:t>
                  </w:r>
                </w:p>
              </w:tc>
              <w:tc>
                <w:tcPr>
                  <w:tcW w:w="439" w:type="pct"/>
                  <w:vMerge w:val="continue"/>
                  <w:tcBorders>
                    <w:tl2br w:val="nil"/>
                    <w:tr2bl w:val="nil"/>
                  </w:tcBorders>
                  <w:vAlign w:val="center"/>
                </w:tcPr>
                <w:p w14:paraId="3016D4E4">
                  <w:pPr>
                    <w:pStyle w:val="30"/>
                    <w:bidi w:val="0"/>
                    <w:rPr>
                      <w:rFonts w:ascii="Times New Roman" w:hAnsi="Times New Roman" w:eastAsia="宋体"/>
                      <w:color w:val="auto"/>
                      <w:lang w:val="en-US" w:eastAsia="zh-CN"/>
                    </w:rPr>
                  </w:pPr>
                </w:p>
              </w:tc>
            </w:tr>
            <w:tr w14:paraId="41C00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5EE55D21">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21FE11">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158EC94">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3、新建排放铅、汞、铬、镉和类金属砷的项目。</w:t>
                  </w:r>
                </w:p>
              </w:tc>
              <w:tc>
                <w:tcPr>
                  <w:tcW w:w="1286" w:type="pct"/>
                  <w:tcBorders>
                    <w:tl2br w:val="nil"/>
                    <w:tr2bl w:val="nil"/>
                  </w:tcBorders>
                  <w:vAlign w:val="center"/>
                </w:tcPr>
                <w:p w14:paraId="4BF085DE">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本项目不属于排放铅、汞、铬、镉和类金属砷的项目。</w:t>
                  </w:r>
                </w:p>
              </w:tc>
              <w:tc>
                <w:tcPr>
                  <w:tcW w:w="439" w:type="pct"/>
                  <w:vMerge w:val="continue"/>
                  <w:tcBorders>
                    <w:tl2br w:val="nil"/>
                    <w:tr2bl w:val="nil"/>
                  </w:tcBorders>
                  <w:vAlign w:val="center"/>
                </w:tcPr>
                <w:p w14:paraId="3441AA2A">
                  <w:pPr>
                    <w:pStyle w:val="30"/>
                    <w:bidi w:val="0"/>
                    <w:rPr>
                      <w:rFonts w:ascii="Times New Roman" w:hAnsi="Times New Roman" w:eastAsia="宋体"/>
                      <w:color w:val="auto"/>
                      <w:lang w:val="en-US" w:eastAsia="zh-CN"/>
                    </w:rPr>
                  </w:pPr>
                </w:p>
              </w:tc>
            </w:tr>
            <w:tr w14:paraId="37A09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14E75787">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47930ABE">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80DC5D9">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4、属于《淮河流域水污染防治暂行条例》中禁止的项目。</w:t>
                  </w:r>
                </w:p>
              </w:tc>
              <w:tc>
                <w:tcPr>
                  <w:tcW w:w="1286" w:type="pct"/>
                  <w:tcBorders>
                    <w:tl2br w:val="nil"/>
                    <w:tr2bl w:val="nil"/>
                  </w:tcBorders>
                  <w:vAlign w:val="center"/>
                </w:tcPr>
                <w:p w14:paraId="57EAF7A2">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属于《淮河流域水污染防治暂行条例》中禁止的项目</w:t>
                  </w:r>
                </w:p>
              </w:tc>
              <w:tc>
                <w:tcPr>
                  <w:tcW w:w="439" w:type="pct"/>
                  <w:vMerge w:val="continue"/>
                  <w:tcBorders>
                    <w:tl2br w:val="nil"/>
                    <w:tr2bl w:val="nil"/>
                  </w:tcBorders>
                  <w:vAlign w:val="center"/>
                </w:tcPr>
                <w:p w14:paraId="23BB3476">
                  <w:pPr>
                    <w:pStyle w:val="30"/>
                    <w:bidi w:val="0"/>
                    <w:rPr>
                      <w:rFonts w:ascii="Times New Roman" w:hAnsi="Times New Roman" w:eastAsia="宋体"/>
                      <w:color w:val="auto"/>
                      <w:lang w:val="en-US" w:eastAsia="zh-CN"/>
                    </w:rPr>
                  </w:pPr>
                </w:p>
              </w:tc>
            </w:tr>
            <w:tr w14:paraId="109A9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5E71E43">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6FD324F">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B79B59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》中“高污染、高环境风险”产品名录的项目；国家和地方产业政策规定的淘汰类或禁止类的建设项目和工艺。</w:t>
                  </w:r>
                </w:p>
              </w:tc>
              <w:tc>
                <w:tcPr>
                  <w:tcW w:w="1286" w:type="pct"/>
                  <w:tcBorders>
                    <w:tl2br w:val="nil"/>
                    <w:tr2bl w:val="nil"/>
                  </w:tcBorders>
                  <w:vAlign w:val="center"/>
                </w:tcPr>
                <w:p w14:paraId="32C9DBC1">
                  <w:pPr>
                    <w:pStyle w:val="30"/>
                    <w:bidi w:val="0"/>
                    <w:jc w:val="both"/>
                    <w:rPr>
                      <w:rFonts w:hint="default"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w:t>
                  </w:r>
                  <w:r>
                    <w:rPr>
                      <w:rFonts w:hint="eastAsia" w:ascii="Times New Roman"/>
                      <w:color w:val="auto"/>
                      <w:lang w:val="en-US" w:eastAsia="zh-CN"/>
                    </w:rPr>
                    <w:t>“</w:t>
                  </w:r>
                  <w:r>
                    <w:rPr>
                      <w:rFonts w:ascii="Times New Roman" w:hAnsi="Times New Roman" w:eastAsia="宋体"/>
                      <w:color w:val="auto"/>
                      <w:lang w:val="en-US" w:eastAsia="zh-CN"/>
                    </w:rPr>
                    <w:t>高污染、高环境风险</w:t>
                  </w:r>
                  <w:r>
                    <w:rPr>
                      <w:rFonts w:hint="eastAsia" w:ascii="Times New Roman"/>
                      <w:color w:val="auto"/>
                      <w:lang w:val="en-US" w:eastAsia="zh-CN"/>
                    </w:rPr>
                    <w:t>”</w:t>
                  </w:r>
                  <w:r>
                    <w:rPr>
                      <w:rFonts w:ascii="Times New Roman" w:hAnsi="Times New Roman" w:eastAsia="宋体"/>
                      <w:color w:val="auto"/>
                      <w:lang w:val="en-US" w:eastAsia="zh-CN"/>
                    </w:rPr>
                    <w:t>产品名录的项目</w:t>
                  </w:r>
                  <w:r>
                    <w:rPr>
                      <w:rFonts w:hint="eastAsia" w:ascii="Times New Roman"/>
                      <w:color w:val="auto"/>
                      <w:lang w:val="en-US" w:eastAsia="zh-CN"/>
                    </w:rPr>
                    <w:t>，不属于</w:t>
                  </w:r>
                  <w:r>
                    <w:rPr>
                      <w:rFonts w:ascii="Times New Roman" w:hAnsi="Times New Roman" w:eastAsia="宋体"/>
                      <w:color w:val="auto"/>
                      <w:lang w:val="en-US" w:eastAsia="zh-CN"/>
                    </w:rPr>
                    <w:t>国家和地方产业政策规定的淘汰类或禁止类</w:t>
                  </w:r>
                  <w:r>
                    <w:rPr>
                      <w:rFonts w:hint="eastAsia" w:ascii="Times New Roman"/>
                      <w:color w:val="auto"/>
                      <w:lang w:val="en-US" w:eastAsia="zh-CN"/>
                    </w:rPr>
                    <w:t>项目</w:t>
                  </w:r>
                </w:p>
              </w:tc>
              <w:tc>
                <w:tcPr>
                  <w:tcW w:w="439" w:type="pct"/>
                  <w:vMerge w:val="continue"/>
                  <w:tcBorders>
                    <w:tl2br w:val="nil"/>
                    <w:tr2bl w:val="nil"/>
                  </w:tcBorders>
                  <w:vAlign w:val="center"/>
                </w:tcPr>
                <w:p w14:paraId="56248F6A">
                  <w:pPr>
                    <w:pStyle w:val="30"/>
                    <w:bidi w:val="0"/>
                    <w:rPr>
                      <w:rFonts w:ascii="Times New Roman" w:hAnsi="Times New Roman" w:eastAsia="宋体"/>
                      <w:color w:val="auto"/>
                      <w:lang w:val="en-US" w:eastAsia="zh-CN"/>
                    </w:rPr>
                  </w:pPr>
                </w:p>
              </w:tc>
            </w:tr>
            <w:tr w14:paraId="7CBF56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1CC9AEBB">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3D472CC2">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限制引入</w:t>
                  </w:r>
                </w:p>
              </w:tc>
              <w:tc>
                <w:tcPr>
                  <w:tcW w:w="2738" w:type="pct"/>
                  <w:tcBorders>
                    <w:tl2br w:val="nil"/>
                    <w:tr2bl w:val="nil"/>
                  </w:tcBorders>
                  <w:vAlign w:val="center"/>
                </w:tcPr>
                <w:p w14:paraId="6EE712D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1、《产业结构调整指导目录》及修订、《江苏省工业和信息产业结构调整限制淘汰目录和能耗限额》中限制项目。</w:t>
                  </w:r>
                </w:p>
              </w:tc>
              <w:tc>
                <w:tcPr>
                  <w:tcW w:w="1286" w:type="pct"/>
                  <w:tcBorders>
                    <w:tl2br w:val="nil"/>
                    <w:tr2bl w:val="nil"/>
                  </w:tcBorders>
                  <w:vAlign w:val="center"/>
                </w:tcPr>
                <w:p w14:paraId="48D8C8A4">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本项目不属于限制项目</w:t>
                  </w:r>
                </w:p>
              </w:tc>
              <w:tc>
                <w:tcPr>
                  <w:tcW w:w="439" w:type="pct"/>
                  <w:vMerge w:val="restart"/>
                  <w:tcBorders>
                    <w:tl2br w:val="nil"/>
                    <w:tr2bl w:val="nil"/>
                  </w:tcBorders>
                  <w:vAlign w:val="center"/>
                </w:tcPr>
                <w:p w14:paraId="0DB92A9A">
                  <w:pPr>
                    <w:pStyle w:val="30"/>
                    <w:bidi w:val="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25FA3F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82C4A40">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7FA450B8">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2EB98F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2、污染治理措施达不到《挥发性有机物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江苏省重点行业挥发性有机物污染控制指南》等要求的项目。</w:t>
                  </w:r>
                </w:p>
              </w:tc>
              <w:tc>
                <w:tcPr>
                  <w:tcW w:w="1286" w:type="pct"/>
                  <w:tcBorders>
                    <w:tl2br w:val="nil"/>
                    <w:tr2bl w:val="nil"/>
                  </w:tcBorders>
                  <w:vAlign w:val="center"/>
                </w:tcPr>
                <w:p w14:paraId="7CB83AB9">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本项目有机废气采用二级活性炭吸附装置处理，</w:t>
                  </w:r>
                  <w:r>
                    <w:rPr>
                      <w:rFonts w:ascii="Times New Roman" w:hAnsi="Times New Roman" w:eastAsia="宋体"/>
                      <w:color w:val="auto"/>
                      <w:lang w:val="en-US" w:eastAsia="zh-CN"/>
                    </w:rPr>
                    <w:t>治理措施</w:t>
                  </w:r>
                  <w:r>
                    <w:rPr>
                      <w:rFonts w:hint="eastAsia" w:ascii="Times New Roman"/>
                      <w:color w:val="auto"/>
                      <w:lang w:val="en-US" w:eastAsia="zh-CN"/>
                    </w:rPr>
                    <w:t>能够达到</w:t>
                  </w:r>
                  <w:r>
                    <w:rPr>
                      <w:rFonts w:ascii="Times New Roman" w:hAnsi="Times New Roman" w:eastAsia="宋体"/>
                      <w:color w:val="auto"/>
                      <w:lang w:val="en-US" w:eastAsia="zh-CN"/>
                    </w:rPr>
                    <w:t>《挥发性有机物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w:t>
                  </w:r>
                  <w:r>
                    <w:rPr>
                      <w:rFonts w:hint="eastAsia" w:ascii="Times New Roman"/>
                      <w:color w:val="auto"/>
                      <w:lang w:val="en-US" w:eastAsia="zh-CN"/>
                    </w:rPr>
                    <w:t>标准</w:t>
                  </w:r>
                </w:p>
              </w:tc>
              <w:tc>
                <w:tcPr>
                  <w:tcW w:w="439" w:type="pct"/>
                  <w:vMerge w:val="continue"/>
                  <w:tcBorders>
                    <w:tl2br w:val="nil"/>
                    <w:tr2bl w:val="nil"/>
                  </w:tcBorders>
                  <w:vAlign w:val="center"/>
                </w:tcPr>
                <w:p w14:paraId="50D226A2">
                  <w:pPr>
                    <w:pStyle w:val="30"/>
                    <w:bidi w:val="0"/>
                    <w:rPr>
                      <w:rFonts w:ascii="Times New Roman" w:hAnsi="Times New Roman" w:eastAsia="宋体"/>
                      <w:color w:val="auto"/>
                      <w:lang w:val="en-US" w:eastAsia="zh-CN"/>
                    </w:rPr>
                  </w:pPr>
                </w:p>
              </w:tc>
            </w:tr>
            <w:tr w14:paraId="51B02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A6B2133">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2512B6D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759F9B1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3、属于《淮河流域水污染防治暂行条例》中限制的项目。</w:t>
                  </w:r>
                </w:p>
              </w:tc>
              <w:tc>
                <w:tcPr>
                  <w:tcW w:w="1286" w:type="pct"/>
                  <w:tcBorders>
                    <w:tl2br w:val="nil"/>
                    <w:tr2bl w:val="nil"/>
                  </w:tcBorders>
                  <w:vAlign w:val="center"/>
                </w:tcPr>
                <w:p w14:paraId="208990C4">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属于《淮河流域水污染防治暂行条例》中限制的项目</w:t>
                  </w:r>
                </w:p>
              </w:tc>
              <w:tc>
                <w:tcPr>
                  <w:tcW w:w="439" w:type="pct"/>
                  <w:vMerge w:val="continue"/>
                  <w:tcBorders>
                    <w:tl2br w:val="nil"/>
                    <w:tr2bl w:val="nil"/>
                  </w:tcBorders>
                  <w:vAlign w:val="center"/>
                </w:tcPr>
                <w:p w14:paraId="357A9757">
                  <w:pPr>
                    <w:pStyle w:val="30"/>
                    <w:bidi w:val="0"/>
                    <w:rPr>
                      <w:rFonts w:ascii="Times New Roman" w:hAnsi="Times New Roman" w:eastAsia="宋体"/>
                      <w:color w:val="auto"/>
                      <w:lang w:val="en-US" w:eastAsia="zh-CN"/>
                    </w:rPr>
                  </w:pPr>
                </w:p>
              </w:tc>
            </w:tr>
            <w:tr w14:paraId="01233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13BA8B5">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259DB77C">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43037E2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4、开发区印染排水量不得突破7000吨/日。</w:t>
                  </w:r>
                </w:p>
              </w:tc>
              <w:tc>
                <w:tcPr>
                  <w:tcW w:w="1286" w:type="pct"/>
                  <w:tcBorders>
                    <w:tl2br w:val="nil"/>
                    <w:tr2bl w:val="nil"/>
                  </w:tcBorders>
                  <w:vAlign w:val="center"/>
                </w:tcPr>
                <w:p w14:paraId="6A5FC428">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本项目不涉及印染废水。</w:t>
                  </w:r>
                </w:p>
              </w:tc>
              <w:tc>
                <w:tcPr>
                  <w:tcW w:w="439" w:type="pct"/>
                  <w:vMerge w:val="continue"/>
                  <w:tcBorders>
                    <w:tl2br w:val="nil"/>
                    <w:tr2bl w:val="nil"/>
                  </w:tcBorders>
                  <w:vAlign w:val="center"/>
                </w:tcPr>
                <w:p w14:paraId="47347705">
                  <w:pPr>
                    <w:pStyle w:val="30"/>
                    <w:bidi w:val="0"/>
                    <w:rPr>
                      <w:rFonts w:ascii="Times New Roman" w:hAnsi="Times New Roman" w:eastAsia="宋体"/>
                      <w:color w:val="auto"/>
                      <w:lang w:val="en-US" w:eastAsia="zh-CN"/>
                    </w:rPr>
                  </w:pPr>
                </w:p>
              </w:tc>
            </w:tr>
            <w:tr w14:paraId="7007DC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3C536922">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空间布局约束</w:t>
                  </w:r>
                </w:p>
              </w:tc>
              <w:tc>
                <w:tcPr>
                  <w:tcW w:w="2738" w:type="pct"/>
                  <w:tcBorders>
                    <w:tl2br w:val="nil"/>
                    <w:tr2bl w:val="nil"/>
                  </w:tcBorders>
                  <w:vAlign w:val="center"/>
                </w:tcPr>
                <w:p w14:paraId="4711271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落实江苏省、淮安市</w:t>
                  </w:r>
                  <w:r>
                    <w:rPr>
                      <w:rFonts w:hint="eastAsia" w:ascii="Times New Roman"/>
                      <w:color w:val="auto"/>
                      <w:lang w:val="en-US" w:eastAsia="zh-CN"/>
                    </w:rPr>
                    <w:t>“</w:t>
                  </w:r>
                  <w:r>
                    <w:rPr>
                      <w:rFonts w:ascii="Times New Roman" w:hAnsi="Times New Roman" w:eastAsia="宋体"/>
                      <w:color w:val="auto"/>
                      <w:lang w:val="en-US" w:eastAsia="zh-CN"/>
                    </w:rPr>
                    <w:t>三线一单</w:t>
                  </w:r>
                  <w:r>
                    <w:rPr>
                      <w:rFonts w:hint="eastAsia" w:ascii="Times New Roman"/>
                      <w:color w:val="auto"/>
                      <w:lang w:val="en-US" w:eastAsia="zh-CN"/>
                    </w:rPr>
                    <w:t>”《</w:t>
                  </w:r>
                  <w:r>
                    <w:rPr>
                      <w:rFonts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ascii="Times New Roman" w:hAnsi="Times New Roman" w:eastAsia="宋体"/>
                      <w:color w:val="auto"/>
                      <w:lang w:val="en-US" w:eastAsia="zh-CN"/>
                    </w:rPr>
                    <w:t>江苏省国家级生态保护红线规划</w:t>
                  </w:r>
                  <w:r>
                    <w:rPr>
                      <w:rFonts w:hint="eastAsia" w:ascii="Times New Roman"/>
                      <w:color w:val="auto"/>
                      <w:lang w:val="en-US" w:eastAsia="zh-CN"/>
                    </w:rPr>
                    <w:t>》等</w:t>
                  </w:r>
                  <w:r>
                    <w:rPr>
                      <w:rFonts w:ascii="Times New Roman" w:hAnsi="Times New Roman" w:eastAsia="宋体"/>
                      <w:color w:val="auto"/>
                      <w:lang w:val="en-US" w:eastAsia="zh-CN"/>
                    </w:rPr>
                    <w:t>管控要求。</w:t>
                  </w:r>
                </w:p>
              </w:tc>
              <w:tc>
                <w:tcPr>
                  <w:tcW w:w="1286" w:type="pct"/>
                  <w:tcBorders>
                    <w:tl2br w:val="nil"/>
                    <w:tr2bl w:val="nil"/>
                  </w:tcBorders>
                  <w:vAlign w:val="center"/>
                </w:tcPr>
                <w:p w14:paraId="34AD55C9">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本项目已</w:t>
                  </w:r>
                  <w:r>
                    <w:rPr>
                      <w:rFonts w:hint="eastAsia"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hint="eastAsia"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hint="eastAsia" w:ascii="Times New Roman" w:hAnsi="Times New Roman" w:eastAsia="宋体"/>
                      <w:color w:val="auto"/>
                      <w:lang w:val="en-US" w:eastAsia="zh-CN"/>
                    </w:rPr>
                    <w:t>江苏省国家级生态保护红线规划</w:t>
                  </w:r>
                  <w:r>
                    <w:rPr>
                      <w:rFonts w:hint="eastAsia" w:ascii="Times New Roman"/>
                      <w:color w:val="auto"/>
                      <w:lang w:val="en-US" w:eastAsia="zh-CN"/>
                    </w:rPr>
                    <w:t>》等</w:t>
                  </w:r>
                  <w:r>
                    <w:rPr>
                      <w:rFonts w:hint="eastAsia" w:ascii="Times New Roman" w:hAnsi="Times New Roman" w:eastAsia="宋体"/>
                      <w:color w:val="auto"/>
                      <w:lang w:val="en-US" w:eastAsia="zh-CN"/>
                    </w:rPr>
                    <w:t>管控要求</w:t>
                  </w:r>
                  <w:r>
                    <w:rPr>
                      <w:rFonts w:hint="eastAsia" w:ascii="Times New Roman"/>
                      <w:color w:val="auto"/>
                      <w:lang w:val="en-US" w:eastAsia="zh-CN"/>
                    </w:rPr>
                    <w:t>。</w:t>
                  </w:r>
                </w:p>
              </w:tc>
              <w:tc>
                <w:tcPr>
                  <w:tcW w:w="439" w:type="pct"/>
                  <w:vMerge w:val="restart"/>
                  <w:tcBorders>
                    <w:tl2br w:val="nil"/>
                    <w:tr2bl w:val="nil"/>
                  </w:tcBorders>
                  <w:vAlign w:val="center"/>
                </w:tcPr>
                <w:p w14:paraId="36ED994F">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38EAF0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2B1FC5A">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42924D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区内规划的水域和防护绿地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禁止与环境保护功能无关的建设活动。</w:t>
                  </w:r>
                </w:p>
              </w:tc>
              <w:tc>
                <w:tcPr>
                  <w:tcW w:w="1286" w:type="pct"/>
                  <w:tcBorders>
                    <w:tl2br w:val="nil"/>
                    <w:tr2bl w:val="nil"/>
                  </w:tcBorders>
                  <w:vAlign w:val="center"/>
                </w:tcPr>
                <w:p w14:paraId="29DA248C">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本项目用地性质为工业用地，不涉及区内规划的水域和防护绿地。</w:t>
                  </w:r>
                </w:p>
              </w:tc>
              <w:tc>
                <w:tcPr>
                  <w:tcW w:w="439" w:type="pct"/>
                  <w:vMerge w:val="continue"/>
                  <w:tcBorders>
                    <w:tl2br w:val="nil"/>
                    <w:tr2bl w:val="nil"/>
                  </w:tcBorders>
                  <w:vAlign w:val="center"/>
                </w:tcPr>
                <w:p w14:paraId="6C9C55E9">
                  <w:pPr>
                    <w:pStyle w:val="30"/>
                    <w:bidi w:val="0"/>
                    <w:rPr>
                      <w:rFonts w:ascii="Times New Roman" w:hAnsi="Times New Roman" w:eastAsia="宋体"/>
                      <w:color w:val="auto"/>
                      <w:lang w:val="en-US" w:eastAsia="zh-CN"/>
                    </w:rPr>
                  </w:pPr>
                </w:p>
              </w:tc>
            </w:tr>
            <w:tr w14:paraId="672EB2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69BC44A2">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7016D4B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工业用地与居住用地、商住混合用地、学校之间须设置适当的空间隔离带。</w:t>
                  </w:r>
                </w:p>
              </w:tc>
              <w:tc>
                <w:tcPr>
                  <w:tcW w:w="1286" w:type="pct"/>
                  <w:tcBorders>
                    <w:tl2br w:val="nil"/>
                    <w:tr2bl w:val="nil"/>
                  </w:tcBorders>
                  <w:vAlign w:val="center"/>
                </w:tcPr>
                <w:p w14:paraId="11A50A45">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工业用地</w:t>
                  </w:r>
                  <w:r>
                    <w:rPr>
                      <w:rFonts w:ascii="Times New Roman" w:hAnsi="Times New Roman" w:eastAsia="宋体"/>
                      <w:color w:val="auto"/>
                      <w:lang w:val="en-US" w:eastAsia="zh-CN"/>
                    </w:rPr>
                    <w:t>与居住用地、商住混合用地、学校之间</w:t>
                  </w:r>
                  <w:r>
                    <w:rPr>
                      <w:rFonts w:hint="eastAsia" w:ascii="Times New Roman" w:hAnsi="Times New Roman" w:eastAsia="宋体"/>
                      <w:color w:val="auto"/>
                      <w:lang w:val="en-US" w:eastAsia="zh-CN"/>
                    </w:rPr>
                    <w:t>存在</w:t>
                  </w:r>
                  <w:r>
                    <w:rPr>
                      <w:rFonts w:ascii="Times New Roman" w:hAnsi="Times New Roman" w:eastAsia="宋体"/>
                      <w:color w:val="auto"/>
                      <w:lang w:val="en-US" w:eastAsia="zh-CN"/>
                    </w:rPr>
                    <w:t>适当的空间隔离带</w:t>
                  </w:r>
                  <w:r>
                    <w:rPr>
                      <w:rFonts w:hint="eastAsia" w:ascii="Times New Roman"/>
                      <w:color w:val="auto"/>
                      <w:lang w:val="en-US" w:eastAsia="zh-CN"/>
                    </w:rPr>
                    <w:t>。</w:t>
                  </w:r>
                </w:p>
              </w:tc>
              <w:tc>
                <w:tcPr>
                  <w:tcW w:w="439" w:type="pct"/>
                  <w:vMerge w:val="continue"/>
                  <w:tcBorders>
                    <w:tl2br w:val="nil"/>
                    <w:tr2bl w:val="nil"/>
                  </w:tcBorders>
                  <w:vAlign w:val="center"/>
                </w:tcPr>
                <w:p w14:paraId="6DEBD221">
                  <w:pPr>
                    <w:pStyle w:val="30"/>
                    <w:bidi w:val="0"/>
                    <w:rPr>
                      <w:rFonts w:ascii="Times New Roman" w:hAnsi="Times New Roman" w:eastAsia="宋体"/>
                      <w:color w:val="auto"/>
                      <w:lang w:val="en-US" w:eastAsia="zh-CN"/>
                    </w:rPr>
                  </w:pPr>
                </w:p>
              </w:tc>
            </w:tr>
            <w:tr w14:paraId="37D433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1AA9727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污染物排放管控</w:t>
                  </w:r>
                </w:p>
              </w:tc>
              <w:tc>
                <w:tcPr>
                  <w:tcW w:w="268" w:type="pct"/>
                  <w:vMerge w:val="restart"/>
                  <w:tcBorders>
                    <w:tl2br w:val="nil"/>
                    <w:tr2bl w:val="nil"/>
                  </w:tcBorders>
                  <w:vAlign w:val="center"/>
                </w:tcPr>
                <w:p w14:paraId="79484DEA">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总体要求</w:t>
                  </w:r>
                </w:p>
              </w:tc>
              <w:tc>
                <w:tcPr>
                  <w:tcW w:w="2738" w:type="pct"/>
                  <w:tcBorders>
                    <w:tl2br w:val="nil"/>
                    <w:tr2bl w:val="nil"/>
                  </w:tcBorders>
                  <w:vAlign w:val="center"/>
                </w:tcPr>
                <w:p w14:paraId="172FAF3F">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hint="eastAsia" w:ascii="Times New Roman" w:hAnsi="Times New Roman" w:eastAsia="宋体"/>
                      <w:color w:val="auto"/>
                      <w:lang w:val="en-US" w:eastAsia="zh-CN"/>
                    </w:rPr>
                  </w:pPr>
                  <w:r>
                    <w:rPr>
                      <w:rFonts w:ascii="Times New Roman" w:hAnsi="Times New Roman" w:eastAsia="宋体"/>
                      <w:color w:val="auto"/>
                      <w:lang w:val="en-US" w:eastAsia="zh-CN"/>
                    </w:rPr>
                    <w:t>1、工业项目排放污染物必须达到国家和地方规定的污染物排放标准。</w:t>
                  </w:r>
                </w:p>
              </w:tc>
              <w:tc>
                <w:tcPr>
                  <w:tcW w:w="1286" w:type="pct"/>
                  <w:tcBorders>
                    <w:tl2br w:val="nil"/>
                    <w:tr2bl w:val="nil"/>
                  </w:tcBorders>
                  <w:vAlign w:val="center"/>
                </w:tcPr>
                <w:p w14:paraId="156870AD">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本项目非甲烷总烃的排放达到江苏省地方标准《大气污染物综合排放标准》（DB32/4041-2021），生活污水依托租赁企业厂区内现有化粪池预处理后接管至涟水经济开发区西区污水处理厂集中处理</w:t>
                  </w:r>
                </w:p>
              </w:tc>
              <w:tc>
                <w:tcPr>
                  <w:tcW w:w="439" w:type="pct"/>
                  <w:vMerge w:val="restart"/>
                  <w:tcBorders>
                    <w:tl2br w:val="nil"/>
                    <w:tr2bl w:val="nil"/>
                  </w:tcBorders>
                  <w:vAlign w:val="center"/>
                </w:tcPr>
                <w:p w14:paraId="325C2D91">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3E4B8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68E1362">
                  <w:pPr>
                    <w:pStyle w:val="30"/>
                    <w:bidi w:val="0"/>
                    <w:rPr>
                      <w:rFonts w:hint="eastAsia" w:ascii="Times New Roman" w:hAnsi="Times New Roman" w:eastAsia="宋体"/>
                      <w:b/>
                      <w:bCs/>
                      <w:color w:val="auto"/>
                      <w:lang w:val="en-US" w:eastAsia="zh-CN"/>
                    </w:rPr>
                  </w:pPr>
                </w:p>
              </w:tc>
              <w:tc>
                <w:tcPr>
                  <w:tcW w:w="268" w:type="pct"/>
                  <w:vMerge w:val="continue"/>
                  <w:tcBorders>
                    <w:tl2br w:val="nil"/>
                    <w:tr2bl w:val="nil"/>
                  </w:tcBorders>
                  <w:vAlign w:val="center"/>
                </w:tcPr>
                <w:p w14:paraId="752523E6">
                  <w:pPr>
                    <w:pStyle w:val="30"/>
                    <w:bidi w:val="0"/>
                    <w:rPr>
                      <w:rFonts w:hint="eastAsia" w:ascii="Times New Roman" w:hAnsi="Times New Roman" w:eastAsia="宋体"/>
                      <w:b/>
                      <w:bCs/>
                      <w:color w:val="auto"/>
                      <w:lang w:val="en-US" w:eastAsia="zh-CN"/>
                    </w:rPr>
                  </w:pPr>
                </w:p>
              </w:tc>
              <w:tc>
                <w:tcPr>
                  <w:tcW w:w="2738" w:type="pct"/>
                  <w:tcBorders>
                    <w:tl2br w:val="nil"/>
                    <w:tr2bl w:val="nil"/>
                  </w:tcBorders>
                  <w:vAlign w:val="center"/>
                </w:tcPr>
                <w:p w14:paraId="45F9A649">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2、园区内企业清洁生产水平达到国内先进水平。</w:t>
                  </w:r>
                </w:p>
              </w:tc>
              <w:tc>
                <w:tcPr>
                  <w:tcW w:w="1286" w:type="pct"/>
                  <w:tcBorders>
                    <w:tl2br w:val="nil"/>
                    <w:tr2bl w:val="nil"/>
                  </w:tcBorders>
                  <w:vAlign w:val="center"/>
                </w:tcPr>
                <w:p w14:paraId="3BD71F40">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w:t>
                  </w:r>
                  <w:r>
                    <w:rPr>
                      <w:rFonts w:hint="eastAsia" w:ascii="Times New Roman" w:hAnsi="Times New Roman" w:eastAsia="宋体"/>
                      <w:color w:val="auto"/>
                      <w:lang w:val="en-US" w:eastAsia="zh-CN"/>
                    </w:rPr>
                    <w:t>清洁生产水平达到国内先进水平</w:t>
                  </w:r>
                </w:p>
              </w:tc>
              <w:tc>
                <w:tcPr>
                  <w:tcW w:w="439" w:type="pct"/>
                  <w:vMerge w:val="continue"/>
                  <w:tcBorders>
                    <w:tl2br w:val="nil"/>
                    <w:tr2bl w:val="nil"/>
                  </w:tcBorders>
                  <w:vAlign w:val="center"/>
                </w:tcPr>
                <w:p w14:paraId="0FBB8B80">
                  <w:pPr>
                    <w:pStyle w:val="30"/>
                    <w:bidi w:val="0"/>
                    <w:rPr>
                      <w:rFonts w:ascii="Times New Roman" w:hAnsi="Times New Roman" w:eastAsia="宋体"/>
                      <w:color w:val="auto"/>
                      <w:lang w:val="en-US" w:eastAsia="zh-CN"/>
                    </w:rPr>
                  </w:pPr>
                </w:p>
              </w:tc>
            </w:tr>
            <w:tr w14:paraId="53DBA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6F9FE6B">
                  <w:pPr>
                    <w:pStyle w:val="30"/>
                    <w:bidi w:val="0"/>
                    <w:rPr>
                      <w:rFonts w:hint="eastAsia" w:ascii="Times New Roman" w:hAnsi="Times New Roman" w:eastAsia="宋体"/>
                      <w:b/>
                      <w:bCs/>
                      <w:color w:val="auto"/>
                      <w:lang w:val="en-US" w:eastAsia="zh-CN"/>
                    </w:rPr>
                  </w:pPr>
                </w:p>
              </w:tc>
              <w:tc>
                <w:tcPr>
                  <w:tcW w:w="268" w:type="pct"/>
                  <w:vMerge w:val="continue"/>
                  <w:tcBorders>
                    <w:tl2br w:val="nil"/>
                    <w:tr2bl w:val="nil"/>
                  </w:tcBorders>
                  <w:vAlign w:val="center"/>
                </w:tcPr>
                <w:p w14:paraId="1B2647C7">
                  <w:pPr>
                    <w:pStyle w:val="30"/>
                    <w:bidi w:val="0"/>
                    <w:rPr>
                      <w:rFonts w:hint="eastAsia" w:ascii="Times New Roman" w:hAnsi="Times New Roman" w:eastAsia="宋体"/>
                      <w:b/>
                      <w:bCs/>
                      <w:color w:val="auto"/>
                      <w:lang w:val="en-US" w:eastAsia="zh-CN"/>
                    </w:rPr>
                  </w:pPr>
                </w:p>
              </w:tc>
              <w:tc>
                <w:tcPr>
                  <w:tcW w:w="2738" w:type="pct"/>
                  <w:tcBorders>
                    <w:tl2br w:val="nil"/>
                    <w:tr2bl w:val="nil"/>
                  </w:tcBorders>
                  <w:vAlign w:val="center"/>
                </w:tcPr>
                <w:p w14:paraId="10DCEA9B">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3、西区污水处理厂现状为城镇污水处理厂</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严禁接入不能被污水处理厂有效处理或可能影响污水处理厂出水水质达标的工业废水。</w:t>
                  </w:r>
                </w:p>
              </w:tc>
              <w:tc>
                <w:tcPr>
                  <w:tcW w:w="1286" w:type="pct"/>
                  <w:tcBorders>
                    <w:tl2br w:val="nil"/>
                    <w:tr2bl w:val="nil"/>
                  </w:tcBorders>
                  <w:vAlign w:val="center"/>
                </w:tcPr>
                <w:p w14:paraId="4B2D34F4">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本项目无生产废水</w:t>
                  </w:r>
                </w:p>
              </w:tc>
              <w:tc>
                <w:tcPr>
                  <w:tcW w:w="439" w:type="pct"/>
                  <w:vMerge w:val="continue"/>
                  <w:tcBorders>
                    <w:tl2br w:val="nil"/>
                    <w:tr2bl w:val="nil"/>
                  </w:tcBorders>
                  <w:vAlign w:val="center"/>
                </w:tcPr>
                <w:p w14:paraId="7CA5A4D5">
                  <w:pPr>
                    <w:pStyle w:val="30"/>
                    <w:bidi w:val="0"/>
                    <w:rPr>
                      <w:rFonts w:ascii="Times New Roman" w:hAnsi="Times New Roman" w:eastAsia="宋体"/>
                      <w:color w:val="auto"/>
                      <w:lang w:val="en-US" w:eastAsia="zh-CN"/>
                    </w:rPr>
                  </w:pPr>
                </w:p>
              </w:tc>
            </w:tr>
            <w:tr w14:paraId="09D64F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5815D438">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1CD86C2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环境质量</w:t>
                  </w:r>
                </w:p>
              </w:tc>
              <w:tc>
                <w:tcPr>
                  <w:tcW w:w="2738" w:type="pct"/>
                  <w:tcBorders>
                    <w:tl2br w:val="nil"/>
                    <w:tr2bl w:val="nil"/>
                  </w:tcBorders>
                  <w:vAlign w:val="center"/>
                </w:tcPr>
                <w:p w14:paraId="3464CF8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1、大气环境质量达到《环境空气质量标准》二级标准、《环境影响评价技术导则大气环境》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HJ2.2-2018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附录D其他污染物空气质量浓度参考限值等 。</w:t>
                  </w:r>
                </w:p>
              </w:tc>
              <w:tc>
                <w:tcPr>
                  <w:tcW w:w="1286" w:type="pct"/>
                  <w:tcBorders>
                    <w:tl2br w:val="nil"/>
                    <w:tr2bl w:val="nil"/>
                  </w:tcBorders>
                  <w:vAlign w:val="center"/>
                </w:tcPr>
                <w:p w14:paraId="42E62D7B">
                  <w:pPr>
                    <w:pStyle w:val="30"/>
                    <w:bidi w:val="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根据《202</w:t>
                  </w:r>
                  <w:r>
                    <w:rPr>
                      <w:rFonts w:hint="eastAsia" w:ascii="Times New Roman"/>
                      <w:color w:val="auto"/>
                      <w:lang w:val="en-US" w:eastAsia="zh-CN"/>
                    </w:rPr>
                    <w:t>3</w:t>
                  </w:r>
                  <w:r>
                    <w:rPr>
                      <w:rFonts w:hint="default" w:ascii="Times New Roman" w:hAnsi="Times New Roman" w:eastAsia="宋体"/>
                      <w:color w:val="auto"/>
                      <w:lang w:val="en-US" w:eastAsia="zh-CN"/>
                    </w:rPr>
                    <w:t>年淮安市生态环境状况公报》</w:t>
                  </w:r>
                  <w:r>
                    <w:rPr>
                      <w:rFonts w:hint="eastAsia" w:ascii="Times New Roman" w:hAnsi="Times New Roman" w:eastAsia="宋体"/>
                      <w:color w:val="auto"/>
                      <w:lang w:val="en-US" w:eastAsia="zh-CN"/>
                    </w:rPr>
                    <w:t>，项目所在地大气环境质量</w:t>
                  </w:r>
                  <w:r>
                    <w:rPr>
                      <w:rFonts w:hint="eastAsia" w:ascii="Times New Roman"/>
                      <w:color w:val="auto"/>
                      <w:lang w:val="en-US" w:eastAsia="zh-CN"/>
                    </w:rPr>
                    <w:t>未</w:t>
                  </w:r>
                  <w:r>
                    <w:rPr>
                      <w:rFonts w:hint="eastAsia" w:ascii="Times New Roman" w:hAnsi="Times New Roman" w:eastAsia="宋体"/>
                      <w:color w:val="auto"/>
                      <w:lang w:val="en-US" w:eastAsia="zh-CN"/>
                    </w:rPr>
                    <w:t>达到《环境空气质量标准》二级标准</w:t>
                  </w:r>
                  <w:r>
                    <w:rPr>
                      <w:rFonts w:hint="eastAsia" w:ascii="Times New Roman"/>
                      <w:color w:val="auto"/>
                      <w:lang w:val="en-US" w:eastAsia="zh-CN"/>
                    </w:rPr>
                    <w:t>，不达标因子为PM</w:t>
                  </w:r>
                  <w:r>
                    <w:rPr>
                      <w:rFonts w:hint="eastAsia" w:ascii="Times New Roman"/>
                      <w:color w:val="auto"/>
                      <w:vertAlign w:val="subscript"/>
                      <w:lang w:val="en-US" w:eastAsia="zh-CN"/>
                    </w:rPr>
                    <w:t>2.5</w:t>
                  </w:r>
                  <w:r>
                    <w:rPr>
                      <w:rFonts w:hint="eastAsia" w:ascii="Times New Roman"/>
                      <w:color w:val="auto"/>
                      <w:vertAlign w:val="baseline"/>
                      <w:lang w:val="en-US" w:eastAsia="zh-CN"/>
                    </w:rPr>
                    <w:t>。</w:t>
                  </w:r>
                </w:p>
              </w:tc>
              <w:tc>
                <w:tcPr>
                  <w:tcW w:w="439" w:type="pct"/>
                  <w:vMerge w:val="restart"/>
                  <w:tcBorders>
                    <w:tl2br w:val="nil"/>
                    <w:tr2bl w:val="nil"/>
                  </w:tcBorders>
                  <w:vAlign w:val="center"/>
                </w:tcPr>
                <w:p w14:paraId="41955DF1">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1BD17E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9A2C730">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5F74C633">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1F0CA16">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2、盐河执行《地表水环境质量标准》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Ⅲ类、涟中总干渠执行《地表水环境质量标准》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hint="eastAsia" w:ascii="Times New Roman"/>
                      <w:color w:val="auto"/>
                      <w:lang w:val="en-US" w:eastAsia="zh-CN"/>
                    </w:rPr>
                    <w:t>Ⅳ类</w:t>
                  </w:r>
                  <w:r>
                    <w:rPr>
                      <w:rFonts w:ascii="Times New Roman" w:hAnsi="Times New Roman" w:eastAsia="宋体"/>
                      <w:color w:val="auto"/>
                      <w:lang w:val="en-US" w:eastAsia="zh-CN"/>
                    </w:rPr>
                    <w:t>水标准；公兴河2025年按</w:t>
                  </w:r>
                  <w:r>
                    <w:rPr>
                      <w:rFonts w:hint="eastAsia" w:ascii="Times New Roman"/>
                      <w:color w:val="auto"/>
                      <w:lang w:val="en-US" w:eastAsia="zh-CN"/>
                    </w:rPr>
                    <w:t>Ⅳ类</w:t>
                  </w:r>
                  <w:r>
                    <w:rPr>
                      <w:rFonts w:ascii="Times New Roman" w:hAnsi="Times New Roman" w:eastAsia="宋体"/>
                      <w:color w:val="auto"/>
                      <w:lang w:val="en-US" w:eastAsia="zh-CN"/>
                    </w:rPr>
                    <w:t>考核</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2030年执行Ⅲ类。</w:t>
                  </w:r>
                </w:p>
              </w:tc>
              <w:tc>
                <w:tcPr>
                  <w:tcW w:w="1286" w:type="pct"/>
                  <w:tcBorders>
                    <w:tl2br w:val="nil"/>
                    <w:tr2bl w:val="nil"/>
                  </w:tcBorders>
                  <w:vAlign w:val="center"/>
                </w:tcPr>
                <w:p w14:paraId="6EA66C73">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生活污水依托租赁企业厂区内现有化粪池预处理后接管至涟水经济开发区西区污水处理厂集中处理，尾水经祁六沟汇入公兴河，公兴河水质按《地表水环境质量标准》（GB3838-2002）</w:t>
                  </w:r>
                  <w:r>
                    <w:rPr>
                      <w:rFonts w:hint="eastAsia" w:ascii="Times New Roman"/>
                      <w:color w:val="auto"/>
                      <w:lang w:val="en-US" w:eastAsia="zh-CN"/>
                    </w:rPr>
                    <w:t>Ⅳ类</w:t>
                  </w:r>
                  <w:r>
                    <w:rPr>
                      <w:rFonts w:hint="eastAsia" w:ascii="Times New Roman" w:hAnsi="Times New Roman" w:eastAsia="宋体"/>
                      <w:color w:val="auto"/>
                      <w:lang w:val="en-US" w:eastAsia="zh-CN"/>
                    </w:rPr>
                    <w:t>水标准考核</w:t>
                  </w:r>
                  <w:r>
                    <w:rPr>
                      <w:rFonts w:hint="eastAsia" w:ascii="Times New Roman"/>
                      <w:color w:val="auto"/>
                      <w:lang w:val="en-US" w:eastAsia="zh-CN"/>
                    </w:rPr>
                    <w:t>。</w:t>
                  </w:r>
                </w:p>
              </w:tc>
              <w:tc>
                <w:tcPr>
                  <w:tcW w:w="439" w:type="pct"/>
                  <w:vMerge w:val="continue"/>
                  <w:tcBorders>
                    <w:tl2br w:val="nil"/>
                    <w:tr2bl w:val="nil"/>
                  </w:tcBorders>
                  <w:vAlign w:val="center"/>
                </w:tcPr>
                <w:p w14:paraId="5997ED9B">
                  <w:pPr>
                    <w:pStyle w:val="30"/>
                    <w:bidi w:val="0"/>
                    <w:rPr>
                      <w:rFonts w:ascii="Times New Roman" w:hAnsi="Times New Roman" w:eastAsia="宋体"/>
                      <w:color w:val="auto"/>
                      <w:lang w:val="en-US" w:eastAsia="zh-CN"/>
                    </w:rPr>
                  </w:pPr>
                </w:p>
              </w:tc>
            </w:tr>
            <w:tr w14:paraId="75165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61D0103">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235D64A6">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24A3631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3、土壤建设用地满足《土壤环境质量建设用地土壤污染风险管控标准》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GB36600-2018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筛选值中的第一类、第二类用地标准。</w:t>
                  </w:r>
                </w:p>
              </w:tc>
              <w:tc>
                <w:tcPr>
                  <w:tcW w:w="1286" w:type="pct"/>
                  <w:tcBorders>
                    <w:tl2br w:val="nil"/>
                    <w:tr2bl w:val="nil"/>
                  </w:tcBorders>
                  <w:vAlign w:val="center"/>
                </w:tcPr>
                <w:p w14:paraId="3B3F6612">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项目用地为工业用地</w:t>
                  </w:r>
                  <w:r>
                    <w:rPr>
                      <w:rFonts w:hint="eastAsia" w:ascii="Times New Roman"/>
                      <w:color w:val="auto"/>
                      <w:lang w:val="en-US" w:eastAsia="zh-CN"/>
                    </w:rPr>
                    <w:t>。</w:t>
                  </w:r>
                </w:p>
              </w:tc>
              <w:tc>
                <w:tcPr>
                  <w:tcW w:w="439" w:type="pct"/>
                  <w:vMerge w:val="continue"/>
                  <w:tcBorders>
                    <w:tl2br w:val="nil"/>
                    <w:tr2bl w:val="nil"/>
                  </w:tcBorders>
                  <w:vAlign w:val="center"/>
                </w:tcPr>
                <w:p w14:paraId="3B421CBF">
                  <w:pPr>
                    <w:pStyle w:val="30"/>
                    <w:bidi w:val="0"/>
                    <w:rPr>
                      <w:rFonts w:ascii="Times New Roman" w:hAnsi="Times New Roman" w:eastAsia="宋体"/>
                      <w:color w:val="auto"/>
                      <w:lang w:val="en-US" w:eastAsia="zh-CN"/>
                    </w:rPr>
                  </w:pPr>
                </w:p>
              </w:tc>
            </w:tr>
            <w:tr w14:paraId="52FE6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6D7839A">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53BCBAA8">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污染物排放总量</w:t>
                  </w:r>
                </w:p>
              </w:tc>
              <w:tc>
                <w:tcPr>
                  <w:tcW w:w="2738" w:type="pct"/>
                  <w:tcBorders>
                    <w:tl2br w:val="nil"/>
                    <w:tr2bl w:val="nil"/>
                  </w:tcBorders>
                  <w:vAlign w:val="center"/>
                </w:tcPr>
                <w:p w14:paraId="68AB7B6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w:t>
                  </w:r>
                  <w:r>
                    <w:rPr>
                      <w:rFonts w:hint="eastAsia" w:ascii="Times New Roman"/>
                      <w:color w:val="auto"/>
                      <w:lang w:val="en-US" w:eastAsia="zh-CN"/>
                    </w:rPr>
                    <w:t>空气污染物</w:t>
                  </w:r>
                  <w:r>
                    <w:rPr>
                      <w:rFonts w:ascii="Times New Roman" w:hAnsi="Times New Roman" w:eastAsia="宋体"/>
                      <w:color w:val="auto"/>
                      <w:lang w:val="en-US" w:eastAsia="zh-CN"/>
                    </w:rPr>
                    <w:t>：二氧化硫61.36吨/年、二氧化氮99.65吨/年、烟粉尘58.97吨/年、挥发性有机物80.7吨/年。</w:t>
                  </w:r>
                </w:p>
              </w:tc>
              <w:tc>
                <w:tcPr>
                  <w:tcW w:w="1286" w:type="pct"/>
                  <w:tcBorders>
                    <w:tl2br w:val="nil"/>
                    <w:tr2bl w:val="nil"/>
                  </w:tcBorders>
                  <w:vAlign w:val="center"/>
                </w:tcPr>
                <w:p w14:paraId="69E5CF75">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本项目有机废气</w:t>
                  </w:r>
                  <w:r>
                    <w:rPr>
                      <w:rFonts w:hint="eastAsia" w:ascii="Times New Roman"/>
                      <w:color w:val="auto"/>
                      <w:lang w:val="en-US" w:eastAsia="zh-CN"/>
                    </w:rPr>
                    <w:t>有组织</w:t>
                  </w:r>
                  <w:r>
                    <w:rPr>
                      <w:rFonts w:hint="eastAsia" w:ascii="Times New Roman" w:hAnsi="Times New Roman" w:eastAsia="宋体"/>
                      <w:color w:val="auto"/>
                      <w:lang w:val="en-US" w:eastAsia="zh-CN"/>
                    </w:rPr>
                    <w:t>排放量为</w:t>
                  </w:r>
                  <w:r>
                    <w:rPr>
                      <w:rFonts w:hint="eastAsia" w:ascii="Times New Roman"/>
                      <w:color w:val="auto"/>
                      <w:lang w:val="en-US" w:eastAsia="zh-CN"/>
                    </w:rPr>
                    <w:t>0.587t/a，颗粒物有组织排放量为0.081t/a。</w:t>
                  </w:r>
                </w:p>
              </w:tc>
              <w:tc>
                <w:tcPr>
                  <w:tcW w:w="439" w:type="pct"/>
                  <w:vMerge w:val="restart"/>
                  <w:tcBorders>
                    <w:tl2br w:val="nil"/>
                    <w:tr2bl w:val="nil"/>
                  </w:tcBorders>
                  <w:vAlign w:val="center"/>
                </w:tcPr>
                <w:p w14:paraId="0842D5BB">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6E8D8A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17AD1514">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48451AD8">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D8CE359">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废水量1480.18/1273.2万吨/年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COD6053.89/636.6吨/年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氨氮443.62/63.66吨/年、总磷91.5/6.37吨/年、总氮576.11/190.98吨/年</w:t>
                  </w:r>
                </w:p>
              </w:tc>
              <w:tc>
                <w:tcPr>
                  <w:tcW w:w="1286" w:type="pct"/>
                  <w:tcBorders>
                    <w:tl2br w:val="nil"/>
                    <w:tr2bl w:val="nil"/>
                  </w:tcBorders>
                  <w:vAlign w:val="center"/>
                </w:tcPr>
                <w:p w14:paraId="394C1F75">
                  <w:pPr>
                    <w:pStyle w:val="30"/>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w:t>
                  </w:r>
                  <w:r>
                    <w:rPr>
                      <w:rFonts w:hint="eastAsia" w:ascii="Times New Roman"/>
                      <w:color w:val="auto"/>
                      <w:lang w:val="en-US" w:eastAsia="zh-CN"/>
                    </w:rPr>
                    <w:t>192</w:t>
                  </w:r>
                  <w:r>
                    <w:rPr>
                      <w:rFonts w:ascii="Times New Roman" w:hAnsi="Times New Roman" w:eastAsia="宋体"/>
                      <w:color w:val="auto"/>
                      <w:lang w:val="en-US" w:eastAsia="zh-CN"/>
                    </w:rPr>
                    <w:t>/</w:t>
                  </w:r>
                  <w:r>
                    <w:rPr>
                      <w:rFonts w:hint="eastAsia" w:ascii="Times New Roman"/>
                      <w:color w:val="auto"/>
                      <w:lang w:val="en-US" w:eastAsia="zh-CN"/>
                    </w:rPr>
                    <w:t>192</w:t>
                  </w:r>
                  <w:r>
                    <w:rPr>
                      <w:rFonts w:hint="eastAsia" w:ascii="Times New Roman" w:hAnsi="Times New Roman" w:eastAsia="宋体"/>
                      <w:color w:val="auto"/>
                      <w:lang w:val="en-US" w:eastAsia="zh-CN"/>
                    </w:rPr>
                    <w:t>t/a</w:t>
                  </w:r>
                  <w:r>
                    <w:rPr>
                      <w:rFonts w:hint="eastAsia" w:ascii="Times New Roman"/>
                      <w:color w:val="auto"/>
                      <w:lang w:val="en-US" w:eastAsia="zh-CN"/>
                    </w:rPr>
                    <w:t>，</w:t>
                  </w:r>
                  <w:r>
                    <w:rPr>
                      <w:rFonts w:ascii="Times New Roman" w:hAnsi="Times New Roman" w:eastAsia="宋体"/>
                      <w:color w:val="auto"/>
                      <w:lang w:val="en-US" w:eastAsia="zh-CN"/>
                    </w:rPr>
                    <w:t>COD</w:t>
                  </w:r>
                  <w:r>
                    <w:rPr>
                      <w:rFonts w:hint="eastAsia" w:ascii="Times New Roman"/>
                      <w:color w:val="auto"/>
                      <w:lang w:val="en-US" w:eastAsia="zh-CN"/>
                    </w:rPr>
                    <w:t>0.048</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96</w:t>
                  </w:r>
                  <w:r>
                    <w:rPr>
                      <w:rFonts w:hint="eastAsia" w:ascii="Times New Roman" w:hAnsi="Times New Roman" w:eastAsia="宋体"/>
                      <w:color w:val="auto"/>
                      <w:lang w:val="en-US" w:eastAsia="zh-CN"/>
                    </w:rPr>
                    <w:t>t/a</w:t>
                  </w:r>
                  <w:r>
                    <w:rPr>
                      <w:rFonts w:hint="eastAsia" w:ascii="Times New Roman"/>
                      <w:color w:val="auto"/>
                      <w:lang w:val="en-US" w:eastAsia="zh-CN"/>
                    </w:rPr>
                    <w:t>、NH</w:t>
                  </w:r>
                  <w:r>
                    <w:rPr>
                      <w:rFonts w:hint="eastAsia" w:ascii="Times New Roman"/>
                      <w:color w:val="auto"/>
                      <w:vertAlign w:val="subscript"/>
                      <w:lang w:val="en-US" w:eastAsia="zh-CN"/>
                    </w:rPr>
                    <w:t>3</w:t>
                  </w:r>
                  <w:r>
                    <w:rPr>
                      <w:rFonts w:hint="eastAsia" w:ascii="Times New Roman"/>
                      <w:color w:val="auto"/>
                      <w:lang w:val="en-US" w:eastAsia="zh-CN"/>
                    </w:rPr>
                    <w:t>-N</w:t>
                  </w:r>
                  <w:r>
                    <w:rPr>
                      <w:rFonts w:hint="eastAsia" w:ascii="Times New Roman" w:hAnsi="Times New Roman" w:eastAsia="宋体"/>
                      <w:color w:val="auto"/>
                      <w:lang w:val="en-US" w:eastAsia="zh-CN"/>
                    </w:rPr>
                    <w:t>0.0</w:t>
                  </w:r>
                  <w:r>
                    <w:rPr>
                      <w:rFonts w:hint="eastAsia" w:ascii="Times New Roman"/>
                      <w:color w:val="auto"/>
                      <w:lang w:val="en-US" w:eastAsia="zh-CN"/>
                    </w:rPr>
                    <w:t>048</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1</w:t>
                  </w:r>
                  <w:r>
                    <w:rPr>
                      <w:rFonts w:hint="eastAsia" w:ascii="Times New Roman" w:hAnsi="Times New Roman" w:eastAsia="宋体"/>
                      <w:color w:val="auto"/>
                      <w:lang w:val="en-US" w:eastAsia="zh-CN"/>
                    </w:rPr>
                    <w:t>t/a</w:t>
                  </w:r>
                  <w:r>
                    <w:rPr>
                      <w:rFonts w:hint="eastAsia" w:ascii="Times New Roman"/>
                      <w:color w:val="auto"/>
                      <w:lang w:val="en-US" w:eastAsia="zh-CN"/>
                    </w:rPr>
                    <w:t>TP</w:t>
                  </w:r>
                  <w:r>
                    <w:rPr>
                      <w:rFonts w:hint="eastAsia" w:ascii="Times New Roman" w:hAnsi="Times New Roman" w:eastAsia="宋体"/>
                      <w:color w:val="auto"/>
                      <w:lang w:val="en-US" w:eastAsia="zh-CN"/>
                    </w:rPr>
                    <w:t>0.000</w:t>
                  </w:r>
                  <w:r>
                    <w:rPr>
                      <w:rFonts w:hint="eastAsia" w:ascii="Times New Roman"/>
                      <w:color w:val="auto"/>
                      <w:lang w:val="en-US" w:eastAsia="zh-CN"/>
                    </w:rPr>
                    <w:t>8</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0.0001t/a</w:t>
                  </w:r>
                  <w:r>
                    <w:rPr>
                      <w:rFonts w:hint="eastAsia" w:ascii="Times New Roman"/>
                      <w:color w:val="auto"/>
                      <w:lang w:val="en-US" w:eastAsia="zh-CN"/>
                    </w:rPr>
                    <w:t>、TN</w:t>
                  </w:r>
                  <w:r>
                    <w:rPr>
                      <w:rFonts w:hint="eastAsia" w:ascii="Times New Roman" w:hAnsi="Times New Roman" w:eastAsia="宋体"/>
                      <w:color w:val="auto"/>
                      <w:lang w:val="en-US" w:eastAsia="zh-CN"/>
                    </w:rPr>
                    <w:t>0.00</w:t>
                  </w:r>
                  <w:r>
                    <w:rPr>
                      <w:rFonts w:hint="eastAsia" w:ascii="Times New Roman"/>
                      <w:color w:val="auto"/>
                      <w:lang w:val="en-US" w:eastAsia="zh-CN"/>
                    </w:rPr>
                    <w:t>67</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29</w:t>
                  </w:r>
                  <w:r>
                    <w:rPr>
                      <w:rFonts w:hint="eastAsia" w:ascii="Times New Roman" w:hAnsi="Times New Roman" w:eastAsia="宋体"/>
                      <w:color w:val="auto"/>
                      <w:lang w:val="en-US" w:eastAsia="zh-CN"/>
                    </w:rPr>
                    <w:t>t/a</w:t>
                  </w:r>
                  <w:r>
                    <w:rPr>
                      <w:rFonts w:hint="eastAsia" w:ascii="Times New Roman"/>
                      <w:color w:val="auto"/>
                      <w:lang w:val="en-US" w:eastAsia="zh-CN"/>
                    </w:rPr>
                    <w:t>。</w:t>
                  </w:r>
                </w:p>
              </w:tc>
              <w:tc>
                <w:tcPr>
                  <w:tcW w:w="439" w:type="pct"/>
                  <w:vMerge w:val="continue"/>
                  <w:tcBorders>
                    <w:tl2br w:val="nil"/>
                    <w:tr2bl w:val="nil"/>
                  </w:tcBorders>
                  <w:vAlign w:val="center"/>
                </w:tcPr>
                <w:p w14:paraId="5B99AEA1">
                  <w:pPr>
                    <w:pStyle w:val="30"/>
                    <w:bidi w:val="0"/>
                    <w:rPr>
                      <w:rFonts w:ascii="Times New Roman" w:hAnsi="Times New Roman" w:eastAsia="宋体"/>
                      <w:color w:val="auto"/>
                      <w:lang w:val="en-US" w:eastAsia="zh-CN"/>
                    </w:rPr>
                  </w:pPr>
                </w:p>
              </w:tc>
            </w:tr>
            <w:tr w14:paraId="572BFA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D56DB57">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2073705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7798F28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3、固体废物： 一般工业固废73671.16t/a、危废废物1904.15 t/a。全部综合利用或者委外合法安全处置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1286" w:type="pct"/>
                  <w:tcBorders>
                    <w:tl2br w:val="nil"/>
                    <w:tr2bl w:val="nil"/>
                  </w:tcBorders>
                  <w:vAlign w:val="center"/>
                </w:tcPr>
                <w:p w14:paraId="77104ACE">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本项目固体废物</w:t>
                  </w:r>
                  <w:r>
                    <w:rPr>
                      <w:rFonts w:ascii="Times New Roman" w:hAnsi="Times New Roman" w:eastAsia="宋体"/>
                      <w:color w:val="auto"/>
                      <w:lang w:val="en-US" w:eastAsia="zh-CN"/>
                    </w:rPr>
                    <w:t>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439" w:type="pct"/>
                  <w:vMerge w:val="continue"/>
                  <w:tcBorders>
                    <w:tl2br w:val="nil"/>
                    <w:tr2bl w:val="nil"/>
                  </w:tcBorders>
                  <w:vAlign w:val="center"/>
                </w:tcPr>
                <w:p w14:paraId="319AC2B3">
                  <w:pPr>
                    <w:pStyle w:val="30"/>
                    <w:bidi w:val="0"/>
                    <w:rPr>
                      <w:rFonts w:ascii="Times New Roman" w:hAnsi="Times New Roman" w:eastAsia="宋体"/>
                      <w:color w:val="auto"/>
                      <w:lang w:val="en-US" w:eastAsia="zh-CN"/>
                    </w:rPr>
                  </w:pPr>
                </w:p>
              </w:tc>
            </w:tr>
            <w:tr w14:paraId="52071A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0DF3D9E7">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74AD62C1">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7E99C5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4、产生危险废物及一般固体废物的企事业单位</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在贮存、转移、利用固体废物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含危险废物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过程中</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应配套防扬散、防流失、防渗漏及其他防止污染环境的措施。</w:t>
                  </w:r>
                </w:p>
              </w:tc>
              <w:tc>
                <w:tcPr>
                  <w:tcW w:w="1286" w:type="pct"/>
                  <w:tcBorders>
                    <w:tl2br w:val="nil"/>
                    <w:tr2bl w:val="nil"/>
                  </w:tcBorders>
                  <w:vAlign w:val="center"/>
                </w:tcPr>
                <w:p w14:paraId="06EE0FD0">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本项目设置一般固废库和</w:t>
                  </w:r>
                  <w:r>
                    <w:rPr>
                      <w:rFonts w:hint="eastAsia" w:ascii="Times New Roman"/>
                      <w:color w:val="auto"/>
                      <w:lang w:val="en-US" w:eastAsia="zh-CN"/>
                    </w:rPr>
                    <w:t>危废贮存库</w:t>
                  </w:r>
                  <w:r>
                    <w:rPr>
                      <w:rFonts w:hint="eastAsia" w:ascii="Times New Roman" w:hAnsi="Times New Roman" w:eastAsia="宋体"/>
                      <w:color w:val="auto"/>
                      <w:lang w:val="en-US" w:eastAsia="zh-CN"/>
                    </w:rPr>
                    <w:t>，固体废物全部合理处置，可以实现零排放。</w:t>
                  </w:r>
                </w:p>
              </w:tc>
              <w:tc>
                <w:tcPr>
                  <w:tcW w:w="439" w:type="pct"/>
                  <w:vMerge w:val="continue"/>
                  <w:tcBorders>
                    <w:tl2br w:val="nil"/>
                    <w:tr2bl w:val="nil"/>
                  </w:tcBorders>
                  <w:vAlign w:val="center"/>
                </w:tcPr>
                <w:p w14:paraId="3830BDC5">
                  <w:pPr>
                    <w:pStyle w:val="30"/>
                    <w:bidi w:val="0"/>
                    <w:rPr>
                      <w:rFonts w:ascii="Times New Roman" w:hAnsi="Times New Roman" w:eastAsia="宋体"/>
                      <w:color w:val="auto"/>
                      <w:lang w:val="en-US" w:eastAsia="zh-CN"/>
                    </w:rPr>
                  </w:pPr>
                </w:p>
              </w:tc>
            </w:tr>
            <w:tr w14:paraId="54CC3B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2E4ABD9D">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环境风险防控</w:t>
                  </w:r>
                </w:p>
              </w:tc>
              <w:tc>
                <w:tcPr>
                  <w:tcW w:w="2738" w:type="pct"/>
                  <w:tcBorders>
                    <w:tl2br w:val="nil"/>
                    <w:tr2bl w:val="nil"/>
                  </w:tcBorders>
                  <w:vAlign w:val="center"/>
                </w:tcPr>
                <w:p w14:paraId="047E405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1、开发区应定期编制环境风险评估报告和应急预案；对于涉及易导致环境风险的有毒有害和易燃易爆物质的生产、使用、排放、贮存的企业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必须编制环境风险应急预案和风险评估报告并备案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严格按要求完善环境风险防范措施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定期开展演练。</w:t>
                  </w:r>
                </w:p>
              </w:tc>
              <w:tc>
                <w:tcPr>
                  <w:tcW w:w="1286" w:type="pct"/>
                  <w:tcBorders>
                    <w:tl2br w:val="nil"/>
                    <w:tr2bl w:val="nil"/>
                  </w:tcBorders>
                  <w:vAlign w:val="center"/>
                </w:tcPr>
                <w:p w14:paraId="07DD0245">
                  <w:pPr>
                    <w:pStyle w:val="30"/>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本项目将制定环境风险应急预案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建立完善的环境应急措施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并将应急装备和储备物资纳入储备体系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积极响应市、县、乡突发环境事件应急响应体系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并积极参加定期组织的演练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从而提高应急处置能力。</w:t>
                  </w:r>
                </w:p>
              </w:tc>
              <w:tc>
                <w:tcPr>
                  <w:tcW w:w="439" w:type="pct"/>
                  <w:vMerge w:val="restart"/>
                  <w:tcBorders>
                    <w:tl2br w:val="nil"/>
                    <w:tr2bl w:val="nil"/>
                  </w:tcBorders>
                  <w:vAlign w:val="center"/>
                </w:tcPr>
                <w:p w14:paraId="6CB28077">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5A2A79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C11D146">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2BCA531">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2、企业事业单位拆除设施、设备或者建筑物、构筑物的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应当采取相应的土壤污染防治措施。土壤污染重点监管单位拆除设施、设备或者建筑物、构筑物的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应当制定包括应急措施在内的土壤污染防治工作方案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报地方人民政府生态环境、工业和信息化主管部门备案并实施。</w:t>
                  </w:r>
                </w:p>
              </w:tc>
              <w:tc>
                <w:tcPr>
                  <w:tcW w:w="1286" w:type="pct"/>
                  <w:tcBorders>
                    <w:tl2br w:val="nil"/>
                    <w:tr2bl w:val="nil"/>
                  </w:tcBorders>
                  <w:vAlign w:val="center"/>
                </w:tcPr>
                <w:p w14:paraId="04906A0C">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本项目不涉及拆除工程。</w:t>
                  </w:r>
                </w:p>
              </w:tc>
              <w:tc>
                <w:tcPr>
                  <w:tcW w:w="439" w:type="pct"/>
                  <w:vMerge w:val="continue"/>
                  <w:tcBorders>
                    <w:tl2br w:val="nil"/>
                    <w:tr2bl w:val="nil"/>
                  </w:tcBorders>
                  <w:vAlign w:val="center"/>
                </w:tcPr>
                <w:p w14:paraId="578307D4">
                  <w:pPr>
                    <w:pStyle w:val="30"/>
                    <w:bidi w:val="0"/>
                    <w:rPr>
                      <w:rFonts w:ascii="Times New Roman" w:hAnsi="Times New Roman" w:eastAsia="宋体"/>
                      <w:color w:val="auto"/>
                      <w:lang w:val="en-US" w:eastAsia="zh-CN"/>
                    </w:rPr>
                  </w:pPr>
                </w:p>
              </w:tc>
            </w:tr>
            <w:tr w14:paraId="7A8392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0CBD22F4">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资源开发利用</w:t>
                  </w:r>
                </w:p>
              </w:tc>
              <w:tc>
                <w:tcPr>
                  <w:tcW w:w="2738" w:type="pct"/>
                  <w:tcBorders>
                    <w:tl2br w:val="nil"/>
                    <w:tr2bl w:val="nil"/>
                  </w:tcBorders>
                  <w:vAlign w:val="center"/>
                </w:tcPr>
                <w:p w14:paraId="56C2112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建设用地上限≤1387.44公顷；工业用地上限≤638.81公顷。</w:t>
                  </w:r>
                </w:p>
              </w:tc>
              <w:tc>
                <w:tcPr>
                  <w:tcW w:w="1286" w:type="pct"/>
                  <w:tcBorders>
                    <w:tl2br w:val="nil"/>
                    <w:tr2bl w:val="nil"/>
                  </w:tcBorders>
                  <w:vAlign w:val="center"/>
                </w:tcPr>
                <w:p w14:paraId="46D0F3BA">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属于江苏</w:t>
                  </w:r>
                  <w:r>
                    <w:rPr>
                      <w:rFonts w:hint="eastAsia" w:ascii="Times New Roman" w:hAnsi="Times New Roman" w:eastAsia="宋体"/>
                      <w:color w:val="auto"/>
                      <w:lang w:val="en-US" w:eastAsia="zh-CN"/>
                    </w:rPr>
                    <w:t>涟水经济开发区</w:t>
                  </w:r>
                  <w:r>
                    <w:rPr>
                      <w:rFonts w:hint="eastAsia" w:ascii="Times New Roman"/>
                      <w:color w:val="auto"/>
                      <w:lang w:val="en-US" w:eastAsia="zh-CN"/>
                    </w:rPr>
                    <w:t>内工业用地。</w:t>
                  </w:r>
                </w:p>
              </w:tc>
              <w:tc>
                <w:tcPr>
                  <w:tcW w:w="439" w:type="pct"/>
                  <w:vMerge w:val="restart"/>
                  <w:tcBorders>
                    <w:tl2br w:val="nil"/>
                    <w:tr2bl w:val="nil"/>
                  </w:tcBorders>
                  <w:vAlign w:val="center"/>
                </w:tcPr>
                <w:p w14:paraId="1E38861C">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759060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090E6C38">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3E2021E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单位工业增加值新鲜水耗≤3.0吨/万元。禁止开采利用地下水。</w:t>
                  </w:r>
                </w:p>
              </w:tc>
              <w:tc>
                <w:tcPr>
                  <w:tcW w:w="1286" w:type="pct"/>
                  <w:tcBorders>
                    <w:tl2br w:val="nil"/>
                    <w:tr2bl w:val="nil"/>
                  </w:tcBorders>
                  <w:vAlign w:val="center"/>
                </w:tcPr>
                <w:p w14:paraId="38F8633F">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ascii="Times New Roman" w:hAnsi="Times New Roman" w:eastAsia="宋体"/>
                      <w:color w:val="auto"/>
                      <w:lang w:val="en-US" w:eastAsia="zh-CN"/>
                    </w:rPr>
                    <w:t>单位工业增加值新鲜水耗</w:t>
                  </w:r>
                  <w:r>
                    <w:rPr>
                      <w:rFonts w:hint="eastAsia" w:ascii="Times New Roman"/>
                      <w:color w:val="auto"/>
                      <w:lang w:val="en-US" w:eastAsia="zh-CN"/>
                    </w:rPr>
                    <w:t>约为0.96</w:t>
                  </w:r>
                  <w:r>
                    <w:rPr>
                      <w:rFonts w:ascii="Times New Roman" w:hAnsi="Times New Roman" w:eastAsia="宋体"/>
                      <w:color w:val="auto"/>
                      <w:lang w:val="en-US" w:eastAsia="zh-CN"/>
                    </w:rPr>
                    <w:t>吨/万元</w:t>
                  </w:r>
                  <w:r>
                    <w:rPr>
                      <w:rFonts w:hint="eastAsia" w:ascii="Times New Roman"/>
                      <w:color w:val="auto"/>
                      <w:lang w:val="en-US" w:eastAsia="zh-CN"/>
                    </w:rPr>
                    <w:t>，不涉及地下水开采</w:t>
                  </w:r>
                </w:p>
              </w:tc>
              <w:tc>
                <w:tcPr>
                  <w:tcW w:w="439" w:type="pct"/>
                  <w:vMerge w:val="continue"/>
                  <w:tcBorders>
                    <w:tl2br w:val="nil"/>
                    <w:tr2bl w:val="nil"/>
                  </w:tcBorders>
                  <w:vAlign w:val="center"/>
                </w:tcPr>
                <w:p w14:paraId="099487EB">
                  <w:pPr>
                    <w:pStyle w:val="30"/>
                    <w:bidi w:val="0"/>
                    <w:rPr>
                      <w:rFonts w:ascii="Times New Roman" w:hAnsi="Times New Roman" w:eastAsia="宋体"/>
                      <w:color w:val="auto"/>
                      <w:lang w:val="en-US" w:eastAsia="zh-CN"/>
                    </w:rPr>
                  </w:pPr>
                </w:p>
              </w:tc>
            </w:tr>
            <w:tr w14:paraId="50B80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630DE77A">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70559E9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3、加强再生水回用工程建设</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西区污水处理厂回用率不低于25%。</w:t>
                  </w:r>
                </w:p>
              </w:tc>
              <w:tc>
                <w:tcPr>
                  <w:tcW w:w="1286" w:type="pct"/>
                  <w:tcBorders>
                    <w:tl2br w:val="nil"/>
                    <w:tr2bl w:val="nil"/>
                  </w:tcBorders>
                  <w:vAlign w:val="center"/>
                </w:tcPr>
                <w:p w14:paraId="2825BB82">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本项目不涉及</w:t>
                  </w:r>
                  <w:r>
                    <w:rPr>
                      <w:rFonts w:hint="eastAsia" w:ascii="Times New Roman" w:hAnsi="Times New Roman" w:eastAsia="宋体"/>
                      <w:color w:val="auto"/>
                      <w:lang w:val="en-US" w:eastAsia="zh-CN"/>
                    </w:rPr>
                    <w:t>再生水回用工程建设</w:t>
                  </w:r>
                  <w:r>
                    <w:rPr>
                      <w:rFonts w:hint="eastAsia" w:ascii="Times New Roman"/>
                      <w:color w:val="auto"/>
                      <w:lang w:val="en-US" w:eastAsia="zh-CN"/>
                    </w:rPr>
                    <w:t>。</w:t>
                  </w:r>
                </w:p>
              </w:tc>
              <w:tc>
                <w:tcPr>
                  <w:tcW w:w="439" w:type="pct"/>
                  <w:vMerge w:val="continue"/>
                  <w:tcBorders>
                    <w:tl2br w:val="nil"/>
                    <w:tr2bl w:val="nil"/>
                  </w:tcBorders>
                  <w:vAlign w:val="center"/>
                </w:tcPr>
                <w:p w14:paraId="7151D928">
                  <w:pPr>
                    <w:pStyle w:val="30"/>
                    <w:bidi w:val="0"/>
                    <w:rPr>
                      <w:rFonts w:ascii="Times New Roman" w:hAnsi="Times New Roman" w:eastAsia="宋体"/>
                      <w:color w:val="auto"/>
                      <w:lang w:val="en-US" w:eastAsia="zh-CN"/>
                    </w:rPr>
                  </w:pPr>
                </w:p>
              </w:tc>
            </w:tr>
            <w:tr w14:paraId="7A48A6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1A3AEADA">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004474F6">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单位工业增加值综合能耗≤0.24吨标煤/万元。禁止建设使用燃煤、重油等重污染燃料的项目。</w:t>
                  </w:r>
                </w:p>
              </w:tc>
              <w:tc>
                <w:tcPr>
                  <w:tcW w:w="1286" w:type="pct"/>
                  <w:tcBorders>
                    <w:tl2br w:val="nil"/>
                    <w:tr2bl w:val="nil"/>
                  </w:tcBorders>
                  <w:vAlign w:val="center"/>
                </w:tcPr>
                <w:p w14:paraId="5BF41CF5">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本项目不涉及地下水开采，使用电能</w:t>
                  </w:r>
                </w:p>
              </w:tc>
              <w:tc>
                <w:tcPr>
                  <w:tcW w:w="439" w:type="pct"/>
                  <w:vMerge w:val="continue"/>
                  <w:tcBorders>
                    <w:tl2br w:val="nil"/>
                    <w:tr2bl w:val="nil"/>
                  </w:tcBorders>
                  <w:vAlign w:val="center"/>
                </w:tcPr>
                <w:p w14:paraId="07D7023F">
                  <w:pPr>
                    <w:pStyle w:val="30"/>
                    <w:bidi w:val="0"/>
                    <w:rPr>
                      <w:rFonts w:ascii="Times New Roman" w:hAnsi="Times New Roman" w:eastAsia="宋体"/>
                      <w:color w:val="auto"/>
                      <w:lang w:val="en-US" w:eastAsia="zh-CN"/>
                    </w:rPr>
                  </w:pPr>
                </w:p>
              </w:tc>
            </w:tr>
            <w:tr w14:paraId="7ADD6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0CBFA0F">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06F9839A">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5、规划占用一般农用地128.47公顷</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 xml:space="preserve"> 一般农用地转为建设用地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须依法办理相关审批手续后方可开发利用。</w:t>
                  </w:r>
                </w:p>
              </w:tc>
              <w:tc>
                <w:tcPr>
                  <w:tcW w:w="1286" w:type="pct"/>
                  <w:tcBorders>
                    <w:tl2br w:val="nil"/>
                    <w:tr2bl w:val="nil"/>
                  </w:tcBorders>
                  <w:vAlign w:val="center"/>
                </w:tcPr>
                <w:p w14:paraId="415CC9A8">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w:t>
                  </w:r>
                </w:p>
              </w:tc>
              <w:tc>
                <w:tcPr>
                  <w:tcW w:w="439" w:type="pct"/>
                  <w:vMerge w:val="continue"/>
                  <w:tcBorders>
                    <w:tl2br w:val="nil"/>
                    <w:tr2bl w:val="nil"/>
                  </w:tcBorders>
                  <w:vAlign w:val="center"/>
                </w:tcPr>
                <w:p w14:paraId="4BB98DC6">
                  <w:pPr>
                    <w:pStyle w:val="30"/>
                    <w:bidi w:val="0"/>
                    <w:rPr>
                      <w:rFonts w:ascii="Times New Roman" w:hAnsi="Times New Roman" w:eastAsia="宋体"/>
                      <w:color w:val="auto"/>
                      <w:lang w:val="en-US" w:eastAsia="zh-CN"/>
                    </w:rPr>
                  </w:pPr>
                </w:p>
              </w:tc>
            </w:tr>
            <w:tr w14:paraId="13956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442C236">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36EB0076">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6、新建高耗能项目单位产品</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产值</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能耗要达到国际先进水平。</w:t>
                  </w:r>
                </w:p>
              </w:tc>
              <w:tc>
                <w:tcPr>
                  <w:tcW w:w="1286" w:type="pct"/>
                  <w:tcBorders>
                    <w:tl2br w:val="nil"/>
                    <w:tr2bl w:val="nil"/>
                  </w:tcBorders>
                  <w:vAlign w:val="center"/>
                </w:tcPr>
                <w:p w14:paraId="136D2186">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本项目不属于高耗能项目</w:t>
                  </w:r>
                </w:p>
              </w:tc>
              <w:tc>
                <w:tcPr>
                  <w:tcW w:w="439" w:type="pct"/>
                  <w:vMerge w:val="continue"/>
                  <w:tcBorders>
                    <w:tl2br w:val="nil"/>
                    <w:tr2bl w:val="nil"/>
                  </w:tcBorders>
                  <w:vAlign w:val="center"/>
                </w:tcPr>
                <w:p w14:paraId="604DB049">
                  <w:pPr>
                    <w:pStyle w:val="30"/>
                    <w:bidi w:val="0"/>
                    <w:rPr>
                      <w:rFonts w:ascii="Times New Roman" w:hAnsi="Times New Roman" w:eastAsia="宋体"/>
                      <w:color w:val="auto"/>
                      <w:lang w:val="en-US" w:eastAsia="zh-CN"/>
                    </w:rPr>
                  </w:pPr>
                </w:p>
              </w:tc>
            </w:tr>
          </w:tbl>
          <w:p w14:paraId="6EA8C0B5">
            <w:pPr>
              <w:keepNext w:val="0"/>
              <w:keepLines w:val="0"/>
              <w:pageBreakBefore w:val="0"/>
              <w:widowControl w:val="0"/>
              <w:kinsoku/>
              <w:wordWrap/>
              <w:overflowPunct/>
              <w:topLinePunct w:val="0"/>
              <w:bidi w:val="0"/>
              <w:spacing w:line="360" w:lineRule="auto"/>
              <w:ind w:firstLine="480" w:firstLineChars="200"/>
              <w:textAlignment w:val="auto"/>
              <w:rPr>
                <w:color w:val="auto"/>
                <w:sz w:val="24"/>
              </w:rPr>
            </w:pPr>
            <w:r>
              <w:rPr>
                <w:color w:val="auto"/>
                <w:sz w:val="24"/>
              </w:rPr>
              <w:t>综上所述，本项目符合</w:t>
            </w:r>
            <w:r>
              <w:rPr>
                <w:rFonts w:hint="eastAsia"/>
                <w:color w:val="auto"/>
                <w:sz w:val="24"/>
              </w:rPr>
              <w:t>“</w:t>
            </w:r>
            <w:r>
              <w:rPr>
                <w:color w:val="auto"/>
                <w:sz w:val="24"/>
              </w:rPr>
              <w:t>三线一单</w:t>
            </w:r>
            <w:r>
              <w:rPr>
                <w:rFonts w:hint="eastAsia"/>
                <w:color w:val="auto"/>
                <w:sz w:val="24"/>
              </w:rPr>
              <w:t>”</w:t>
            </w:r>
            <w:r>
              <w:rPr>
                <w:color w:val="auto"/>
                <w:sz w:val="24"/>
              </w:rPr>
              <w:t>要求。</w:t>
            </w:r>
          </w:p>
          <w:p w14:paraId="719A9E55">
            <w:pPr>
              <w:keepNext w:val="0"/>
              <w:keepLines w:val="0"/>
              <w:pageBreakBefore w:val="0"/>
              <w:widowControl w:val="0"/>
              <w:kinsoku/>
              <w:wordWrap/>
              <w:overflowPunct/>
              <w:topLinePunct w:val="0"/>
              <w:bidi w:val="0"/>
              <w:spacing w:line="360" w:lineRule="auto"/>
              <w:ind w:firstLine="480" w:firstLineChars="200"/>
              <w:textAlignment w:val="auto"/>
              <w:rPr>
                <w:b/>
                <w:bCs/>
                <w:color w:val="auto"/>
                <w:sz w:val="24"/>
              </w:rPr>
            </w:pPr>
            <w:r>
              <w:rPr>
                <w:b w:val="0"/>
                <w:bCs w:val="0"/>
                <w:color w:val="auto"/>
                <w:sz w:val="24"/>
              </w:rPr>
              <w:t>2、产业政策</w:t>
            </w:r>
            <w:r>
              <w:rPr>
                <w:rFonts w:hint="eastAsia"/>
                <w:b w:val="0"/>
                <w:bCs w:val="0"/>
                <w:color w:val="auto"/>
                <w:sz w:val="24"/>
              </w:rPr>
              <w:t>相符性</w:t>
            </w:r>
            <w:r>
              <w:rPr>
                <w:b w:val="0"/>
                <w:bCs w:val="0"/>
                <w:color w:val="auto"/>
                <w:sz w:val="24"/>
              </w:rPr>
              <w:t>分析</w:t>
            </w:r>
          </w:p>
          <w:p w14:paraId="6F489B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本项目为</w:t>
            </w:r>
            <w:r>
              <w:rPr>
                <w:rFonts w:hint="eastAsia"/>
                <w:color w:val="auto"/>
                <w:sz w:val="24"/>
                <w:lang w:val="en-US" w:eastAsia="zh-CN"/>
              </w:rPr>
              <w:t>涟水呈颖模塑有限公司年产50万件塑料手柄加工项目</w:t>
            </w:r>
            <w:r>
              <w:rPr>
                <w:color w:val="auto"/>
                <w:sz w:val="24"/>
              </w:rPr>
              <w:t>，属于</w:t>
            </w:r>
            <w:r>
              <w:rPr>
                <w:rFonts w:hint="eastAsia"/>
                <w:color w:val="auto"/>
                <w:sz w:val="24"/>
                <w:lang w:val="en-US" w:eastAsia="zh-CN"/>
              </w:rPr>
              <w:t>C2929塑料零件及其他塑料制品制造、C3062玻璃纤维增强塑料制品制造</w:t>
            </w:r>
            <w:r>
              <w:rPr>
                <w:color w:val="auto"/>
                <w:sz w:val="24"/>
              </w:rPr>
              <w:t>，年</w:t>
            </w:r>
            <w:r>
              <w:rPr>
                <w:rFonts w:hint="eastAsia"/>
                <w:color w:val="auto"/>
                <w:sz w:val="24"/>
                <w:lang w:val="en-US" w:eastAsia="zh-CN"/>
              </w:rPr>
              <w:t>生产塑料手柄50万件</w:t>
            </w:r>
            <w:r>
              <w:rPr>
                <w:rFonts w:hint="eastAsia"/>
                <w:color w:val="auto"/>
                <w:sz w:val="24"/>
              </w:rPr>
              <w:t>。项目不属于</w:t>
            </w:r>
            <w:r>
              <w:rPr>
                <w:color w:val="auto"/>
                <w:sz w:val="24"/>
              </w:rPr>
              <w:t>《产业结构调整指导目录》（20</w:t>
            </w:r>
            <w:r>
              <w:rPr>
                <w:rFonts w:hint="eastAsia"/>
                <w:color w:val="auto"/>
                <w:sz w:val="24"/>
                <w:lang w:val="en-US" w:eastAsia="zh-CN"/>
              </w:rPr>
              <w:t>24</w:t>
            </w:r>
            <w:r>
              <w:rPr>
                <w:color w:val="auto"/>
                <w:sz w:val="24"/>
              </w:rPr>
              <w:t>年本）</w:t>
            </w:r>
            <w:r>
              <w:rPr>
                <w:rFonts w:hint="eastAsia"/>
                <w:color w:val="auto"/>
                <w:sz w:val="24"/>
              </w:rPr>
              <w:t>中限制类、淘汰类</w:t>
            </w:r>
            <w:r>
              <w:rPr>
                <w:rFonts w:hint="eastAsia"/>
                <w:color w:val="auto"/>
                <w:sz w:val="24"/>
                <w:lang w:eastAsia="zh-CN"/>
              </w:rPr>
              <w:t>、</w:t>
            </w:r>
            <w:r>
              <w:rPr>
                <w:rFonts w:hint="eastAsia"/>
                <w:color w:val="auto"/>
                <w:sz w:val="24"/>
                <w:lang w:val="en-US" w:eastAsia="zh-CN"/>
              </w:rPr>
              <w:t>鼓励类</w:t>
            </w:r>
            <w:r>
              <w:rPr>
                <w:rFonts w:hint="eastAsia"/>
                <w:color w:val="auto"/>
                <w:sz w:val="24"/>
              </w:rPr>
              <w:t>项目，属于允许类项目；不属于《江苏省产业结构调整限制、淘汰和禁止目录》（苏办发</w:t>
            </w:r>
            <w:r>
              <w:rPr>
                <w:rFonts w:hint="eastAsia"/>
                <w:color w:val="auto"/>
                <w:sz w:val="24"/>
                <w:lang w:eastAsia="zh-CN"/>
              </w:rPr>
              <w:t>〔2018〕32号</w:t>
            </w:r>
            <w:r>
              <w:rPr>
                <w:rFonts w:hint="eastAsia"/>
                <w:color w:val="auto"/>
                <w:sz w:val="24"/>
              </w:rPr>
              <w:t>附件3</w:t>
            </w:r>
            <w:r>
              <w:rPr>
                <w:rFonts w:hint="eastAsia"/>
                <w:color w:val="auto"/>
                <w:sz w:val="24"/>
                <w:lang w:eastAsia="zh-CN"/>
              </w:rPr>
              <w:t>）</w:t>
            </w:r>
            <w:r>
              <w:rPr>
                <w:rFonts w:hint="eastAsia"/>
                <w:color w:val="auto"/>
                <w:sz w:val="24"/>
              </w:rPr>
              <w:t>中限制类、淘汰类和禁止类项目</w:t>
            </w:r>
            <w:r>
              <w:rPr>
                <w:color w:val="auto"/>
                <w:sz w:val="24"/>
              </w:rPr>
              <w:t>，且项目已取得</w:t>
            </w:r>
            <w:r>
              <w:rPr>
                <w:rFonts w:hint="eastAsia"/>
                <w:color w:val="auto"/>
                <w:sz w:val="24"/>
                <w:lang w:val="en-US" w:eastAsia="zh-CN"/>
              </w:rPr>
              <w:t>江苏涟水经济开发区管理委员会</w:t>
            </w:r>
            <w:r>
              <w:rPr>
                <w:rFonts w:hint="eastAsia"/>
                <w:color w:val="auto"/>
                <w:sz w:val="24"/>
              </w:rPr>
              <w:t>关于本项目的备案登记，备案证号为</w:t>
            </w:r>
            <w:r>
              <w:rPr>
                <w:rFonts w:hint="eastAsia"/>
                <w:bCs/>
                <w:color w:val="auto"/>
                <w:sz w:val="24"/>
                <w:lang w:val="en-US" w:eastAsia="zh-CN"/>
              </w:rPr>
              <w:t>涟区开发备〔2025〕52号</w:t>
            </w:r>
            <w:r>
              <w:rPr>
                <w:rFonts w:hint="eastAsia"/>
                <w:bCs/>
                <w:color w:val="auto"/>
                <w:sz w:val="24"/>
              </w:rPr>
              <w:t>，</w:t>
            </w:r>
            <w:r>
              <w:rPr>
                <w:color w:val="auto"/>
                <w:sz w:val="24"/>
              </w:rPr>
              <w:t>项目代码：</w:t>
            </w:r>
            <w:r>
              <w:rPr>
                <w:rFonts w:hint="eastAsia"/>
                <w:color w:val="auto"/>
                <w:sz w:val="24"/>
              </w:rPr>
              <w:t>2504-320860-89-01-809229</w:t>
            </w:r>
            <w:r>
              <w:rPr>
                <w:rFonts w:hint="eastAsia"/>
                <w:color w:val="auto"/>
                <w:sz w:val="24"/>
                <w:lang w:eastAsia="zh-CN"/>
              </w:rPr>
              <w:t>。</w:t>
            </w:r>
            <w:r>
              <w:rPr>
                <w:rFonts w:hint="eastAsia"/>
                <w:color w:val="auto"/>
                <w:sz w:val="24"/>
              </w:rPr>
              <w:t>因此，本</w:t>
            </w:r>
            <w:r>
              <w:rPr>
                <w:color w:val="auto"/>
                <w:sz w:val="24"/>
              </w:rPr>
              <w:t>项目</w:t>
            </w:r>
            <w:r>
              <w:rPr>
                <w:rFonts w:hint="eastAsia"/>
                <w:color w:val="auto"/>
                <w:sz w:val="24"/>
              </w:rPr>
              <w:t>的</w:t>
            </w:r>
            <w:r>
              <w:rPr>
                <w:color w:val="auto"/>
                <w:sz w:val="24"/>
              </w:rPr>
              <w:t>建设符合国家和江苏省产业政策</w:t>
            </w:r>
            <w:r>
              <w:rPr>
                <w:rFonts w:hint="eastAsia"/>
                <w:color w:val="auto"/>
                <w:sz w:val="24"/>
              </w:rPr>
              <w:t>要求</w:t>
            </w:r>
            <w:r>
              <w:rPr>
                <w:color w:val="auto"/>
                <w:sz w:val="24"/>
              </w:rPr>
              <w:t>。</w:t>
            </w:r>
          </w:p>
          <w:p w14:paraId="764B455F">
            <w:pPr>
              <w:keepNext w:val="0"/>
              <w:keepLines w:val="0"/>
              <w:pageBreakBefore w:val="0"/>
              <w:widowControl w:val="0"/>
              <w:tabs>
                <w:tab w:val="center" w:pos="4818"/>
              </w:tabs>
              <w:kinsoku/>
              <w:wordWrap/>
              <w:overflowPunct/>
              <w:topLinePunct w:val="0"/>
              <w:bidi w:val="0"/>
              <w:snapToGrid/>
              <w:spacing w:line="360" w:lineRule="auto"/>
              <w:ind w:left="420" w:leftChars="200"/>
              <w:textAlignment w:val="auto"/>
              <w:rPr>
                <w:b w:val="0"/>
                <w:bCs w:val="0"/>
                <w:color w:val="auto"/>
                <w:sz w:val="24"/>
              </w:rPr>
            </w:pPr>
            <w:r>
              <w:rPr>
                <w:rFonts w:hint="eastAsia"/>
                <w:b w:val="0"/>
                <w:bCs w:val="0"/>
                <w:color w:val="auto"/>
                <w:sz w:val="24"/>
              </w:rPr>
              <w:t>3、与相关法律法规相符性分析</w:t>
            </w:r>
          </w:p>
          <w:p w14:paraId="23CEB510">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b w:val="0"/>
                <w:bCs w:val="0"/>
                <w:color w:val="auto"/>
              </w:rPr>
            </w:pPr>
            <w:r>
              <w:rPr>
                <w:rFonts w:hint="eastAsia" w:ascii="Times New Roman" w:hAnsi="Times New Roman"/>
                <w:b w:val="0"/>
                <w:bCs w:val="0"/>
                <w:color w:val="auto"/>
              </w:rPr>
              <w:t>项目与江苏省挥发性有机废气规定相符性分析情况见</w:t>
            </w:r>
            <w:r>
              <w:rPr>
                <w:rFonts w:hint="eastAsia" w:ascii="Times New Roman" w:hAnsi="Times New Roman"/>
                <w:b w:val="0"/>
                <w:bCs w:val="0"/>
                <w:color w:val="auto"/>
                <w:lang w:val="en-US" w:eastAsia="zh-CN"/>
              </w:rPr>
              <w:t>下表</w:t>
            </w:r>
            <w:r>
              <w:rPr>
                <w:rFonts w:hint="eastAsia" w:ascii="Times New Roman" w:hAnsi="Times New Roman"/>
                <w:b w:val="0"/>
                <w:bCs w:val="0"/>
                <w:color w:val="auto"/>
              </w:rPr>
              <w:t>。</w:t>
            </w:r>
          </w:p>
          <w:p w14:paraId="0C9CB40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表1-1</w:t>
            </w:r>
            <w:r>
              <w:rPr>
                <w:rFonts w:hint="eastAsia"/>
                <w:b/>
                <w:bCs/>
                <w:color w:val="auto"/>
                <w:sz w:val="21"/>
                <w:szCs w:val="21"/>
                <w:lang w:val="en-US" w:eastAsia="zh-CN"/>
              </w:rPr>
              <w:t xml:space="preserve">3 </w:t>
            </w:r>
            <w:r>
              <w:rPr>
                <w:rFonts w:hint="eastAsia"/>
                <w:b/>
                <w:bCs/>
                <w:color w:val="auto"/>
                <w:sz w:val="21"/>
                <w:szCs w:val="21"/>
              </w:rPr>
              <w:t>建设项目与江苏省挥发性有机废气规定相符性分析</w:t>
            </w:r>
          </w:p>
          <w:tbl>
            <w:tblPr>
              <w:tblStyle w:val="23"/>
              <w:tblW w:w="77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18"/>
              <w:gridCol w:w="2819"/>
              <w:gridCol w:w="2004"/>
              <w:gridCol w:w="1034"/>
            </w:tblGrid>
            <w:tr w14:paraId="552A71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noWrap w:val="0"/>
                  <w:vAlign w:val="center"/>
                </w:tcPr>
                <w:p w14:paraId="28C6628F">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序号</w:t>
                  </w:r>
                </w:p>
              </w:tc>
              <w:tc>
                <w:tcPr>
                  <w:tcW w:w="1218" w:type="dxa"/>
                  <w:noWrap w:val="0"/>
                  <w:vAlign w:val="center"/>
                </w:tcPr>
                <w:p w14:paraId="7D64C22A">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文件名称</w:t>
                  </w:r>
                </w:p>
              </w:tc>
              <w:tc>
                <w:tcPr>
                  <w:tcW w:w="2819" w:type="dxa"/>
                  <w:noWrap w:val="0"/>
                  <w:vAlign w:val="center"/>
                </w:tcPr>
                <w:p w14:paraId="182BC38A">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要求</w:t>
                  </w:r>
                </w:p>
              </w:tc>
              <w:tc>
                <w:tcPr>
                  <w:tcW w:w="2004" w:type="dxa"/>
                  <w:noWrap w:val="0"/>
                  <w:vAlign w:val="center"/>
                </w:tcPr>
                <w:p w14:paraId="0296F4D6">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项目情况</w:t>
                  </w:r>
                </w:p>
              </w:tc>
              <w:tc>
                <w:tcPr>
                  <w:tcW w:w="1034" w:type="dxa"/>
                  <w:noWrap w:val="0"/>
                  <w:vAlign w:val="center"/>
                </w:tcPr>
                <w:p w14:paraId="038FAAC7">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相符性分析</w:t>
                  </w:r>
                </w:p>
              </w:tc>
            </w:tr>
            <w:tr w14:paraId="41D1EE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vMerge w:val="restart"/>
                  <w:noWrap w:val="0"/>
                  <w:vAlign w:val="center"/>
                </w:tcPr>
                <w:p w14:paraId="76792018">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1</w:t>
                  </w:r>
                </w:p>
              </w:tc>
              <w:tc>
                <w:tcPr>
                  <w:tcW w:w="1218" w:type="dxa"/>
                  <w:vMerge w:val="restart"/>
                  <w:noWrap w:val="0"/>
                  <w:vAlign w:val="center"/>
                </w:tcPr>
                <w:p w14:paraId="793B74B3">
                  <w:pPr>
                    <w:pStyle w:val="19"/>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《挥发性有机物无组织排放控制标准》（GB37822-2019）</w:t>
                  </w:r>
                </w:p>
              </w:tc>
              <w:tc>
                <w:tcPr>
                  <w:tcW w:w="2819" w:type="dxa"/>
                  <w:noWrap w:val="0"/>
                  <w:vAlign w:val="center"/>
                </w:tcPr>
                <w:p w14:paraId="3E54618E">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企业应考虑生产工艺、操作方式、废气性质、处理方法等，对VOCs废气进行分类收集。</w:t>
                  </w:r>
                </w:p>
              </w:tc>
              <w:tc>
                <w:tcPr>
                  <w:tcW w:w="2004" w:type="dxa"/>
                  <w:noWrap w:val="0"/>
                  <w:vAlign w:val="center"/>
                </w:tcPr>
                <w:p w14:paraId="3F55E00A">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建设项目</w:t>
                  </w:r>
                  <w:r>
                    <w:rPr>
                      <w:rFonts w:hint="eastAsia" w:ascii="Times New Roman" w:hAnsi="Times New Roman"/>
                      <w:b w:val="0"/>
                      <w:bCs/>
                      <w:color w:val="auto"/>
                      <w:sz w:val="21"/>
                      <w:lang w:val="en-US" w:eastAsia="zh-CN"/>
                    </w:rPr>
                    <w:t>裹树脂、拉挤、注塑</w:t>
                  </w:r>
                  <w:r>
                    <w:rPr>
                      <w:rFonts w:ascii="Times New Roman" w:hAnsi="Times New Roman"/>
                      <w:b w:val="0"/>
                      <w:bCs/>
                      <w:color w:val="auto"/>
                      <w:sz w:val="21"/>
                    </w:rPr>
                    <w:t>工序产生的有机废气</w:t>
                  </w:r>
                  <w:r>
                    <w:rPr>
                      <w:rFonts w:hint="eastAsia" w:ascii="Times New Roman" w:hAnsi="Times New Roman"/>
                      <w:b w:val="0"/>
                      <w:bCs/>
                      <w:color w:val="auto"/>
                      <w:sz w:val="21"/>
                      <w:lang w:val="en-US" w:eastAsia="zh-CN"/>
                    </w:rPr>
                    <w:t>采用</w:t>
                  </w:r>
                  <w:r>
                    <w:rPr>
                      <w:rFonts w:hint="eastAsia" w:ascii="Times New Roman" w:hAnsi="Times New Roman"/>
                      <w:b w:val="0"/>
                      <w:bCs/>
                      <w:color w:val="auto"/>
                      <w:sz w:val="21"/>
                    </w:rPr>
                    <w:t>集气罩收集</w:t>
                  </w:r>
                  <w:r>
                    <w:rPr>
                      <w:rFonts w:ascii="Times New Roman" w:hAnsi="Times New Roman"/>
                      <w:b w:val="0"/>
                      <w:bCs/>
                      <w:color w:val="auto"/>
                      <w:sz w:val="21"/>
                    </w:rPr>
                    <w:t>。</w:t>
                  </w:r>
                </w:p>
              </w:tc>
              <w:tc>
                <w:tcPr>
                  <w:tcW w:w="1034" w:type="dxa"/>
                  <w:noWrap w:val="0"/>
                  <w:vAlign w:val="center"/>
                </w:tcPr>
                <w:p w14:paraId="29F240D1">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38C9E8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vMerge w:val="continue"/>
                  <w:noWrap w:val="0"/>
                  <w:vAlign w:val="center"/>
                </w:tcPr>
                <w:p w14:paraId="439984C7">
                  <w:pPr>
                    <w:pStyle w:val="19"/>
                    <w:spacing w:line="280" w:lineRule="exact"/>
                    <w:jc w:val="center"/>
                    <w:rPr>
                      <w:rFonts w:ascii="Times New Roman" w:hAnsi="Times New Roman"/>
                      <w:b w:val="0"/>
                      <w:bCs/>
                      <w:color w:val="auto"/>
                      <w:sz w:val="21"/>
                    </w:rPr>
                  </w:pPr>
                </w:p>
              </w:tc>
              <w:tc>
                <w:tcPr>
                  <w:tcW w:w="1218" w:type="dxa"/>
                  <w:vMerge w:val="continue"/>
                  <w:noWrap w:val="0"/>
                  <w:vAlign w:val="center"/>
                </w:tcPr>
                <w:p w14:paraId="54CC2849">
                  <w:pPr>
                    <w:pStyle w:val="19"/>
                    <w:spacing w:line="280" w:lineRule="exact"/>
                    <w:jc w:val="center"/>
                    <w:rPr>
                      <w:rFonts w:ascii="Times New Roman" w:hAnsi="Times New Roman"/>
                      <w:b w:val="0"/>
                      <w:bCs/>
                      <w:color w:val="auto"/>
                      <w:sz w:val="21"/>
                    </w:rPr>
                  </w:pPr>
                </w:p>
              </w:tc>
              <w:tc>
                <w:tcPr>
                  <w:tcW w:w="2819" w:type="dxa"/>
                  <w:noWrap w:val="0"/>
                  <w:vAlign w:val="center"/>
                </w:tcPr>
                <w:p w14:paraId="4FC13830">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废气收集系统的输送管道应密闭。</w:t>
                  </w:r>
                </w:p>
              </w:tc>
              <w:tc>
                <w:tcPr>
                  <w:tcW w:w="2004" w:type="dxa"/>
                  <w:noWrap w:val="0"/>
                  <w:vAlign w:val="center"/>
                </w:tcPr>
                <w:p w14:paraId="3E5DA847">
                  <w:pPr>
                    <w:pStyle w:val="19"/>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建设项目废气收集系统的输送管道密闭</w:t>
                  </w:r>
                  <w:r>
                    <w:rPr>
                      <w:rFonts w:hint="eastAsia" w:ascii="Times New Roman" w:hAnsi="Times New Roman"/>
                      <w:b w:val="0"/>
                      <w:bCs/>
                      <w:color w:val="auto"/>
                      <w:sz w:val="21"/>
                    </w:rPr>
                    <w:t>。</w:t>
                  </w:r>
                </w:p>
              </w:tc>
              <w:tc>
                <w:tcPr>
                  <w:tcW w:w="1034" w:type="dxa"/>
                  <w:noWrap w:val="0"/>
                  <w:vAlign w:val="center"/>
                </w:tcPr>
                <w:p w14:paraId="7FE9C1EB">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0AA95A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vMerge w:val="continue"/>
                  <w:noWrap w:val="0"/>
                  <w:vAlign w:val="center"/>
                </w:tcPr>
                <w:p w14:paraId="08CA045F">
                  <w:pPr>
                    <w:pStyle w:val="19"/>
                    <w:spacing w:line="280" w:lineRule="exact"/>
                    <w:jc w:val="center"/>
                    <w:rPr>
                      <w:rFonts w:ascii="Times New Roman" w:hAnsi="Times New Roman"/>
                      <w:b w:val="0"/>
                      <w:bCs/>
                      <w:color w:val="auto"/>
                      <w:sz w:val="21"/>
                    </w:rPr>
                  </w:pPr>
                </w:p>
              </w:tc>
              <w:tc>
                <w:tcPr>
                  <w:tcW w:w="1218" w:type="dxa"/>
                  <w:vMerge w:val="continue"/>
                  <w:noWrap w:val="0"/>
                  <w:vAlign w:val="center"/>
                </w:tcPr>
                <w:p w14:paraId="71751C63">
                  <w:pPr>
                    <w:pStyle w:val="19"/>
                    <w:spacing w:line="280" w:lineRule="exact"/>
                    <w:jc w:val="center"/>
                    <w:rPr>
                      <w:rFonts w:ascii="Times New Roman" w:hAnsi="Times New Roman"/>
                      <w:b w:val="0"/>
                      <w:bCs/>
                      <w:color w:val="auto"/>
                      <w:sz w:val="21"/>
                    </w:rPr>
                  </w:pPr>
                </w:p>
              </w:tc>
              <w:tc>
                <w:tcPr>
                  <w:tcW w:w="2819" w:type="dxa"/>
                  <w:noWrap w:val="0"/>
                  <w:vAlign w:val="center"/>
                </w:tcPr>
                <w:p w14:paraId="2C480D3D">
                  <w:pPr>
                    <w:pStyle w:val="19"/>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收集的废气中NMHC初始排放速率建设项目位于重点地区，NMHC初始≥3kg/h时，应配置VOCs处理设施，处理效率不应低于80%；对于重点地区，收集的废气NMHC初始排放速率≥2kg/h时，应配置VOCs处理设施，处理效率不应低于80%；采用的原辅材料符合国家有关低VOCs含量产品规定的除外</w:t>
                  </w:r>
                  <w:r>
                    <w:rPr>
                      <w:rFonts w:hint="eastAsia" w:ascii="Times New Roman" w:hAnsi="Times New Roman"/>
                      <w:b w:val="0"/>
                      <w:bCs/>
                      <w:color w:val="auto"/>
                      <w:sz w:val="21"/>
                      <w:lang w:eastAsia="zh-CN"/>
                    </w:rPr>
                    <w:t>。</w:t>
                  </w:r>
                </w:p>
              </w:tc>
              <w:tc>
                <w:tcPr>
                  <w:tcW w:w="2004" w:type="dxa"/>
                  <w:noWrap w:val="0"/>
                  <w:vAlign w:val="center"/>
                </w:tcPr>
                <w:p w14:paraId="0513AED9">
                  <w:pPr>
                    <w:pStyle w:val="19"/>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裹树脂、拉挤、注塑</w:t>
                  </w:r>
                  <w:r>
                    <w:rPr>
                      <w:rFonts w:ascii="Times New Roman" w:hAnsi="Times New Roman"/>
                      <w:b w:val="0"/>
                      <w:bCs/>
                      <w:color w:val="auto"/>
                      <w:sz w:val="21"/>
                    </w:rPr>
                    <w:t>工序产生的有机废气经</w:t>
                  </w:r>
                  <w:r>
                    <w:rPr>
                      <w:rFonts w:hint="eastAsia" w:ascii="Times New Roman" w:hAnsi="Times New Roman"/>
                      <w:b w:val="0"/>
                      <w:bCs/>
                      <w:color w:val="auto"/>
                      <w:sz w:val="21"/>
                    </w:rPr>
                    <w:t>集气罩</w:t>
                  </w:r>
                  <w:r>
                    <w:rPr>
                      <w:rFonts w:ascii="Times New Roman" w:hAnsi="Times New Roman"/>
                      <w:b w:val="0"/>
                      <w:bCs/>
                      <w:color w:val="auto"/>
                      <w:sz w:val="21"/>
                    </w:rPr>
                    <w:t>收集后经二级活性炭</w:t>
                  </w:r>
                  <w:r>
                    <w:rPr>
                      <w:rFonts w:hint="eastAsia" w:ascii="Times New Roman" w:hAnsi="Times New Roman"/>
                      <w:b w:val="0"/>
                      <w:bCs/>
                      <w:color w:val="auto"/>
                      <w:sz w:val="21"/>
                      <w:lang w:val="en-US" w:eastAsia="zh-CN"/>
                    </w:rPr>
                    <w:t>吸附装置</w:t>
                  </w:r>
                  <w:r>
                    <w:rPr>
                      <w:rFonts w:ascii="Times New Roman" w:hAnsi="Times New Roman"/>
                      <w:b w:val="0"/>
                      <w:bCs/>
                      <w:color w:val="auto"/>
                      <w:sz w:val="21"/>
                    </w:rPr>
                    <w:t>吸附处理</w:t>
                  </w:r>
                  <w:r>
                    <w:rPr>
                      <w:rFonts w:hint="eastAsia" w:ascii="Times New Roman" w:hAnsi="Times New Roman"/>
                      <w:b w:val="0"/>
                      <w:bCs/>
                      <w:color w:val="auto"/>
                      <w:sz w:val="21"/>
                    </w:rPr>
                    <w:t>，</w:t>
                  </w:r>
                  <w:r>
                    <w:rPr>
                      <w:rFonts w:ascii="Times New Roman" w:hAnsi="Times New Roman"/>
                      <w:b w:val="0"/>
                      <w:bCs/>
                      <w:color w:val="auto"/>
                      <w:sz w:val="21"/>
                    </w:rPr>
                    <w:t>NMHC初始</w:t>
                  </w:r>
                  <w:r>
                    <w:rPr>
                      <w:rFonts w:hint="eastAsia" w:ascii="Times New Roman" w:hAnsi="Times New Roman"/>
                      <w:b w:val="0"/>
                      <w:bCs/>
                      <w:color w:val="auto"/>
                      <w:sz w:val="21"/>
                      <w:lang w:val="en-US" w:eastAsia="zh-CN"/>
                    </w:rPr>
                    <w:t>＜2</w:t>
                  </w:r>
                  <w:r>
                    <w:rPr>
                      <w:rFonts w:ascii="Times New Roman" w:hAnsi="Times New Roman"/>
                      <w:b w:val="0"/>
                      <w:bCs/>
                      <w:color w:val="auto"/>
                      <w:sz w:val="21"/>
                    </w:rPr>
                    <w:t>kg/h</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二级活性炭吸附装置处理效率为90%</w:t>
                  </w:r>
                  <w:r>
                    <w:rPr>
                      <w:rFonts w:hint="eastAsia" w:ascii="Times New Roman" w:hAnsi="Times New Roman"/>
                      <w:b w:val="0"/>
                      <w:bCs/>
                      <w:color w:val="auto"/>
                      <w:sz w:val="21"/>
                      <w:lang w:eastAsia="zh-CN"/>
                    </w:rPr>
                    <w:t>。</w:t>
                  </w:r>
                </w:p>
              </w:tc>
              <w:tc>
                <w:tcPr>
                  <w:tcW w:w="1034" w:type="dxa"/>
                  <w:noWrap w:val="0"/>
                  <w:vAlign w:val="center"/>
                </w:tcPr>
                <w:p w14:paraId="753781C3">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FEE5D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vMerge w:val="continue"/>
                  <w:noWrap w:val="0"/>
                  <w:vAlign w:val="center"/>
                </w:tcPr>
                <w:p w14:paraId="57866F0F">
                  <w:pPr>
                    <w:pStyle w:val="19"/>
                    <w:spacing w:line="280" w:lineRule="exact"/>
                    <w:jc w:val="center"/>
                    <w:rPr>
                      <w:rFonts w:ascii="Times New Roman" w:hAnsi="Times New Roman"/>
                      <w:b w:val="0"/>
                      <w:bCs/>
                      <w:color w:val="auto"/>
                      <w:sz w:val="21"/>
                    </w:rPr>
                  </w:pPr>
                </w:p>
              </w:tc>
              <w:tc>
                <w:tcPr>
                  <w:tcW w:w="1218" w:type="dxa"/>
                  <w:vMerge w:val="continue"/>
                  <w:noWrap w:val="0"/>
                  <w:vAlign w:val="center"/>
                </w:tcPr>
                <w:p w14:paraId="4555881B">
                  <w:pPr>
                    <w:pStyle w:val="19"/>
                    <w:spacing w:line="280" w:lineRule="exact"/>
                    <w:jc w:val="center"/>
                    <w:rPr>
                      <w:rFonts w:ascii="Times New Roman" w:hAnsi="Times New Roman"/>
                      <w:b w:val="0"/>
                      <w:bCs/>
                      <w:color w:val="auto"/>
                      <w:sz w:val="21"/>
                    </w:rPr>
                  </w:pPr>
                </w:p>
              </w:tc>
              <w:tc>
                <w:tcPr>
                  <w:tcW w:w="2819" w:type="dxa"/>
                  <w:noWrap w:val="0"/>
                  <w:vAlign w:val="center"/>
                </w:tcPr>
                <w:p w14:paraId="5B60E5C9">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排气筒高度不低于15m（因安全考虑或有特殊工艺要求的除外），具体高度以及与周围建筑物的相对高度关系应根据环境影响评价文件确定。</w:t>
                  </w:r>
                </w:p>
              </w:tc>
              <w:tc>
                <w:tcPr>
                  <w:tcW w:w="2004" w:type="dxa"/>
                  <w:noWrap w:val="0"/>
                  <w:vAlign w:val="center"/>
                </w:tcPr>
                <w:p w14:paraId="6DC4C711">
                  <w:pPr>
                    <w:pStyle w:val="19"/>
                    <w:spacing w:line="280" w:lineRule="exact"/>
                    <w:ind w:left="0" w:leftChars="0" w:firstLine="0" w:firstLineChars="0"/>
                    <w:jc w:val="center"/>
                    <w:rPr>
                      <w:rFonts w:hint="eastAsia" w:ascii="Times New Roman" w:hAnsi="Times New Roman" w:eastAsia="宋体"/>
                      <w:b w:val="0"/>
                      <w:bCs/>
                      <w:color w:val="auto"/>
                      <w:sz w:val="21"/>
                      <w:lang w:eastAsia="zh-CN"/>
                    </w:rPr>
                  </w:pPr>
                  <w:r>
                    <w:rPr>
                      <w:rFonts w:hint="eastAsia" w:ascii="Times New Roman" w:hAnsi="Times New Roman"/>
                      <w:b w:val="0"/>
                      <w:bCs/>
                      <w:color w:val="auto"/>
                      <w:sz w:val="21"/>
                    </w:rPr>
                    <w:t>本项目排气筒高度为</w:t>
                  </w:r>
                  <w:r>
                    <w:rPr>
                      <w:rFonts w:ascii="Times New Roman" w:hAnsi="Times New Roman"/>
                      <w:b w:val="0"/>
                      <w:bCs/>
                      <w:color w:val="auto"/>
                      <w:sz w:val="21"/>
                    </w:rPr>
                    <w:t>15m</w:t>
                  </w:r>
                  <w:r>
                    <w:rPr>
                      <w:rFonts w:hint="eastAsia" w:ascii="Times New Roman" w:hAnsi="Times New Roman"/>
                      <w:b w:val="0"/>
                      <w:bCs/>
                      <w:color w:val="auto"/>
                      <w:sz w:val="21"/>
                      <w:lang w:eastAsia="zh-CN"/>
                    </w:rPr>
                    <w:t>。</w:t>
                  </w:r>
                </w:p>
              </w:tc>
              <w:tc>
                <w:tcPr>
                  <w:tcW w:w="1034" w:type="dxa"/>
                  <w:noWrap w:val="0"/>
                  <w:vAlign w:val="center"/>
                </w:tcPr>
                <w:p w14:paraId="790063ED">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5087C4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01CA807B">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2</w:t>
                  </w:r>
                </w:p>
              </w:tc>
              <w:tc>
                <w:tcPr>
                  <w:tcW w:w="1218" w:type="dxa"/>
                  <w:noWrap w:val="0"/>
                  <w:vAlign w:val="center"/>
                </w:tcPr>
                <w:p w14:paraId="5CDB68A6">
                  <w:pPr>
                    <w:pStyle w:val="19"/>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《江苏省挥发性有机物污染防治管理办法》</w:t>
                  </w:r>
                  <w:r>
                    <w:rPr>
                      <w:rFonts w:hint="eastAsia" w:ascii="Times New Roman" w:hAnsi="Times New Roman"/>
                      <w:b w:val="0"/>
                      <w:bCs/>
                      <w:color w:val="auto"/>
                      <w:sz w:val="21"/>
                      <w:lang w:eastAsia="zh-CN"/>
                    </w:rPr>
                    <w:t>（</w:t>
                  </w:r>
                  <w:r>
                    <w:rPr>
                      <w:rFonts w:ascii="Times New Roman" w:hAnsi="Times New Roman"/>
                      <w:b w:val="0"/>
                      <w:bCs/>
                      <w:color w:val="auto"/>
                      <w:sz w:val="21"/>
                    </w:rPr>
                    <w:t>省政府令119号</w:t>
                  </w:r>
                  <w:r>
                    <w:rPr>
                      <w:rFonts w:hint="eastAsia" w:ascii="Times New Roman" w:hAnsi="Times New Roman"/>
                      <w:b w:val="0"/>
                      <w:bCs/>
                      <w:color w:val="auto"/>
                      <w:sz w:val="21"/>
                      <w:lang w:eastAsia="zh-CN"/>
                    </w:rPr>
                    <w:t>）</w:t>
                  </w:r>
                </w:p>
              </w:tc>
              <w:tc>
                <w:tcPr>
                  <w:tcW w:w="2819" w:type="dxa"/>
                  <w:noWrap w:val="0"/>
                  <w:vAlign w:val="center"/>
                </w:tcPr>
                <w:p w14:paraId="325B037F">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产生挥发性有机物废气的生产经营活动应当在密闭空间或者密闭设备中进行。生产场所、生产设备应当按照环境保护和安全生产等要求设计、安装和有效运行挥发性有机物回收或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004" w:type="dxa"/>
                  <w:noWrap w:val="0"/>
                  <w:vAlign w:val="center"/>
                </w:tcPr>
                <w:p w14:paraId="41CFDD15">
                  <w:pPr>
                    <w:pStyle w:val="19"/>
                    <w:spacing w:line="280" w:lineRule="exact"/>
                    <w:ind w:left="0" w:leftChars="0" w:firstLine="0" w:firstLineChars="0"/>
                    <w:jc w:val="both"/>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lang w:val="en-US" w:eastAsia="zh-CN"/>
                    </w:rPr>
                    <w:t>本项目裹树脂、拉挤、注塑</w:t>
                  </w:r>
                  <w:r>
                    <w:rPr>
                      <w:rFonts w:hint="eastAsia" w:ascii="Times New Roman" w:hAnsi="Times New Roman"/>
                      <w:b w:val="0"/>
                      <w:bCs/>
                      <w:color w:val="auto"/>
                      <w:sz w:val="21"/>
                    </w:rPr>
                    <w:t>工序产生的有机废气经集气罩收集</w:t>
                  </w:r>
                  <w:r>
                    <w:rPr>
                      <w:rFonts w:hint="eastAsia" w:ascii="Times New Roman" w:hAnsi="Times New Roman"/>
                      <w:b w:val="0"/>
                      <w:bCs/>
                      <w:color w:val="auto"/>
                      <w:sz w:val="21"/>
                      <w:lang w:val="en-US" w:eastAsia="zh-CN"/>
                    </w:rPr>
                    <w:t>+</w:t>
                  </w:r>
                  <w:r>
                    <w:rPr>
                      <w:rFonts w:hint="eastAsia" w:ascii="Times New Roman" w:hAnsi="Times New Roman"/>
                      <w:b w:val="0"/>
                      <w:bCs/>
                      <w:color w:val="auto"/>
                      <w:sz w:val="21"/>
                    </w:rPr>
                    <w:t>二级活性炭吸附装置吸附处理，有效削减非甲烷总烃无组织排放</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产生的废活性炭采用太空袋密闭包装暂存危废储存间，委托有资质单位处置。</w:t>
                  </w:r>
                </w:p>
              </w:tc>
              <w:tc>
                <w:tcPr>
                  <w:tcW w:w="1034" w:type="dxa"/>
                  <w:noWrap w:val="0"/>
                  <w:vAlign w:val="center"/>
                </w:tcPr>
                <w:p w14:paraId="7E430C5B">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BA95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46D8F0B5">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3</w:t>
                  </w:r>
                </w:p>
              </w:tc>
              <w:tc>
                <w:tcPr>
                  <w:tcW w:w="1218" w:type="dxa"/>
                  <w:noWrap w:val="0"/>
                  <w:vAlign w:val="center"/>
                </w:tcPr>
                <w:p w14:paraId="78A0E18B">
                  <w:pPr>
                    <w:pStyle w:val="19"/>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《江苏省大气污染防治条例》</w:t>
                  </w:r>
                </w:p>
              </w:tc>
              <w:tc>
                <w:tcPr>
                  <w:tcW w:w="2819" w:type="dxa"/>
                  <w:noWrap w:val="0"/>
                  <w:vAlign w:val="center"/>
                </w:tcPr>
                <w:p w14:paraId="53C59AAB">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严格控制新建、改建、扩建钢铁、建材、石化、有色、化工等行业中的大气重污染工业项目。新建、改建、扩建的大气重污染工业项目生产过程中排放烟粉尘、硫化物和氮氧化物等大气污染物的，应当配套建设和使用除尘、脱硫、脱硝等减排装置，或者采取其他控制大气污染物排放的措施。</w:t>
                  </w:r>
                </w:p>
              </w:tc>
              <w:tc>
                <w:tcPr>
                  <w:tcW w:w="2004" w:type="dxa"/>
                  <w:noWrap w:val="0"/>
                  <w:vAlign w:val="center"/>
                </w:tcPr>
                <w:p w14:paraId="61F6AB97">
                  <w:pPr>
                    <w:pStyle w:val="19"/>
                    <w:spacing w:line="280" w:lineRule="exact"/>
                    <w:ind w:left="0" w:leftChars="0" w:firstLine="0" w:firstLineChars="0"/>
                    <w:jc w:val="both"/>
                    <w:rPr>
                      <w:rFonts w:ascii="Times New Roman" w:hAnsi="Times New Roman"/>
                      <w:b w:val="0"/>
                      <w:bCs/>
                      <w:color w:val="auto"/>
                      <w:sz w:val="21"/>
                    </w:rPr>
                  </w:pPr>
                  <w:r>
                    <w:rPr>
                      <w:rFonts w:hint="eastAsia" w:ascii="Times New Roman" w:hAnsi="Times New Roman"/>
                      <w:b w:val="0"/>
                      <w:bCs/>
                      <w:color w:val="auto"/>
                      <w:sz w:val="21"/>
                    </w:rPr>
                    <w:t>本项目为</w:t>
                  </w:r>
                  <w:r>
                    <w:rPr>
                      <w:rFonts w:hint="eastAsia" w:ascii="Times New Roman" w:hAnsi="Times New Roman"/>
                      <w:b w:val="0"/>
                      <w:bCs/>
                      <w:color w:val="auto"/>
                      <w:sz w:val="21"/>
                      <w:lang w:val="en-US" w:eastAsia="zh-CN"/>
                    </w:rPr>
                    <w:t>涟水呈颖模塑有限公司年产50万件塑料手柄加工项目</w:t>
                  </w:r>
                  <w:r>
                    <w:rPr>
                      <w:rFonts w:hint="eastAsia" w:ascii="Times New Roman" w:hAnsi="Times New Roman"/>
                      <w:b w:val="0"/>
                      <w:bCs/>
                      <w:color w:val="auto"/>
                      <w:sz w:val="21"/>
                    </w:rPr>
                    <w:t>，不属于条例中的大气重污染工业项目。</w:t>
                  </w:r>
                </w:p>
              </w:tc>
              <w:tc>
                <w:tcPr>
                  <w:tcW w:w="1034" w:type="dxa"/>
                  <w:noWrap w:val="0"/>
                  <w:vAlign w:val="center"/>
                </w:tcPr>
                <w:p w14:paraId="1F7EE676">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72FB77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1831CE42">
                  <w:pPr>
                    <w:pStyle w:val="30"/>
                    <w:bidi w:val="0"/>
                    <w:rPr>
                      <w:rFonts w:hint="default" w:ascii="Times New Roman" w:hAnsi="Times New Roman" w:cs="Times New Roman"/>
                      <w:b w:val="0"/>
                      <w:bCs/>
                      <w:color w:val="auto"/>
                      <w:sz w:val="21"/>
                    </w:rPr>
                  </w:pPr>
                  <w:r>
                    <w:rPr>
                      <w:rFonts w:hint="default" w:ascii="Times New Roman" w:hAnsi="Times New Roman" w:cs="Times New Roman"/>
                      <w:color w:val="auto"/>
                      <w:lang w:val="en-US" w:eastAsia="zh-CN"/>
                    </w:rPr>
                    <w:t>4</w:t>
                  </w:r>
                </w:p>
              </w:tc>
              <w:tc>
                <w:tcPr>
                  <w:tcW w:w="1218" w:type="dxa"/>
                  <w:noWrap w:val="0"/>
                  <w:vAlign w:val="center"/>
                </w:tcPr>
                <w:p w14:paraId="746FB13F">
                  <w:pPr>
                    <w:pStyle w:val="30"/>
                    <w:bidi w:val="0"/>
                    <w:rPr>
                      <w:rFonts w:hint="default" w:ascii="Times New Roman" w:hAnsi="Times New Roman" w:cs="Times New Roman"/>
                      <w:b w:val="0"/>
                      <w:bCs/>
                      <w:color w:val="auto"/>
                      <w:sz w:val="21"/>
                    </w:rPr>
                  </w:pPr>
                  <w:r>
                    <w:rPr>
                      <w:rFonts w:hint="default" w:ascii="Times New Roman" w:hAnsi="Times New Roman" w:cs="Times New Roman"/>
                      <w:color w:val="auto"/>
                    </w:rPr>
                    <w:t>《2020年挥发性有机物治理攻坚方案》（环大气</w:t>
                  </w:r>
                  <w:r>
                    <w:rPr>
                      <w:rFonts w:hint="eastAsia" w:ascii="Times New Roman" w:cs="Times New Roman"/>
                      <w:color w:val="auto"/>
                      <w:lang w:eastAsia="zh-CN"/>
                    </w:rPr>
                    <w:t>〔2020〕33号</w:t>
                  </w:r>
                  <w:r>
                    <w:rPr>
                      <w:rFonts w:hint="default" w:ascii="Times New Roman" w:hAnsi="Times New Roman" w:cs="Times New Roman"/>
                      <w:color w:val="auto"/>
                    </w:rPr>
                    <w:t>）</w:t>
                  </w:r>
                </w:p>
              </w:tc>
              <w:tc>
                <w:tcPr>
                  <w:tcW w:w="2819" w:type="dxa"/>
                  <w:noWrap w:val="0"/>
                  <w:vAlign w:val="center"/>
                </w:tcPr>
                <w:p w14:paraId="23B15E21">
                  <w:pPr>
                    <w:pStyle w:val="30"/>
                    <w:bidi w:val="0"/>
                    <w:jc w:val="both"/>
                    <w:rPr>
                      <w:rFonts w:hint="default" w:ascii="Times New Roman" w:hAnsi="Times New Roman" w:cs="Times New Roman"/>
                      <w:b w:val="0"/>
                      <w:bCs/>
                      <w:color w:val="auto"/>
                      <w:sz w:val="21"/>
                    </w:rPr>
                  </w:pPr>
                  <w:r>
                    <w:rPr>
                      <w:rFonts w:hint="default" w:ascii="Times New Roman" w:hAnsi="Times New Roman" w:cs="Times New Roman"/>
                      <w:color w:val="auto"/>
                    </w:rPr>
                    <w:t>按照“应收尽收”的原则提升废气收集率。优先采用密闭设备、在密闭空间中操作或采用全密闭集气罩收集方式；对于采用局部集气罩的，应根据废气排放特点合理选择收集点位，距集气罩开口面最远处的VOCs无组织排放位置，控制风速不低于0.3米/秒</w:t>
                  </w:r>
                  <w:r>
                    <w:rPr>
                      <w:rFonts w:hint="default" w:ascii="Times New Roman" w:hAnsi="Times New Roman" w:cs="Times New Roman"/>
                      <w:color w:val="auto"/>
                      <w:lang w:eastAsia="zh-CN"/>
                    </w:rPr>
                    <w:t>。</w:t>
                  </w:r>
                </w:p>
              </w:tc>
              <w:tc>
                <w:tcPr>
                  <w:tcW w:w="2004" w:type="dxa"/>
                  <w:noWrap w:val="0"/>
                  <w:vAlign w:val="center"/>
                </w:tcPr>
                <w:p w14:paraId="22552D50">
                  <w:pPr>
                    <w:pStyle w:val="30"/>
                    <w:bidi w:val="0"/>
                    <w:jc w:val="both"/>
                    <w:rPr>
                      <w:rFonts w:hint="default" w:ascii="Times New Roman" w:hAnsi="Times New Roman" w:cs="Times New Roman"/>
                      <w:b w:val="0"/>
                      <w:bCs/>
                      <w:color w:val="auto"/>
                      <w:sz w:val="21"/>
                    </w:rPr>
                  </w:pPr>
                  <w:r>
                    <w:rPr>
                      <w:rFonts w:hint="default" w:ascii="Times New Roman" w:hAnsi="Times New Roman" w:cs="Times New Roman"/>
                      <w:color w:val="auto"/>
                      <w:lang w:val="en-US" w:eastAsia="zh-CN"/>
                    </w:rPr>
                    <w:t>本项目</w:t>
                  </w:r>
                  <w:r>
                    <w:rPr>
                      <w:rFonts w:hint="eastAsia" w:ascii="Times New Roman" w:cs="Times New Roman"/>
                      <w:color w:val="auto"/>
                      <w:lang w:val="en-US" w:eastAsia="zh-CN"/>
                    </w:rPr>
                    <w:t>裹树脂、拉挤、注塑</w:t>
                  </w:r>
                  <w:r>
                    <w:rPr>
                      <w:rFonts w:hint="default" w:ascii="Times New Roman" w:hAnsi="Times New Roman" w:cs="Times New Roman"/>
                      <w:color w:val="auto"/>
                      <w:lang w:val="en-US" w:eastAsia="zh-CN"/>
                    </w:rPr>
                    <w:t>废气采用集气罩收集，距集气罩开口面最远处的无组织排放位置的控制风速为0.</w:t>
                  </w:r>
                  <w:r>
                    <w:rPr>
                      <w:rFonts w:hint="eastAsia" w:ascii="Times New Roman" w:cs="Times New Roman"/>
                      <w:color w:val="auto"/>
                      <w:lang w:val="en-US" w:eastAsia="zh-CN"/>
                    </w:rPr>
                    <w:t>3</w:t>
                  </w:r>
                  <w:r>
                    <w:rPr>
                      <w:rFonts w:hint="default" w:ascii="Times New Roman" w:hAnsi="Times New Roman" w:cs="Times New Roman"/>
                      <w:color w:val="auto"/>
                      <w:lang w:val="en-US" w:eastAsia="zh-CN"/>
                    </w:rPr>
                    <w:t>m/s</w:t>
                  </w:r>
                </w:p>
              </w:tc>
              <w:tc>
                <w:tcPr>
                  <w:tcW w:w="1034" w:type="dxa"/>
                  <w:noWrap w:val="0"/>
                  <w:vAlign w:val="center"/>
                </w:tcPr>
                <w:p w14:paraId="4081B97C">
                  <w:pPr>
                    <w:pStyle w:val="30"/>
                    <w:bidi w:val="0"/>
                    <w:rPr>
                      <w:rFonts w:hint="eastAsia" w:ascii="Times New Roman" w:hAnsi="Times New Roman"/>
                      <w:b w:val="0"/>
                      <w:bCs/>
                      <w:color w:val="auto"/>
                      <w:sz w:val="21"/>
                    </w:rPr>
                  </w:pPr>
                  <w:r>
                    <w:rPr>
                      <w:rFonts w:hint="eastAsia"/>
                      <w:color w:val="auto"/>
                      <w:lang w:val="en-US" w:eastAsia="zh-CN"/>
                    </w:rPr>
                    <w:t>符合</w:t>
                  </w:r>
                </w:p>
              </w:tc>
            </w:tr>
          </w:tbl>
          <w:p w14:paraId="635CD02E">
            <w:pPr>
              <w:keepNext w:val="0"/>
              <w:keepLines w:val="0"/>
              <w:pageBreakBefore w:val="0"/>
              <w:tabs>
                <w:tab w:val="center" w:pos="4818"/>
              </w:tabs>
              <w:kinsoku/>
              <w:wordWrap/>
              <w:overflowPunct/>
              <w:topLinePunct w:val="0"/>
              <w:bidi w:val="0"/>
              <w:spacing w:line="360" w:lineRule="auto"/>
              <w:ind w:firstLine="480" w:firstLineChars="200"/>
              <w:textAlignment w:val="auto"/>
              <w:rPr>
                <w:b/>
                <w:bCs/>
                <w:color w:val="auto"/>
                <w:sz w:val="24"/>
              </w:rPr>
            </w:pPr>
            <w:r>
              <w:rPr>
                <w:rFonts w:hint="eastAsia"/>
                <w:b w:val="0"/>
                <w:bCs w:val="0"/>
                <w:color w:val="auto"/>
                <w:sz w:val="24"/>
              </w:rPr>
              <w:t>4</w:t>
            </w:r>
            <w:r>
              <w:rPr>
                <w:b w:val="0"/>
                <w:bCs w:val="0"/>
                <w:color w:val="auto"/>
                <w:sz w:val="24"/>
              </w:rPr>
              <w:t>、</w:t>
            </w:r>
            <w:r>
              <w:rPr>
                <w:rFonts w:hint="eastAsia"/>
                <w:b w:val="0"/>
                <w:bCs w:val="0"/>
                <w:color w:val="auto"/>
                <w:sz w:val="24"/>
              </w:rPr>
              <w:t>项目</w:t>
            </w:r>
            <w:r>
              <w:rPr>
                <w:b w:val="0"/>
                <w:bCs w:val="0"/>
                <w:color w:val="auto"/>
                <w:sz w:val="24"/>
              </w:rPr>
              <w:t>选址</w:t>
            </w:r>
            <w:r>
              <w:rPr>
                <w:rFonts w:hint="eastAsia"/>
                <w:b w:val="0"/>
                <w:bCs w:val="0"/>
                <w:color w:val="auto"/>
                <w:sz w:val="24"/>
              </w:rPr>
              <w:t>合理性</w:t>
            </w:r>
            <w:r>
              <w:rPr>
                <w:b w:val="0"/>
                <w:bCs w:val="0"/>
                <w:color w:val="auto"/>
                <w:sz w:val="24"/>
              </w:rPr>
              <w:t>分析</w:t>
            </w:r>
          </w:p>
          <w:p w14:paraId="017C4D63">
            <w:pPr>
              <w:keepNext w:val="0"/>
              <w:keepLines w:val="0"/>
              <w:pageBreakBefore w:val="0"/>
              <w:widowControl/>
              <w:kinsoku/>
              <w:wordWrap/>
              <w:overflowPunct/>
              <w:topLinePunct w:val="0"/>
              <w:bidi w:val="0"/>
              <w:spacing w:line="360" w:lineRule="auto"/>
              <w:ind w:firstLine="480" w:firstLineChars="200"/>
              <w:jc w:val="left"/>
              <w:textAlignment w:val="auto"/>
              <w:rPr>
                <w:color w:val="auto"/>
                <w:sz w:val="24"/>
              </w:rPr>
            </w:pPr>
            <w:r>
              <w:rPr>
                <w:rFonts w:hint="eastAsia"/>
                <w:color w:val="auto"/>
                <w:sz w:val="24"/>
              </w:rPr>
              <w:t>本</w:t>
            </w:r>
            <w:r>
              <w:rPr>
                <w:color w:val="auto"/>
                <w:sz w:val="24"/>
              </w:rPr>
              <w:t>项目位于</w:t>
            </w:r>
            <w:r>
              <w:rPr>
                <w:rFonts w:hint="eastAsia"/>
                <w:color w:val="auto"/>
                <w:sz w:val="24"/>
              </w:rPr>
              <w:t>江苏涟水经济开发区炎黄大道99号上水创业园28号厂房</w:t>
            </w:r>
            <w:r>
              <w:rPr>
                <w:color w:val="auto"/>
                <w:sz w:val="24"/>
              </w:rPr>
              <w:t>，为</w:t>
            </w:r>
            <w:r>
              <w:rPr>
                <w:rFonts w:hint="eastAsia"/>
                <w:color w:val="auto"/>
                <w:sz w:val="24"/>
                <w:lang w:val="en-US" w:eastAsia="zh-CN"/>
              </w:rPr>
              <w:t>涟水呈颖模塑有限公司年产50万件塑料手柄加工项目</w:t>
            </w:r>
            <w:r>
              <w:rPr>
                <w:color w:val="auto"/>
                <w:sz w:val="24"/>
              </w:rPr>
              <w:t>，</w:t>
            </w:r>
            <w:r>
              <w:rPr>
                <w:rFonts w:hint="eastAsia"/>
                <w:color w:val="auto"/>
                <w:sz w:val="24"/>
              </w:rPr>
              <w:t>本</w:t>
            </w:r>
            <w:r>
              <w:rPr>
                <w:color w:val="auto"/>
                <w:sz w:val="24"/>
              </w:rPr>
              <w:t>项目用地属于</w:t>
            </w:r>
            <w:r>
              <w:rPr>
                <w:rFonts w:hint="eastAsia"/>
                <w:color w:val="auto"/>
                <w:sz w:val="24"/>
                <w:lang w:val="en-US" w:eastAsia="zh-CN"/>
              </w:rPr>
              <w:t>工业</w:t>
            </w:r>
            <w:r>
              <w:rPr>
                <w:color w:val="auto"/>
                <w:sz w:val="24"/>
              </w:rPr>
              <w:t>用地，</w:t>
            </w:r>
            <w:r>
              <w:rPr>
                <w:rFonts w:hint="eastAsia"/>
                <w:color w:val="auto"/>
                <w:sz w:val="24"/>
              </w:rPr>
              <w:t>对照国家《自然资源要素支撑产业高质量发展指导目录（2024年本）》及《江苏省限制用地项目目录（2013年本）》和《江苏省禁止用地项目目录（2013年本）》相关名录</w:t>
            </w:r>
            <w:r>
              <w:rPr>
                <w:color w:val="auto"/>
                <w:sz w:val="24"/>
              </w:rPr>
              <w:t>，本项目不属于其规定的限制用地和禁止用地项目范畴。</w:t>
            </w:r>
          </w:p>
          <w:p w14:paraId="50CB9A1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cs="宋体"/>
                <w:color w:val="auto"/>
                <w:kern w:val="0"/>
                <w:sz w:val="24"/>
                <w:szCs w:val="21"/>
              </w:rPr>
            </w:pPr>
            <w:r>
              <w:rPr>
                <w:rFonts w:hint="eastAsia"/>
                <w:color w:val="auto"/>
                <w:sz w:val="24"/>
              </w:rPr>
              <w:t>综上所述</w:t>
            </w:r>
            <w:r>
              <w:rPr>
                <w:color w:val="auto"/>
                <w:sz w:val="24"/>
              </w:rPr>
              <w:t>，</w:t>
            </w:r>
            <w:r>
              <w:rPr>
                <w:rFonts w:hint="eastAsia"/>
                <w:color w:val="auto"/>
                <w:sz w:val="24"/>
              </w:rPr>
              <w:t>本</w:t>
            </w:r>
            <w:r>
              <w:rPr>
                <w:color w:val="auto"/>
                <w:sz w:val="24"/>
              </w:rPr>
              <w:t>项目选址</w:t>
            </w:r>
            <w:r>
              <w:rPr>
                <w:rFonts w:hint="eastAsia"/>
                <w:color w:val="auto"/>
                <w:sz w:val="24"/>
              </w:rPr>
              <w:t>基本合理</w:t>
            </w:r>
            <w:r>
              <w:rPr>
                <w:color w:val="auto"/>
                <w:sz w:val="24"/>
              </w:rPr>
              <w:t>。</w:t>
            </w:r>
          </w:p>
        </w:tc>
      </w:tr>
    </w:tbl>
    <w:p w14:paraId="181CA2AF">
      <w:pPr>
        <w:spacing w:line="360" w:lineRule="auto"/>
        <w:outlineLvl w:val="0"/>
        <w:rPr>
          <w:rFonts w:eastAsia="黑体"/>
          <w:color w:val="auto"/>
          <w:sz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8D06194">
      <w:pPr>
        <w:pStyle w:val="16"/>
        <w:spacing w:line="500" w:lineRule="exact"/>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1B5F6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7" w:hRule="atLeast"/>
          <w:jc w:val="center"/>
        </w:trPr>
        <w:tc>
          <w:tcPr>
            <w:tcW w:w="823" w:type="dxa"/>
            <w:noWrap w:val="0"/>
            <w:vAlign w:val="center"/>
          </w:tcPr>
          <w:p w14:paraId="12E3BA72">
            <w:pPr>
              <w:pStyle w:val="16"/>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61" w:type="dxa"/>
            <w:noWrap w:val="0"/>
            <w:vAlign w:val="top"/>
          </w:tcPr>
          <w:p w14:paraId="20A74226">
            <w:pPr>
              <w:keepNext w:val="0"/>
              <w:keepLines w:val="0"/>
              <w:pageBreakBefore w:val="0"/>
              <w:widowControl w:val="0"/>
              <w:numPr>
                <w:ilvl w:val="0"/>
                <w:numId w:val="2"/>
              </w:numPr>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项目由来</w:t>
            </w:r>
          </w:p>
          <w:p w14:paraId="48885AEA">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lang w:val="en-US" w:eastAsia="zh-CN"/>
              </w:rPr>
            </w:pPr>
            <w:r>
              <w:rPr>
                <w:rFonts w:hint="eastAsia" w:ascii="Times New Roman" w:hAnsi="Times New Roman"/>
                <w:b w:val="0"/>
                <w:bCs w:val="0"/>
                <w:color w:val="auto"/>
                <w:sz w:val="24"/>
                <w:lang w:val="en-US" w:eastAsia="zh-CN"/>
              </w:rPr>
              <w:t>涟水呈颖模塑有限公司租赁涟水县荣乾模塑有限公司位于</w:t>
            </w:r>
            <w:r>
              <w:rPr>
                <w:rFonts w:hint="eastAsia" w:ascii="Times New Roman" w:hAnsi="Times New Roman"/>
                <w:b w:val="0"/>
                <w:bCs w:val="0"/>
                <w:color w:val="auto"/>
                <w:sz w:val="24"/>
              </w:rPr>
              <w:t>江苏涟水经济开发区炎黄大道99号上水创业园28号厂房</w:t>
            </w:r>
            <w:r>
              <w:rPr>
                <w:rFonts w:hint="eastAsia" w:ascii="Times New Roman" w:hAnsi="Times New Roman"/>
                <w:b w:val="0"/>
                <w:bCs w:val="0"/>
                <w:color w:val="auto"/>
                <w:sz w:val="24"/>
                <w:lang w:val="en-US" w:eastAsia="zh-CN"/>
              </w:rPr>
              <w:t>和生产设备进行</w:t>
            </w:r>
            <w:r>
              <w:rPr>
                <w:rFonts w:hint="eastAsia" w:ascii="Times New Roman" w:hAnsi="Times New Roman"/>
                <w:b w:val="0"/>
                <w:bCs w:val="0"/>
                <w:color w:val="auto"/>
                <w:sz w:val="24"/>
              </w:rPr>
              <w:t>涟水呈颖模塑有限公司年产50万件塑料手柄加工项目</w:t>
            </w:r>
            <w:r>
              <w:rPr>
                <w:rFonts w:hint="eastAsia" w:ascii="Times New Roman" w:hAnsi="Times New Roman"/>
                <w:b w:val="0"/>
                <w:bCs w:val="0"/>
                <w:color w:val="auto"/>
                <w:sz w:val="24"/>
                <w:lang w:eastAsia="zh-CN"/>
              </w:rPr>
              <w:t>的</w:t>
            </w:r>
            <w:r>
              <w:rPr>
                <w:rFonts w:hint="eastAsia" w:ascii="Times New Roman" w:hAnsi="Times New Roman"/>
                <w:b w:val="0"/>
                <w:bCs w:val="0"/>
                <w:color w:val="auto"/>
                <w:sz w:val="24"/>
                <w:lang w:val="en-US" w:eastAsia="zh-CN"/>
              </w:rPr>
              <w:t>建设</w:t>
            </w:r>
            <w:r>
              <w:rPr>
                <w:rFonts w:hint="eastAsia" w:ascii="Times New Roman" w:hAnsi="Times New Roman"/>
                <w:b w:val="0"/>
                <w:bCs w:val="0"/>
                <w:color w:val="auto"/>
                <w:sz w:val="24"/>
              </w:rPr>
              <w:t>。</w:t>
            </w:r>
            <w:r>
              <w:rPr>
                <w:rFonts w:hint="eastAsia" w:ascii="Times New Roman" w:hAnsi="Times New Roman"/>
                <w:b w:val="0"/>
                <w:bCs/>
                <w:color w:val="auto"/>
                <w:sz w:val="24"/>
              </w:rPr>
              <w:t>本项目于202</w:t>
            </w:r>
            <w:r>
              <w:rPr>
                <w:rFonts w:hint="eastAsia" w:ascii="Times New Roman" w:hAnsi="Times New Roman"/>
                <w:b w:val="0"/>
                <w:bCs/>
                <w:color w:val="auto"/>
                <w:sz w:val="24"/>
                <w:lang w:val="en-US" w:eastAsia="zh-CN"/>
              </w:rPr>
              <w:t>5</w:t>
            </w:r>
            <w:r>
              <w:rPr>
                <w:rFonts w:hint="eastAsia" w:ascii="Times New Roman" w:hAnsi="Times New Roman"/>
                <w:b w:val="0"/>
                <w:bCs/>
                <w:color w:val="auto"/>
                <w:sz w:val="24"/>
              </w:rPr>
              <w:t>年</w:t>
            </w:r>
            <w:r>
              <w:rPr>
                <w:rFonts w:hint="eastAsia" w:ascii="Times New Roman" w:hAnsi="Times New Roman"/>
                <w:b w:val="0"/>
                <w:bCs/>
                <w:color w:val="auto"/>
                <w:sz w:val="24"/>
                <w:lang w:val="en-US" w:eastAsia="zh-CN"/>
              </w:rPr>
              <w:t>4</w:t>
            </w:r>
            <w:r>
              <w:rPr>
                <w:rFonts w:hint="eastAsia" w:ascii="Times New Roman" w:hAnsi="Times New Roman"/>
                <w:b w:val="0"/>
                <w:bCs/>
                <w:color w:val="auto"/>
                <w:sz w:val="24"/>
              </w:rPr>
              <w:t>月</w:t>
            </w:r>
            <w:r>
              <w:rPr>
                <w:rFonts w:hint="eastAsia" w:ascii="Times New Roman" w:hAnsi="Times New Roman"/>
                <w:b w:val="0"/>
                <w:bCs/>
                <w:color w:val="auto"/>
                <w:sz w:val="24"/>
                <w:lang w:eastAsia="zh-CN"/>
              </w:rPr>
              <w:t>15日</w:t>
            </w:r>
            <w:r>
              <w:rPr>
                <w:rFonts w:hint="eastAsia" w:ascii="Times New Roman" w:hAnsi="Times New Roman"/>
                <w:b w:val="0"/>
                <w:bCs/>
                <w:color w:val="auto"/>
                <w:sz w:val="24"/>
              </w:rPr>
              <w:t>取得</w:t>
            </w:r>
            <w:r>
              <w:rPr>
                <w:rFonts w:hint="eastAsia" w:ascii="Times New Roman" w:hAnsi="Times New Roman"/>
                <w:b w:val="0"/>
                <w:bCs w:val="0"/>
                <w:color w:val="auto"/>
                <w:sz w:val="24"/>
                <w:lang w:val="en-US" w:eastAsia="zh-CN"/>
              </w:rPr>
              <w:t>江苏</w:t>
            </w:r>
            <w:r>
              <w:rPr>
                <w:rFonts w:hint="eastAsia" w:ascii="Times New Roman" w:hAnsi="Times New Roman"/>
                <w:b w:val="0"/>
                <w:bCs w:val="0"/>
                <w:color w:val="auto"/>
                <w:sz w:val="24"/>
              </w:rPr>
              <w:t>涟水</w:t>
            </w:r>
            <w:r>
              <w:rPr>
                <w:rFonts w:hint="eastAsia" w:ascii="Times New Roman" w:hAnsi="Times New Roman"/>
                <w:b w:val="0"/>
                <w:bCs w:val="0"/>
                <w:color w:val="auto"/>
                <w:sz w:val="24"/>
                <w:lang w:val="en-US" w:eastAsia="zh-CN"/>
              </w:rPr>
              <w:t>经济开发区管理委员会</w:t>
            </w:r>
            <w:r>
              <w:rPr>
                <w:rFonts w:hint="eastAsia" w:ascii="Times New Roman" w:hAnsi="Times New Roman" w:eastAsia="宋体"/>
                <w:b w:val="0"/>
                <w:bCs w:val="0"/>
                <w:color w:val="auto"/>
                <w:sz w:val="24"/>
                <w:lang w:val="en-US" w:eastAsia="zh-CN"/>
              </w:rPr>
              <w:t>对该项目的备案（备案证号：</w:t>
            </w:r>
            <w:r>
              <w:rPr>
                <w:rFonts w:hint="eastAsia" w:ascii="Times New Roman" w:hAnsi="Times New Roman"/>
                <w:b w:val="0"/>
                <w:bCs w:val="0"/>
                <w:color w:val="auto"/>
                <w:sz w:val="24"/>
                <w:lang w:val="en-US" w:eastAsia="zh-CN"/>
              </w:rPr>
              <w:t>涟区开发备〔2025〕52号</w:t>
            </w:r>
            <w:r>
              <w:rPr>
                <w:rFonts w:hint="eastAsia" w:ascii="Times New Roman" w:hAnsi="Times New Roman" w:eastAsia="宋体"/>
                <w:b w:val="0"/>
                <w:bCs w:val="0"/>
                <w:color w:val="auto"/>
                <w:sz w:val="24"/>
                <w:lang w:val="en-US" w:eastAsia="zh-CN"/>
              </w:rPr>
              <w:t>，</w:t>
            </w:r>
            <w:r>
              <w:rPr>
                <w:rFonts w:hint="eastAsia" w:ascii="Times New Roman" w:hAnsi="Times New Roman"/>
                <w:b w:val="0"/>
                <w:bCs w:val="0"/>
                <w:color w:val="auto"/>
                <w:sz w:val="24"/>
                <w:lang w:val="en-US" w:eastAsia="zh-CN"/>
              </w:rPr>
              <w:t>项目代码：2504-320860-89-01-809229</w:t>
            </w:r>
            <w:r>
              <w:rPr>
                <w:rFonts w:hint="eastAsia" w:ascii="Times New Roman" w:hAnsi="Times New Roman" w:eastAsia="宋体"/>
                <w:b w:val="0"/>
                <w:bCs w:val="0"/>
                <w:color w:val="auto"/>
                <w:sz w:val="24"/>
                <w:lang w:val="en-US" w:eastAsia="zh-CN"/>
              </w:rPr>
              <w:t>）</w:t>
            </w:r>
            <w:r>
              <w:rPr>
                <w:rFonts w:hint="eastAsia" w:ascii="Times New Roman" w:hAnsi="Times New Roman"/>
                <w:b w:val="0"/>
                <w:bCs/>
                <w:color w:val="auto"/>
                <w:sz w:val="24"/>
              </w:rPr>
              <w:t>，</w:t>
            </w:r>
            <w:r>
              <w:rPr>
                <w:rFonts w:hint="eastAsia" w:ascii="Times New Roman" w:hAnsi="Times New Roman"/>
                <w:b w:val="0"/>
                <w:bCs w:val="0"/>
                <w:color w:val="auto"/>
                <w:sz w:val="24"/>
              </w:rPr>
              <w:t>本项目总投资</w:t>
            </w:r>
            <w:r>
              <w:rPr>
                <w:rFonts w:hint="eastAsia" w:ascii="Times New Roman" w:hAnsi="Times New Roman"/>
                <w:b w:val="0"/>
                <w:bCs w:val="0"/>
                <w:color w:val="auto"/>
                <w:sz w:val="24"/>
                <w:lang w:val="en-US" w:eastAsia="zh-CN"/>
              </w:rPr>
              <w:t>1000</w:t>
            </w:r>
            <w:r>
              <w:rPr>
                <w:rFonts w:hint="eastAsia" w:ascii="Times New Roman" w:hAnsi="Times New Roman"/>
                <w:b w:val="0"/>
                <w:bCs w:val="0"/>
                <w:color w:val="auto"/>
                <w:sz w:val="24"/>
              </w:rPr>
              <w:t>万元，项目总占地面积</w:t>
            </w:r>
            <w:r>
              <w:rPr>
                <w:rFonts w:hint="eastAsia" w:ascii="Times New Roman" w:hAnsi="Times New Roman"/>
                <w:b w:val="0"/>
                <w:bCs w:val="0"/>
                <w:color w:val="auto"/>
                <w:sz w:val="24"/>
                <w:lang w:val="en-US" w:eastAsia="zh-CN"/>
              </w:rPr>
              <w:t>1951</w:t>
            </w:r>
            <w:r>
              <w:rPr>
                <w:rFonts w:hint="eastAsia" w:ascii="Times New Roman" w:hAnsi="Times New Roman"/>
                <w:b w:val="0"/>
                <w:bCs w:val="0"/>
                <w:color w:val="auto"/>
                <w:sz w:val="24"/>
              </w:rPr>
              <w:t>m</w:t>
            </w:r>
            <w:r>
              <w:rPr>
                <w:rFonts w:hint="eastAsia" w:ascii="Times New Roman" w:hAnsi="Times New Roman"/>
                <w:b w:val="0"/>
                <w:bCs w:val="0"/>
                <w:color w:val="auto"/>
                <w:sz w:val="24"/>
                <w:vertAlign w:val="superscript"/>
              </w:rPr>
              <w:t>2</w:t>
            </w:r>
            <w:r>
              <w:rPr>
                <w:rFonts w:hint="eastAsia" w:ascii="Times New Roman" w:hAnsi="Times New Roman"/>
                <w:b w:val="0"/>
                <w:bCs w:val="0"/>
                <w:color w:val="auto"/>
                <w:sz w:val="24"/>
              </w:rPr>
              <w:t>，</w:t>
            </w:r>
            <w:r>
              <w:rPr>
                <w:rFonts w:hint="eastAsia" w:ascii="Times New Roman" w:hAnsi="Times New Roman"/>
                <w:b w:val="0"/>
                <w:bCs w:val="0"/>
                <w:color w:val="auto"/>
                <w:sz w:val="24"/>
                <w:lang w:val="en-US" w:eastAsia="zh-CN"/>
              </w:rPr>
              <w:t>租赁生产厂房</w:t>
            </w:r>
            <w:r>
              <w:rPr>
                <w:rFonts w:hint="eastAsia" w:ascii="Times New Roman" w:hAnsi="Times New Roman"/>
                <w:b w:val="0"/>
                <w:bCs w:val="0"/>
                <w:color w:val="auto"/>
                <w:sz w:val="24"/>
              </w:rPr>
              <w:t>建筑面积</w:t>
            </w:r>
            <w:r>
              <w:rPr>
                <w:rFonts w:hint="eastAsia" w:ascii="Times New Roman" w:hAnsi="Times New Roman"/>
                <w:b w:val="0"/>
                <w:bCs w:val="0"/>
                <w:color w:val="auto"/>
                <w:sz w:val="24"/>
                <w:lang w:val="en-US" w:eastAsia="zh-CN"/>
              </w:rPr>
              <w:t>约1364.21</w:t>
            </w:r>
            <w:r>
              <w:rPr>
                <w:rFonts w:hint="eastAsia" w:ascii="Times New Roman" w:hAnsi="Times New Roman"/>
                <w:b w:val="0"/>
                <w:bCs w:val="0"/>
                <w:color w:val="auto"/>
                <w:sz w:val="24"/>
              </w:rPr>
              <w:t>m</w:t>
            </w:r>
            <w:r>
              <w:rPr>
                <w:rFonts w:hint="eastAsia" w:ascii="Times New Roman" w:hAnsi="Times New Roman"/>
                <w:b w:val="0"/>
                <w:bCs w:val="0"/>
                <w:color w:val="auto"/>
                <w:sz w:val="24"/>
                <w:vertAlign w:val="superscript"/>
              </w:rPr>
              <w:t>2</w:t>
            </w:r>
            <w:r>
              <w:rPr>
                <w:rFonts w:hint="eastAsia" w:ascii="Times New Roman" w:hAnsi="Times New Roman"/>
                <w:b w:val="0"/>
                <w:bCs w:val="0"/>
                <w:color w:val="auto"/>
                <w:sz w:val="24"/>
              </w:rPr>
              <w:t>。</w:t>
            </w:r>
            <w:r>
              <w:rPr>
                <w:rFonts w:hint="eastAsia" w:ascii="Times New Roman" w:hAnsi="Times New Roman"/>
                <w:b w:val="0"/>
                <w:bCs w:val="0"/>
                <w:color w:val="auto"/>
                <w:sz w:val="24"/>
                <w:lang w:val="en-US" w:eastAsia="zh-CN"/>
              </w:rPr>
              <w:t>项目主要产品为塑料手柄，项目投产后可形成年生产塑料手柄50万件的生产能力。</w:t>
            </w:r>
          </w:p>
          <w:p w14:paraId="45A93FA2">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olor w:val="auto"/>
                <w:sz w:val="24"/>
              </w:rPr>
            </w:pPr>
            <w:r>
              <w:rPr>
                <w:rFonts w:hint="default" w:ascii="Times New Roman" w:hAnsi="Times New Roman"/>
                <w:color w:val="auto"/>
                <w:sz w:val="24"/>
              </w:rPr>
              <w:t>根据《中华人民共和国环境保护法</w:t>
            </w:r>
            <w:r>
              <w:rPr>
                <w:rFonts w:hint="eastAsia"/>
                <w:color w:val="auto"/>
                <w:sz w:val="24"/>
                <w:lang w:eastAsia="zh-CN"/>
              </w:rPr>
              <w:t>》《</w:t>
            </w:r>
            <w:r>
              <w:rPr>
                <w:rFonts w:hint="default" w:ascii="Times New Roman" w:hAnsi="Times New Roman"/>
                <w:color w:val="auto"/>
                <w:sz w:val="24"/>
              </w:rPr>
              <w:t>建设项目环境保护管理条例》，建设过程中或者建成投产后可能对环境产生影响的新建、扩建、改建、迁建、技术改造项目及区域开发建设项目，必须进行环境影响评价。根据《建设项目环境影响评价分类管理名录》（2021版），本项目为</w:t>
            </w:r>
            <w:r>
              <w:rPr>
                <w:rFonts w:hint="eastAsia"/>
                <w:color w:val="auto"/>
                <w:sz w:val="24"/>
                <w:lang w:val="en-US" w:eastAsia="zh-CN"/>
              </w:rPr>
              <w:t>塑料手柄加工</w:t>
            </w:r>
            <w:r>
              <w:rPr>
                <w:rFonts w:hint="default" w:ascii="Times New Roman" w:hAnsi="Times New Roman"/>
                <w:color w:val="auto"/>
                <w:sz w:val="24"/>
              </w:rPr>
              <w:t>项目，属于</w:t>
            </w:r>
            <w:r>
              <w:rPr>
                <w:rFonts w:hint="eastAsia" w:ascii="Times New Roman" w:hAnsi="Times New Roman"/>
                <w:color w:val="auto"/>
                <w:sz w:val="24"/>
              </w:rPr>
              <w:t>“</w:t>
            </w:r>
            <w:r>
              <w:rPr>
                <w:rFonts w:ascii="Times New Roman" w:hAnsi="Times New Roman" w:eastAsia="宋体" w:cs="宋体"/>
                <w:color w:val="auto"/>
                <w:sz w:val="24"/>
                <w:szCs w:val="24"/>
              </w:rPr>
              <w:t>二十六、橡胶和塑料制品业</w:t>
            </w:r>
            <w:r>
              <w:rPr>
                <w:rFonts w:hint="eastAsia" w:ascii="Times New Roman" w:hAnsi="Times New Roman"/>
                <w:color w:val="auto"/>
                <w:sz w:val="24"/>
              </w:rPr>
              <w:t>”</w:t>
            </w:r>
            <w:r>
              <w:rPr>
                <w:rFonts w:hint="default" w:ascii="Times New Roman" w:hAnsi="Times New Roman"/>
                <w:color w:val="auto"/>
                <w:sz w:val="24"/>
              </w:rPr>
              <w:t>中</w:t>
            </w:r>
            <w:r>
              <w:rPr>
                <w:rFonts w:hint="eastAsia" w:ascii="Times New Roman" w:hAnsi="Times New Roman"/>
                <w:color w:val="auto"/>
                <w:sz w:val="24"/>
              </w:rPr>
              <w:t>“</w:t>
            </w:r>
            <w:r>
              <w:rPr>
                <w:rFonts w:hint="eastAsia" w:ascii="Times New Roman" w:hAnsi="Times New Roman"/>
                <w:color w:val="auto"/>
                <w:sz w:val="24"/>
                <w:lang w:val="en-US" w:eastAsia="zh-CN"/>
              </w:rPr>
              <w:t>53</w:t>
            </w:r>
            <w:r>
              <w:rPr>
                <w:rFonts w:hint="eastAsia"/>
                <w:color w:val="auto"/>
                <w:lang w:val="en-US" w:eastAsia="zh-CN"/>
              </w:rPr>
              <w:t>塑料制品业292</w:t>
            </w:r>
            <w:r>
              <w:rPr>
                <w:rFonts w:hint="eastAsia"/>
                <w:color w:val="auto"/>
              </w:rPr>
              <w:t>”</w:t>
            </w:r>
            <w:r>
              <w:rPr>
                <w:rFonts w:hint="default"/>
                <w:color w:val="auto"/>
              </w:rPr>
              <w:t>中</w:t>
            </w:r>
            <w:r>
              <w:rPr>
                <w:rFonts w:hint="eastAsia"/>
                <w:color w:val="auto"/>
              </w:rPr>
              <w:t>“</w:t>
            </w:r>
            <w:r>
              <w:rPr>
                <w:rFonts w:hint="default"/>
                <w:color w:val="auto"/>
              </w:rPr>
              <w:t>其他（年用非溶剂型低VOCs含量涂料10吨以下的除外）</w:t>
            </w:r>
            <w:r>
              <w:rPr>
                <w:rFonts w:hint="eastAsia"/>
                <w:color w:val="auto"/>
              </w:rPr>
              <w:t>”</w:t>
            </w:r>
            <w:r>
              <w:rPr>
                <w:rFonts w:hint="default"/>
                <w:color w:val="auto"/>
              </w:rPr>
              <w:t>，</w:t>
            </w:r>
            <w:r>
              <w:rPr>
                <w:rFonts w:hint="default" w:ascii="Times New Roman" w:hAnsi="Times New Roman"/>
                <w:color w:val="auto"/>
                <w:sz w:val="24"/>
              </w:rPr>
              <w:t>该类别下需编制环境影响报告表</w:t>
            </w:r>
            <w:r>
              <w:rPr>
                <w:rFonts w:hint="eastAsia"/>
                <w:color w:val="auto"/>
                <w:sz w:val="24"/>
                <w:lang w:eastAsia="zh-CN"/>
              </w:rPr>
              <w:t>，</w:t>
            </w:r>
            <w:r>
              <w:rPr>
                <w:rFonts w:hint="eastAsia" w:ascii="Times New Roman" w:hAnsi="Times New Roman"/>
                <w:color w:val="auto"/>
                <w:sz w:val="24"/>
              </w:rPr>
              <w:t>“</w:t>
            </w:r>
            <w:r>
              <w:rPr>
                <w:rFonts w:ascii="Times New Roman" w:hAnsi="Times New Roman" w:eastAsia="宋体" w:cs="宋体"/>
                <w:color w:val="auto"/>
                <w:sz w:val="24"/>
                <w:szCs w:val="24"/>
              </w:rPr>
              <w:t>二十</w:t>
            </w:r>
            <w:r>
              <w:rPr>
                <w:rFonts w:hint="eastAsia" w:ascii="Times New Roman" w:hAnsi="Times New Roman" w:eastAsia="宋体" w:cs="宋体"/>
                <w:color w:val="auto"/>
                <w:sz w:val="24"/>
                <w:szCs w:val="24"/>
                <w:lang w:val="en-US" w:eastAsia="zh-CN"/>
              </w:rPr>
              <w:t>七</w:t>
            </w:r>
            <w:r>
              <w:rPr>
                <w:rFonts w:hint="eastAsia" w:cs="宋体"/>
                <w:color w:val="auto"/>
                <w:sz w:val="24"/>
                <w:szCs w:val="24"/>
                <w:lang w:val="en-US" w:eastAsia="zh-CN"/>
              </w:rPr>
              <w:t>、</w:t>
            </w:r>
            <w:r>
              <w:rPr>
                <w:rFonts w:hint="eastAsia" w:ascii="Times New Roman" w:hAnsi="Times New Roman" w:eastAsia="宋体" w:cs="宋体"/>
                <w:color w:val="auto"/>
                <w:sz w:val="24"/>
                <w:szCs w:val="24"/>
              </w:rPr>
              <w:t>非金属矿物制品业</w:t>
            </w:r>
            <w:r>
              <w:rPr>
                <w:rFonts w:hint="eastAsia" w:ascii="Times New Roman" w:hAnsi="Times New Roman"/>
                <w:color w:val="auto"/>
                <w:sz w:val="24"/>
              </w:rPr>
              <w:t>”</w:t>
            </w:r>
            <w:r>
              <w:rPr>
                <w:rFonts w:hint="default" w:ascii="Times New Roman" w:hAnsi="Times New Roman"/>
                <w:color w:val="auto"/>
                <w:sz w:val="24"/>
              </w:rPr>
              <w:t>中</w:t>
            </w:r>
            <w:r>
              <w:rPr>
                <w:rFonts w:hint="eastAsia" w:ascii="Times New Roman" w:hAnsi="Times New Roman"/>
                <w:color w:val="auto"/>
                <w:sz w:val="24"/>
              </w:rPr>
              <w:t>“</w:t>
            </w:r>
            <w:r>
              <w:rPr>
                <w:rFonts w:hint="eastAsia" w:ascii="Times New Roman" w:hAnsi="Times New Roman"/>
                <w:color w:val="auto"/>
                <w:sz w:val="24"/>
                <w:lang w:val="en-US" w:eastAsia="zh-CN"/>
              </w:rPr>
              <w:t>53</w:t>
            </w:r>
            <w:r>
              <w:rPr>
                <w:rFonts w:hint="eastAsia"/>
                <w:color w:val="auto"/>
                <w:lang w:val="en-US" w:eastAsia="zh-CN"/>
              </w:rPr>
              <w:t>塑料制品业292</w:t>
            </w:r>
            <w:r>
              <w:rPr>
                <w:rFonts w:hint="eastAsia"/>
                <w:color w:val="auto"/>
              </w:rPr>
              <w:t>”</w:t>
            </w:r>
            <w:r>
              <w:rPr>
                <w:rFonts w:hint="default"/>
                <w:color w:val="auto"/>
              </w:rPr>
              <w:t>中</w:t>
            </w:r>
            <w:r>
              <w:rPr>
                <w:rFonts w:hint="eastAsia"/>
                <w:color w:val="auto"/>
              </w:rPr>
              <w:t>“</w:t>
            </w:r>
            <w:r>
              <w:rPr>
                <w:rFonts w:hint="eastAsia"/>
                <w:color w:val="auto"/>
                <w:lang w:val="en-US" w:eastAsia="zh-CN"/>
              </w:rPr>
              <w:t>全部</w:t>
            </w:r>
            <w:r>
              <w:rPr>
                <w:rFonts w:hint="eastAsia"/>
                <w:color w:val="auto"/>
              </w:rPr>
              <w:t>”</w:t>
            </w:r>
            <w:r>
              <w:rPr>
                <w:rFonts w:hint="default"/>
                <w:color w:val="auto"/>
              </w:rPr>
              <w:t>，</w:t>
            </w:r>
            <w:r>
              <w:rPr>
                <w:rFonts w:hint="default" w:ascii="Times New Roman" w:hAnsi="Times New Roman"/>
                <w:color w:val="auto"/>
                <w:sz w:val="24"/>
              </w:rPr>
              <w:t>该类别下需编制环境影响报告表</w:t>
            </w:r>
            <w:r>
              <w:rPr>
                <w:rFonts w:hint="eastAsia" w:ascii="Times New Roman" w:hAnsi="Times New Roman"/>
                <w:color w:val="auto"/>
                <w:sz w:val="24"/>
                <w:lang w:eastAsia="zh-CN"/>
              </w:rPr>
              <w:t>，</w:t>
            </w:r>
            <w:r>
              <w:rPr>
                <w:rFonts w:hint="eastAsia" w:ascii="Times New Roman" w:hAnsi="Times New Roman"/>
                <w:color w:val="auto"/>
                <w:sz w:val="24"/>
                <w:lang w:val="en-US" w:eastAsia="zh-CN"/>
              </w:rPr>
              <w:t>综上，本项目</w:t>
            </w:r>
            <w:r>
              <w:rPr>
                <w:rFonts w:hint="default" w:ascii="Times New Roman" w:hAnsi="Times New Roman"/>
                <w:color w:val="auto"/>
                <w:sz w:val="24"/>
              </w:rPr>
              <w:t>需编制环境影响报告表。</w:t>
            </w:r>
          </w:p>
          <w:p w14:paraId="245E6A48">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据此，建设单位委托淮安新皓源环境科技有限公司对该项目进行环境影响评价报告表的编制工作。我公司接受委托后，立即开展了详细的现场调查、资料收集工作，并对该项目的有关文件进行研究，在此基础上，我公司依照《建设项目环境影响报告表编制技术指南》（污染影响类）（试行）中的相关要求编制完成了该项目的环境影响评价报告表，呈报当地生态环境主管部门。</w:t>
            </w:r>
          </w:p>
          <w:p w14:paraId="0E032318">
            <w:pPr>
              <w:pStyle w:val="18"/>
              <w:keepNext w:val="0"/>
              <w:keepLines w:val="0"/>
              <w:pageBreakBefore w:val="0"/>
              <w:widowControl w:val="0"/>
              <w:numPr>
                <w:ilvl w:val="0"/>
                <w:numId w:val="2"/>
              </w:numPr>
              <w:kinsoku/>
              <w:wordWrap/>
              <w:overflowPunct/>
              <w:topLinePunct w:val="0"/>
              <w:bidi w:val="0"/>
              <w:spacing w:after="0" w:line="360" w:lineRule="auto"/>
              <w:ind w:left="0" w:leftChars="0" w:firstLine="482"/>
              <w:textAlignment w:val="auto"/>
              <w:rPr>
                <w:b/>
                <w:bCs/>
                <w:color w:val="auto"/>
              </w:rPr>
            </w:pPr>
            <w:r>
              <w:rPr>
                <w:rFonts w:hint="eastAsia"/>
                <w:b/>
                <w:bCs/>
                <w:color w:val="auto"/>
              </w:rPr>
              <w:t>工程内容及规模</w:t>
            </w:r>
          </w:p>
          <w:p w14:paraId="7915813D">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default" w:eastAsia="宋体"/>
                <w:color w:val="auto"/>
                <w:lang w:val="en-US" w:eastAsia="zh-CN"/>
              </w:rPr>
            </w:pPr>
            <w:r>
              <w:rPr>
                <w:rFonts w:hint="eastAsia"/>
                <w:color w:val="auto"/>
              </w:rPr>
              <w:t>1、项目名称：</w:t>
            </w:r>
            <w:r>
              <w:rPr>
                <w:rFonts w:hint="eastAsia"/>
                <w:color w:val="auto"/>
                <w:lang w:val="en-US" w:eastAsia="zh-CN"/>
              </w:rPr>
              <w:t>涟水呈颖模塑有限公司年产50万件塑料手柄加工项目</w:t>
            </w:r>
          </w:p>
          <w:p w14:paraId="385E032A">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eastAsia="zh-CN"/>
              </w:rPr>
            </w:pPr>
            <w:r>
              <w:rPr>
                <w:rFonts w:hint="eastAsia"/>
                <w:color w:val="auto"/>
              </w:rPr>
              <w:t>2、建设单位：</w:t>
            </w:r>
            <w:r>
              <w:rPr>
                <w:rFonts w:hint="eastAsia" w:ascii="Times New Roman" w:hAnsi="Times New Roman"/>
                <w:b w:val="0"/>
                <w:bCs w:val="0"/>
                <w:color w:val="auto"/>
                <w:sz w:val="24"/>
                <w:lang w:val="en-US" w:eastAsia="zh-CN"/>
              </w:rPr>
              <w:t>涟水呈颖模塑有限公司</w:t>
            </w:r>
          </w:p>
          <w:p w14:paraId="009FBDB1">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default"/>
                <w:color w:val="auto"/>
                <w:lang w:val="en-US" w:eastAsia="zh-CN"/>
              </w:rPr>
            </w:pPr>
            <w:r>
              <w:rPr>
                <w:rFonts w:hint="eastAsia"/>
                <w:color w:val="auto"/>
              </w:rPr>
              <w:t>3、行业类别：C</w:t>
            </w:r>
            <w:r>
              <w:rPr>
                <w:rFonts w:hint="eastAsia"/>
                <w:color w:val="auto"/>
                <w:lang w:val="en-US" w:eastAsia="zh-CN"/>
              </w:rPr>
              <w:t>2929塑料零件及其他塑料制品制造、C3062玻璃纤维增强塑料制品制造</w:t>
            </w:r>
          </w:p>
          <w:p w14:paraId="1FC6EC2E">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4、建设地点：项目选址位于江苏涟水经济开发区炎黄大道99号上水创业园28号厂房，厂区中心坐标为：北纬33°4</w:t>
            </w:r>
            <w:r>
              <w:rPr>
                <w:rFonts w:hint="eastAsia"/>
                <w:color w:val="auto"/>
                <w:lang w:val="en-US" w:eastAsia="zh-CN"/>
              </w:rPr>
              <w:t>7</w:t>
            </w:r>
            <w:r>
              <w:rPr>
                <w:rFonts w:hint="eastAsia"/>
                <w:color w:val="auto"/>
              </w:rPr>
              <w:t>′</w:t>
            </w:r>
            <w:r>
              <w:rPr>
                <w:rFonts w:hint="eastAsia"/>
                <w:color w:val="auto"/>
                <w:lang w:val="en-US" w:eastAsia="zh-CN"/>
              </w:rPr>
              <w:t>53.748</w:t>
            </w:r>
            <w:r>
              <w:rPr>
                <w:rFonts w:hint="eastAsia"/>
                <w:color w:val="auto"/>
              </w:rPr>
              <w:t>″，东经119°1</w:t>
            </w:r>
            <w:r>
              <w:rPr>
                <w:rFonts w:hint="eastAsia"/>
                <w:color w:val="auto"/>
                <w:lang w:val="en-US" w:eastAsia="zh-CN"/>
              </w:rPr>
              <w:t>2</w:t>
            </w:r>
            <w:r>
              <w:rPr>
                <w:rFonts w:hint="eastAsia"/>
                <w:color w:val="auto"/>
              </w:rPr>
              <w:t>′</w:t>
            </w:r>
            <w:r>
              <w:rPr>
                <w:rFonts w:hint="eastAsia"/>
                <w:color w:val="auto"/>
                <w:lang w:val="en-US" w:eastAsia="zh-CN"/>
              </w:rPr>
              <w:t>46.705</w:t>
            </w:r>
            <w:r>
              <w:rPr>
                <w:rFonts w:hint="eastAsia"/>
                <w:color w:val="auto"/>
              </w:rPr>
              <w:t>″，本项目地理位置见附图1。</w:t>
            </w:r>
          </w:p>
          <w:p w14:paraId="3695101A">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5、项目总投资及环保投资</w:t>
            </w:r>
          </w:p>
          <w:p w14:paraId="4B1E5E7B">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ascii="Times New Roman" w:hAnsi="Times New Roman" w:cs="Times New Roman"/>
                <w:color w:val="auto"/>
              </w:rPr>
            </w:pPr>
            <w:r>
              <w:rPr>
                <w:rFonts w:hint="eastAsia"/>
                <w:color w:val="auto"/>
              </w:rPr>
              <w:t>项目工程总投资为</w:t>
            </w:r>
            <w:r>
              <w:rPr>
                <w:rFonts w:hint="eastAsia"/>
                <w:color w:val="auto"/>
                <w:lang w:val="en-US" w:eastAsia="zh-CN"/>
              </w:rPr>
              <w:t>1000</w:t>
            </w:r>
            <w:r>
              <w:rPr>
                <w:rFonts w:hint="eastAsia"/>
                <w:color w:val="auto"/>
              </w:rPr>
              <w:t>万元，</w:t>
            </w:r>
            <w:r>
              <w:rPr>
                <w:rFonts w:hint="eastAsia" w:ascii="Times New Roman" w:hAnsi="Times New Roman" w:cs="Times New Roman"/>
                <w:color w:val="auto"/>
              </w:rPr>
              <w:t>其中环保投资为</w:t>
            </w:r>
            <w:r>
              <w:rPr>
                <w:rFonts w:hint="eastAsia" w:cs="Times New Roman"/>
                <w:color w:val="auto"/>
                <w:lang w:val="en-US" w:eastAsia="zh-CN"/>
              </w:rPr>
              <w:t>20</w:t>
            </w:r>
            <w:r>
              <w:rPr>
                <w:rFonts w:hint="eastAsia" w:ascii="Times New Roman" w:hAnsi="Times New Roman" w:cs="Times New Roman"/>
                <w:color w:val="auto"/>
              </w:rPr>
              <w:t>万元，占总投资的</w:t>
            </w:r>
            <w:r>
              <w:rPr>
                <w:rFonts w:hint="eastAsia" w:cs="Times New Roman"/>
                <w:color w:val="auto"/>
                <w:lang w:val="en-US" w:eastAsia="zh-CN"/>
              </w:rPr>
              <w:t>2</w:t>
            </w:r>
            <w:r>
              <w:rPr>
                <w:rFonts w:hint="eastAsia" w:ascii="Times New Roman" w:hAnsi="Times New Roman" w:cs="Times New Roman"/>
                <w:color w:val="auto"/>
              </w:rPr>
              <w:t>%。</w:t>
            </w:r>
          </w:p>
          <w:p w14:paraId="5052D205">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6、产品方案</w:t>
            </w:r>
          </w:p>
          <w:p w14:paraId="5FCC1EC8">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本项目详细产品方案见表2-1。</w:t>
            </w:r>
          </w:p>
          <w:p w14:paraId="01C2099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表2-1项目产品方案一览表</w:t>
            </w:r>
          </w:p>
          <w:tbl>
            <w:tblPr>
              <w:tblStyle w:val="22"/>
              <w:tblW w:w="79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64"/>
              <w:gridCol w:w="1421"/>
              <w:gridCol w:w="1862"/>
              <w:gridCol w:w="1885"/>
              <w:gridCol w:w="1845"/>
            </w:tblGrid>
            <w:tr w14:paraId="77165C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964" w:type="dxa"/>
                  <w:noWrap w:val="0"/>
                  <w:vAlign w:val="center"/>
                </w:tcPr>
                <w:p w14:paraId="2569232F">
                  <w:pPr>
                    <w:spacing w:line="280" w:lineRule="exact"/>
                    <w:jc w:val="center"/>
                    <w:rPr>
                      <w:color w:val="auto"/>
                      <w:szCs w:val="21"/>
                    </w:rPr>
                  </w:pPr>
                  <w:r>
                    <w:rPr>
                      <w:rFonts w:hint="eastAsia"/>
                      <w:color w:val="auto"/>
                      <w:szCs w:val="21"/>
                    </w:rPr>
                    <w:t>序号</w:t>
                  </w:r>
                </w:p>
              </w:tc>
              <w:tc>
                <w:tcPr>
                  <w:tcW w:w="1421" w:type="dxa"/>
                  <w:noWrap w:val="0"/>
                  <w:vAlign w:val="center"/>
                </w:tcPr>
                <w:p w14:paraId="23238C14">
                  <w:pPr>
                    <w:spacing w:line="280" w:lineRule="exact"/>
                    <w:jc w:val="center"/>
                    <w:rPr>
                      <w:color w:val="auto"/>
                      <w:szCs w:val="21"/>
                    </w:rPr>
                  </w:pPr>
                  <w:r>
                    <w:rPr>
                      <w:color w:val="auto"/>
                      <w:szCs w:val="21"/>
                    </w:rPr>
                    <w:t>产品</w:t>
                  </w:r>
                </w:p>
              </w:tc>
              <w:tc>
                <w:tcPr>
                  <w:tcW w:w="1862" w:type="dxa"/>
                  <w:noWrap w:val="0"/>
                  <w:vAlign w:val="center"/>
                </w:tcPr>
                <w:p w14:paraId="50118960">
                  <w:pPr>
                    <w:spacing w:line="280" w:lineRule="exact"/>
                    <w:jc w:val="center"/>
                    <w:rPr>
                      <w:color w:val="auto"/>
                      <w:szCs w:val="21"/>
                    </w:rPr>
                  </w:pPr>
                  <w:r>
                    <w:rPr>
                      <w:rFonts w:hint="eastAsia"/>
                      <w:color w:val="auto"/>
                      <w:szCs w:val="21"/>
                    </w:rPr>
                    <w:t>规格型号</w:t>
                  </w:r>
                </w:p>
              </w:tc>
              <w:tc>
                <w:tcPr>
                  <w:tcW w:w="1885" w:type="dxa"/>
                  <w:noWrap w:val="0"/>
                  <w:vAlign w:val="center"/>
                </w:tcPr>
                <w:p w14:paraId="5B7BF359">
                  <w:pPr>
                    <w:spacing w:line="280" w:lineRule="exact"/>
                    <w:jc w:val="center"/>
                    <w:rPr>
                      <w:color w:val="auto"/>
                      <w:szCs w:val="21"/>
                    </w:rPr>
                  </w:pPr>
                  <w:r>
                    <w:rPr>
                      <w:rFonts w:hint="eastAsia"/>
                      <w:color w:val="auto"/>
                      <w:szCs w:val="21"/>
                    </w:rPr>
                    <w:t>年产量</w:t>
                  </w:r>
                </w:p>
              </w:tc>
              <w:tc>
                <w:tcPr>
                  <w:tcW w:w="1845" w:type="dxa"/>
                  <w:noWrap w:val="0"/>
                  <w:vAlign w:val="center"/>
                </w:tcPr>
                <w:p w14:paraId="130277A2">
                  <w:pPr>
                    <w:spacing w:line="280" w:lineRule="exact"/>
                    <w:jc w:val="center"/>
                    <w:rPr>
                      <w:color w:val="auto"/>
                      <w:szCs w:val="21"/>
                    </w:rPr>
                  </w:pPr>
                  <w:r>
                    <w:rPr>
                      <w:rFonts w:hint="eastAsia"/>
                      <w:color w:val="auto"/>
                      <w:szCs w:val="21"/>
                    </w:rPr>
                    <w:t>备注</w:t>
                  </w:r>
                </w:p>
              </w:tc>
            </w:tr>
            <w:tr w14:paraId="27284E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964" w:type="dxa"/>
                  <w:noWrap w:val="0"/>
                  <w:vAlign w:val="center"/>
                </w:tcPr>
                <w:p w14:paraId="60FA439F">
                  <w:pPr>
                    <w:spacing w:line="280" w:lineRule="exact"/>
                    <w:jc w:val="center"/>
                    <w:rPr>
                      <w:rFonts w:hint="eastAsia" w:eastAsia="宋体"/>
                      <w:color w:val="auto"/>
                      <w:szCs w:val="21"/>
                      <w:lang w:val="en-US" w:eastAsia="zh-CN"/>
                    </w:rPr>
                  </w:pPr>
                  <w:r>
                    <w:rPr>
                      <w:rFonts w:hint="eastAsia"/>
                      <w:color w:val="auto"/>
                      <w:szCs w:val="21"/>
                      <w:lang w:val="en-US" w:eastAsia="zh-CN"/>
                    </w:rPr>
                    <w:t>1</w:t>
                  </w:r>
                </w:p>
              </w:tc>
              <w:tc>
                <w:tcPr>
                  <w:tcW w:w="1421" w:type="dxa"/>
                  <w:noWrap w:val="0"/>
                  <w:vAlign w:val="center"/>
                </w:tcPr>
                <w:p w14:paraId="43A27B2B">
                  <w:pPr>
                    <w:spacing w:line="280" w:lineRule="exact"/>
                    <w:jc w:val="center"/>
                    <w:rPr>
                      <w:rFonts w:hint="default"/>
                      <w:color w:val="auto"/>
                      <w:szCs w:val="21"/>
                      <w:lang w:val="en-US" w:eastAsia="zh-CN"/>
                    </w:rPr>
                  </w:pPr>
                  <w:r>
                    <w:rPr>
                      <w:rFonts w:hint="eastAsia"/>
                      <w:color w:val="auto"/>
                      <w:szCs w:val="21"/>
                      <w:lang w:val="en-US" w:eastAsia="zh-CN"/>
                    </w:rPr>
                    <w:t>塑料手柄</w:t>
                  </w:r>
                </w:p>
              </w:tc>
              <w:tc>
                <w:tcPr>
                  <w:tcW w:w="1862" w:type="dxa"/>
                  <w:noWrap w:val="0"/>
                  <w:vAlign w:val="center"/>
                </w:tcPr>
                <w:p w14:paraId="375DC3DD">
                  <w:pPr>
                    <w:spacing w:line="280" w:lineRule="exact"/>
                    <w:jc w:val="center"/>
                    <w:rPr>
                      <w:rFonts w:hint="default"/>
                      <w:color w:val="auto"/>
                      <w:szCs w:val="21"/>
                      <w:lang w:val="en-US" w:eastAsia="zh-CN"/>
                    </w:rPr>
                  </w:pPr>
                  <w:r>
                    <w:rPr>
                      <w:rFonts w:hint="eastAsia"/>
                      <w:color w:val="auto"/>
                      <w:szCs w:val="21"/>
                      <w:lang w:val="en-US" w:eastAsia="zh-CN"/>
                    </w:rPr>
                    <w:t>定制</w:t>
                  </w:r>
                </w:p>
              </w:tc>
              <w:tc>
                <w:tcPr>
                  <w:tcW w:w="1885" w:type="dxa"/>
                  <w:noWrap w:val="0"/>
                  <w:vAlign w:val="center"/>
                </w:tcPr>
                <w:p w14:paraId="518E7ADA">
                  <w:pPr>
                    <w:spacing w:line="280" w:lineRule="exact"/>
                    <w:jc w:val="center"/>
                    <w:rPr>
                      <w:rFonts w:hint="default"/>
                      <w:color w:val="auto"/>
                      <w:szCs w:val="21"/>
                      <w:lang w:val="en-US" w:eastAsia="zh-CN"/>
                    </w:rPr>
                  </w:pPr>
                  <w:r>
                    <w:rPr>
                      <w:rFonts w:hint="eastAsia"/>
                      <w:color w:val="auto"/>
                      <w:szCs w:val="21"/>
                      <w:lang w:val="en-US" w:eastAsia="zh-CN"/>
                    </w:rPr>
                    <w:t>50万件</w:t>
                  </w:r>
                </w:p>
              </w:tc>
              <w:tc>
                <w:tcPr>
                  <w:tcW w:w="1845" w:type="dxa"/>
                  <w:noWrap w:val="0"/>
                  <w:vAlign w:val="center"/>
                </w:tcPr>
                <w:p w14:paraId="778F0DC6">
                  <w:pPr>
                    <w:spacing w:line="280" w:lineRule="exact"/>
                    <w:jc w:val="center"/>
                    <w:rPr>
                      <w:rFonts w:hint="eastAsia" w:eastAsia="宋体"/>
                      <w:color w:val="auto"/>
                      <w:szCs w:val="21"/>
                      <w:lang w:val="en-US" w:eastAsia="zh-CN"/>
                    </w:rPr>
                  </w:pPr>
                  <w:r>
                    <w:rPr>
                      <w:rFonts w:hint="eastAsia"/>
                      <w:color w:val="auto"/>
                      <w:szCs w:val="21"/>
                      <w:lang w:val="en-US" w:eastAsia="zh-CN"/>
                    </w:rPr>
                    <w:t>/</w:t>
                  </w:r>
                </w:p>
              </w:tc>
            </w:tr>
          </w:tbl>
          <w:p w14:paraId="7DCF704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7、占地面积与建筑面积</w:t>
            </w:r>
          </w:p>
          <w:p w14:paraId="0476242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本项目总占地面积</w:t>
            </w:r>
            <w:r>
              <w:rPr>
                <w:rFonts w:hint="eastAsia"/>
                <w:color w:val="auto"/>
                <w:lang w:val="en-US" w:eastAsia="zh-CN"/>
              </w:rPr>
              <w:t>1951</w:t>
            </w:r>
            <w:r>
              <w:rPr>
                <w:color w:val="auto"/>
              </w:rPr>
              <w:t>m</w:t>
            </w:r>
            <w:r>
              <w:rPr>
                <w:color w:val="auto"/>
                <w:vertAlign w:val="superscript"/>
              </w:rPr>
              <w:t>2</w:t>
            </w:r>
            <w:r>
              <w:rPr>
                <w:rFonts w:hint="eastAsia"/>
                <w:color w:val="auto"/>
              </w:rPr>
              <w:t>，</w:t>
            </w:r>
            <w:r>
              <w:rPr>
                <w:rFonts w:hint="eastAsia"/>
                <w:color w:val="auto"/>
                <w:lang w:val="en-US" w:eastAsia="zh-CN"/>
              </w:rPr>
              <w:t>租赁生产厂房建筑物</w:t>
            </w:r>
            <w:r>
              <w:rPr>
                <w:rFonts w:hint="eastAsia"/>
                <w:color w:val="auto"/>
              </w:rPr>
              <w:t>建筑面积</w:t>
            </w:r>
            <w:r>
              <w:rPr>
                <w:rFonts w:hint="eastAsia"/>
                <w:color w:val="auto"/>
                <w:lang w:val="en-US" w:eastAsia="zh-CN"/>
              </w:rPr>
              <w:t>约1364.21</w:t>
            </w:r>
            <w:r>
              <w:rPr>
                <w:color w:val="auto"/>
              </w:rPr>
              <w:t>m</w:t>
            </w:r>
            <w:r>
              <w:rPr>
                <w:color w:val="auto"/>
                <w:vertAlign w:val="superscript"/>
              </w:rPr>
              <w:t>2</w:t>
            </w:r>
            <w:r>
              <w:rPr>
                <w:rFonts w:hint="eastAsia"/>
                <w:color w:val="auto"/>
              </w:rPr>
              <w:t>。</w:t>
            </w:r>
          </w:p>
          <w:p w14:paraId="12D7240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8、工程内容</w:t>
            </w:r>
          </w:p>
          <w:p w14:paraId="61E1153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本项目工程内容主要包括主体工程、辅助工程、储运工程、公用工程及环保工程等，具体内容见表2-2。</w:t>
            </w:r>
          </w:p>
          <w:p w14:paraId="4E20978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表2-2项目主体工程及公用、辅助工程一览表</w:t>
            </w:r>
          </w:p>
          <w:tbl>
            <w:tblPr>
              <w:tblStyle w:val="23"/>
              <w:tblW w:w="79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43"/>
              <w:gridCol w:w="544"/>
              <w:gridCol w:w="1705"/>
              <w:gridCol w:w="2729"/>
              <w:gridCol w:w="2457"/>
            </w:tblGrid>
            <w:tr w14:paraId="166A7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noWrap w:val="0"/>
                  <w:vAlign w:val="center"/>
                </w:tcPr>
                <w:p w14:paraId="09FEED0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工程名称</w:t>
                  </w:r>
                </w:p>
              </w:tc>
              <w:tc>
                <w:tcPr>
                  <w:tcW w:w="1705" w:type="dxa"/>
                  <w:noWrap w:val="0"/>
                  <w:vAlign w:val="center"/>
                </w:tcPr>
                <w:p w14:paraId="42AB22D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建设名称</w:t>
                  </w:r>
                </w:p>
              </w:tc>
              <w:tc>
                <w:tcPr>
                  <w:tcW w:w="2729" w:type="dxa"/>
                  <w:noWrap w:val="0"/>
                  <w:vAlign w:val="center"/>
                </w:tcPr>
                <w:p w14:paraId="4ED7217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设计能力</w:t>
                  </w:r>
                </w:p>
              </w:tc>
              <w:tc>
                <w:tcPr>
                  <w:tcW w:w="2457" w:type="dxa"/>
                  <w:noWrap w:val="0"/>
                  <w:vAlign w:val="center"/>
                </w:tcPr>
                <w:p w14:paraId="23379AC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备注</w:t>
                  </w:r>
                </w:p>
              </w:tc>
            </w:tr>
            <w:tr w14:paraId="79F70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noWrap w:val="0"/>
                  <w:vAlign w:val="center"/>
                </w:tcPr>
                <w:p w14:paraId="03A4263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主体工程</w:t>
                  </w:r>
                </w:p>
              </w:tc>
              <w:tc>
                <w:tcPr>
                  <w:tcW w:w="1705" w:type="dxa"/>
                  <w:noWrap w:val="0"/>
                  <w:vAlign w:val="center"/>
                </w:tcPr>
                <w:p w14:paraId="046EFDF8">
                  <w:pPr>
                    <w:adjustRightInd w:val="0"/>
                    <w:snapToGrid w:val="0"/>
                    <w:spacing w:line="240" w:lineRule="auto"/>
                    <w:ind w:firstLine="0" w:firstLineChars="0"/>
                    <w:jc w:val="center"/>
                    <w:rPr>
                      <w:rFonts w:hint="default"/>
                      <w:color w:val="auto"/>
                      <w:sz w:val="21"/>
                      <w:lang w:val="en-US" w:eastAsia="zh-CN"/>
                    </w:rPr>
                  </w:pPr>
                  <w:r>
                    <w:rPr>
                      <w:rFonts w:hint="eastAsia"/>
                      <w:color w:val="auto"/>
                      <w:sz w:val="21"/>
                      <w:szCs w:val="21"/>
                      <w:lang w:val="en-US" w:eastAsia="zh-CN"/>
                    </w:rPr>
                    <w:t>厂房</w:t>
                  </w:r>
                </w:p>
              </w:tc>
              <w:tc>
                <w:tcPr>
                  <w:tcW w:w="2729" w:type="dxa"/>
                  <w:noWrap w:val="0"/>
                  <w:vAlign w:val="center"/>
                </w:tcPr>
                <w:p w14:paraId="6ACFA697">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olor w:val="auto"/>
                      <w:sz w:val="21"/>
                      <w:szCs w:val="21"/>
                      <w:lang w:val="en-US" w:eastAsia="zh-CN"/>
                    </w:rPr>
                    <w:t>共1层，</w:t>
                  </w:r>
                  <w:r>
                    <w:rPr>
                      <w:rFonts w:hint="eastAsia"/>
                      <w:color w:val="auto"/>
                      <w:sz w:val="21"/>
                      <w:szCs w:val="21"/>
                    </w:rPr>
                    <w:t>建筑面积</w:t>
                  </w:r>
                  <w:r>
                    <w:rPr>
                      <w:rFonts w:hint="eastAsia"/>
                      <w:color w:val="auto"/>
                      <w:sz w:val="21"/>
                      <w:szCs w:val="21"/>
                      <w:lang w:val="en-US" w:eastAsia="zh-CN"/>
                    </w:rPr>
                    <w:t>1364.21</w:t>
                  </w:r>
                  <w:r>
                    <w:rPr>
                      <w:rFonts w:hint="eastAsia"/>
                      <w:color w:val="auto"/>
                      <w:sz w:val="21"/>
                      <w:szCs w:val="21"/>
                    </w:rPr>
                    <w:t>m</w:t>
                  </w:r>
                  <w:r>
                    <w:rPr>
                      <w:rFonts w:hint="eastAsia"/>
                      <w:color w:val="auto"/>
                      <w:sz w:val="21"/>
                      <w:szCs w:val="21"/>
                      <w:vertAlign w:val="superscript"/>
                    </w:rPr>
                    <w:t>2</w:t>
                  </w:r>
                </w:p>
              </w:tc>
              <w:tc>
                <w:tcPr>
                  <w:tcW w:w="2457" w:type="dxa"/>
                  <w:noWrap w:val="0"/>
                  <w:vAlign w:val="center"/>
                </w:tcPr>
                <w:p w14:paraId="3E9D9293">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厂房中间为注塑区设置11台注塑机、东侧为拉挤区设置2台拉挤机</w:t>
                  </w:r>
                </w:p>
              </w:tc>
            </w:tr>
            <w:tr w14:paraId="03120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vMerge w:val="restart"/>
                  <w:noWrap w:val="0"/>
                  <w:vAlign w:val="center"/>
                </w:tcPr>
                <w:p w14:paraId="36AC4A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储运工程</w:t>
                  </w:r>
                </w:p>
              </w:tc>
              <w:tc>
                <w:tcPr>
                  <w:tcW w:w="1705" w:type="dxa"/>
                  <w:noWrap w:val="0"/>
                  <w:vAlign w:val="center"/>
                </w:tcPr>
                <w:p w14:paraId="7A494F6B">
                  <w:pPr>
                    <w:pStyle w:val="18"/>
                    <w:spacing w:after="0" w:line="280" w:lineRule="exact"/>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原料区</w:t>
                  </w:r>
                </w:p>
              </w:tc>
              <w:tc>
                <w:tcPr>
                  <w:tcW w:w="2729" w:type="dxa"/>
                  <w:noWrap w:val="0"/>
                  <w:vAlign w:val="center"/>
                </w:tcPr>
                <w:p w14:paraId="7E5930FE">
                  <w:pPr>
                    <w:pStyle w:val="18"/>
                    <w:spacing w:after="0" w:line="280" w:lineRule="exact"/>
                    <w:ind w:left="0" w:lef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建筑面积约240m</w:t>
                  </w:r>
                  <w:r>
                    <w:rPr>
                      <w:rFonts w:hint="eastAsia" w:cs="Times New Roman"/>
                      <w:color w:val="auto"/>
                      <w:sz w:val="21"/>
                      <w:szCs w:val="21"/>
                      <w:vertAlign w:val="superscript"/>
                      <w:lang w:val="en-US" w:eastAsia="zh-CN"/>
                    </w:rPr>
                    <w:t>2</w:t>
                  </w:r>
                </w:p>
              </w:tc>
              <w:tc>
                <w:tcPr>
                  <w:tcW w:w="2457" w:type="dxa"/>
                  <w:noWrap w:val="0"/>
                  <w:vAlign w:val="center"/>
                </w:tcPr>
                <w:p w14:paraId="72FCE906">
                  <w:pPr>
                    <w:pStyle w:val="18"/>
                    <w:spacing w:after="0" w:line="280" w:lineRule="exact"/>
                    <w:ind w:left="0" w:leftChars="0" w:firstLine="0" w:firstLineChars="0"/>
                    <w:jc w:val="center"/>
                    <w:rPr>
                      <w:rFonts w:hint="default" w:eastAsia="宋体"/>
                      <w:color w:val="auto"/>
                      <w:sz w:val="21"/>
                      <w:szCs w:val="21"/>
                      <w:lang w:val="en-US" w:eastAsia="zh-CN"/>
                    </w:rPr>
                  </w:pPr>
                  <w:r>
                    <w:rPr>
                      <w:rFonts w:hint="eastAsia" w:eastAsia="宋体"/>
                      <w:color w:val="auto"/>
                      <w:sz w:val="21"/>
                      <w:lang w:val="en-US" w:eastAsia="zh-CN"/>
                    </w:rPr>
                    <w:t>位于生产厂房</w:t>
                  </w:r>
                  <w:r>
                    <w:rPr>
                      <w:rFonts w:hint="eastAsia"/>
                      <w:color w:val="auto"/>
                      <w:sz w:val="21"/>
                      <w:lang w:val="en-US" w:eastAsia="zh-CN"/>
                    </w:rPr>
                    <w:t>内西侧</w:t>
                  </w:r>
                </w:p>
              </w:tc>
            </w:tr>
            <w:tr w14:paraId="7C337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vMerge w:val="continue"/>
                  <w:noWrap w:val="0"/>
                  <w:vAlign w:val="center"/>
                </w:tcPr>
                <w:p w14:paraId="57A9AA8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05" w:type="dxa"/>
                  <w:noWrap w:val="0"/>
                  <w:vAlign w:val="center"/>
                </w:tcPr>
                <w:p w14:paraId="01C6A615">
                  <w:pPr>
                    <w:pStyle w:val="18"/>
                    <w:spacing w:after="0" w:line="280" w:lineRule="exact"/>
                    <w:ind w:left="0" w:leftChars="0" w:firstLine="0" w:firstLineChars="0"/>
                    <w:jc w:val="center"/>
                    <w:rPr>
                      <w:rFonts w:hint="default" w:cs="Times New Roman"/>
                      <w:color w:val="auto"/>
                      <w:sz w:val="21"/>
                      <w:lang w:val="en-US" w:eastAsia="zh-CN"/>
                    </w:rPr>
                  </w:pPr>
                  <w:r>
                    <w:rPr>
                      <w:rFonts w:hint="eastAsia" w:cs="Times New Roman"/>
                      <w:color w:val="auto"/>
                      <w:sz w:val="21"/>
                      <w:lang w:val="en-US" w:eastAsia="zh-CN"/>
                    </w:rPr>
                    <w:t>成品区</w:t>
                  </w:r>
                </w:p>
              </w:tc>
              <w:tc>
                <w:tcPr>
                  <w:tcW w:w="2729" w:type="dxa"/>
                  <w:noWrap w:val="0"/>
                  <w:vAlign w:val="center"/>
                </w:tcPr>
                <w:p w14:paraId="0987C7E1">
                  <w:pPr>
                    <w:pStyle w:val="18"/>
                    <w:spacing w:after="0" w:line="280" w:lineRule="exact"/>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建筑面积约240m</w:t>
                  </w:r>
                  <w:r>
                    <w:rPr>
                      <w:rFonts w:hint="eastAsia" w:cs="Times New Roman"/>
                      <w:color w:val="auto"/>
                      <w:sz w:val="21"/>
                      <w:szCs w:val="21"/>
                      <w:vertAlign w:val="superscript"/>
                      <w:lang w:val="en-US" w:eastAsia="zh-CN"/>
                    </w:rPr>
                    <w:t>2</w:t>
                  </w:r>
                </w:p>
              </w:tc>
              <w:tc>
                <w:tcPr>
                  <w:tcW w:w="2457" w:type="dxa"/>
                  <w:noWrap w:val="0"/>
                  <w:vAlign w:val="center"/>
                </w:tcPr>
                <w:p w14:paraId="3476C1EF">
                  <w:pPr>
                    <w:pStyle w:val="18"/>
                    <w:spacing w:after="0" w:line="280" w:lineRule="exact"/>
                    <w:ind w:left="0" w:leftChars="0" w:firstLine="0" w:firstLineChars="0"/>
                    <w:jc w:val="center"/>
                    <w:rPr>
                      <w:rFonts w:hint="eastAsia"/>
                      <w:color w:val="auto"/>
                      <w:sz w:val="21"/>
                      <w:szCs w:val="21"/>
                      <w:lang w:val="en-US" w:eastAsia="zh-CN"/>
                    </w:rPr>
                  </w:pPr>
                  <w:r>
                    <w:rPr>
                      <w:rFonts w:hint="eastAsia"/>
                      <w:color w:val="auto"/>
                      <w:sz w:val="21"/>
                      <w:lang w:val="en-US" w:eastAsia="zh-CN"/>
                    </w:rPr>
                    <w:t>位于生产厂房内西侧</w:t>
                  </w:r>
                </w:p>
              </w:tc>
            </w:tr>
            <w:tr w14:paraId="3E7514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vMerge w:val="continue"/>
                  <w:noWrap w:val="0"/>
                  <w:vAlign w:val="center"/>
                </w:tcPr>
                <w:p w14:paraId="6F55DA9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05" w:type="dxa"/>
                  <w:noWrap w:val="0"/>
                  <w:vAlign w:val="center"/>
                </w:tcPr>
                <w:p w14:paraId="03645BAE">
                  <w:pPr>
                    <w:pStyle w:val="18"/>
                    <w:spacing w:after="0" w:line="280" w:lineRule="exact"/>
                    <w:ind w:left="0" w:leftChars="0" w:firstLine="0" w:firstLineChars="0"/>
                    <w:jc w:val="center"/>
                    <w:rPr>
                      <w:rFonts w:hint="eastAsia" w:cs="Times New Roman"/>
                      <w:color w:val="auto"/>
                      <w:sz w:val="21"/>
                      <w:lang w:val="en-US" w:eastAsia="zh-CN"/>
                    </w:rPr>
                  </w:pPr>
                  <w:r>
                    <w:rPr>
                      <w:rFonts w:hint="eastAsia" w:cs="Times New Roman"/>
                      <w:color w:val="auto"/>
                      <w:sz w:val="21"/>
                      <w:lang w:val="en-US" w:eastAsia="zh-CN"/>
                    </w:rPr>
                    <w:t>办公区</w:t>
                  </w:r>
                </w:p>
              </w:tc>
              <w:tc>
                <w:tcPr>
                  <w:tcW w:w="2729" w:type="dxa"/>
                  <w:noWrap w:val="0"/>
                  <w:vAlign w:val="center"/>
                </w:tcPr>
                <w:p w14:paraId="5DDA34CB">
                  <w:pPr>
                    <w:pStyle w:val="18"/>
                    <w:spacing w:after="0" w:line="280" w:lineRule="exact"/>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建筑面积约200m</w:t>
                  </w:r>
                  <w:r>
                    <w:rPr>
                      <w:rFonts w:hint="eastAsia" w:cs="Times New Roman"/>
                      <w:color w:val="auto"/>
                      <w:sz w:val="21"/>
                      <w:szCs w:val="21"/>
                      <w:vertAlign w:val="superscript"/>
                      <w:lang w:val="en-US" w:eastAsia="zh-CN"/>
                    </w:rPr>
                    <w:t>2</w:t>
                  </w:r>
                </w:p>
              </w:tc>
              <w:tc>
                <w:tcPr>
                  <w:tcW w:w="2457" w:type="dxa"/>
                  <w:noWrap w:val="0"/>
                  <w:vAlign w:val="center"/>
                </w:tcPr>
                <w:p w14:paraId="783DE2B2">
                  <w:pPr>
                    <w:pStyle w:val="18"/>
                    <w:spacing w:after="0" w:line="280" w:lineRule="exact"/>
                    <w:ind w:left="0" w:leftChars="0" w:firstLine="0" w:firstLineChars="0"/>
                    <w:jc w:val="center"/>
                    <w:rPr>
                      <w:rFonts w:hint="eastAsia"/>
                      <w:color w:val="auto"/>
                      <w:sz w:val="21"/>
                      <w:szCs w:val="21"/>
                      <w:lang w:val="en-US" w:eastAsia="zh-CN"/>
                    </w:rPr>
                  </w:pPr>
                  <w:r>
                    <w:rPr>
                      <w:rFonts w:hint="eastAsia"/>
                      <w:color w:val="auto"/>
                      <w:sz w:val="21"/>
                      <w:lang w:val="en-US" w:eastAsia="zh-CN"/>
                    </w:rPr>
                    <w:t>位于生产厂房内西侧</w:t>
                  </w:r>
                </w:p>
              </w:tc>
            </w:tr>
            <w:tr w14:paraId="6203B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vMerge w:val="restart"/>
                  <w:noWrap w:val="0"/>
                  <w:vAlign w:val="center"/>
                </w:tcPr>
                <w:p w14:paraId="0B0F2D9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公用工程</w:t>
                  </w:r>
                </w:p>
              </w:tc>
              <w:tc>
                <w:tcPr>
                  <w:tcW w:w="1705" w:type="dxa"/>
                  <w:noWrap w:val="0"/>
                  <w:vAlign w:val="center"/>
                </w:tcPr>
                <w:p w14:paraId="3A02A70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给水系统</w:t>
                  </w:r>
                </w:p>
              </w:tc>
              <w:tc>
                <w:tcPr>
                  <w:tcW w:w="2729" w:type="dxa"/>
                  <w:noWrap w:val="0"/>
                  <w:vAlign w:val="center"/>
                </w:tcPr>
                <w:p w14:paraId="5F37D8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ascii="Times New Roman" w:hAnsi="Times New Roman" w:eastAsia="宋体" w:cs="Times New Roman"/>
                      <w:color w:val="auto"/>
                      <w:sz w:val="21"/>
                      <w:szCs w:val="21"/>
                    </w:rPr>
                    <w:t>用水量</w:t>
                  </w:r>
                  <w:r>
                    <w:rPr>
                      <w:rFonts w:hint="eastAsia" w:cs="Times New Roman"/>
                      <w:color w:val="auto"/>
                      <w:sz w:val="21"/>
                      <w:szCs w:val="21"/>
                      <w:lang w:val="en-US" w:eastAsia="zh-CN"/>
                    </w:rPr>
                    <w:t>480</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57" w:type="dxa"/>
                  <w:noWrap w:val="0"/>
                  <w:vAlign w:val="center"/>
                </w:tcPr>
                <w:p w14:paraId="3BC89FD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市政自来水管网供给</w:t>
                  </w:r>
                </w:p>
              </w:tc>
            </w:tr>
            <w:tr w14:paraId="6BBC0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vMerge w:val="continue"/>
                  <w:noWrap w:val="0"/>
                  <w:vAlign w:val="center"/>
                </w:tcPr>
                <w:p w14:paraId="7820F4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2A3DA9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排水系统</w:t>
                  </w:r>
                </w:p>
              </w:tc>
              <w:tc>
                <w:tcPr>
                  <w:tcW w:w="2729" w:type="dxa"/>
                  <w:noWrap w:val="0"/>
                  <w:vAlign w:val="center"/>
                </w:tcPr>
                <w:p w14:paraId="0891DD2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s="Times New Roman"/>
                      <w:color w:val="auto"/>
                      <w:sz w:val="21"/>
                      <w:szCs w:val="21"/>
                      <w:lang w:val="en-US" w:eastAsia="zh-CN"/>
                    </w:rPr>
                    <w:t>处理能力192</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57" w:type="dxa"/>
                  <w:noWrap w:val="0"/>
                  <w:vAlign w:val="center"/>
                </w:tcPr>
                <w:p w14:paraId="288D0D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s="Times New Roman"/>
                      <w:color w:val="auto"/>
                      <w:sz w:val="21"/>
                      <w:szCs w:val="21"/>
                      <w:lang w:val="en-US" w:eastAsia="zh-CN"/>
                    </w:rPr>
                    <w:t>生活污水经化粪池处理交由附近农户定期清掏肥田</w:t>
                  </w:r>
                </w:p>
              </w:tc>
            </w:tr>
            <w:tr w14:paraId="332C7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7" w:type="dxa"/>
                  <w:gridSpan w:val="2"/>
                  <w:vMerge w:val="continue"/>
                  <w:noWrap w:val="0"/>
                  <w:vAlign w:val="center"/>
                </w:tcPr>
                <w:p w14:paraId="52A0DA8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4965F89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供电系统</w:t>
                  </w:r>
                </w:p>
              </w:tc>
              <w:tc>
                <w:tcPr>
                  <w:tcW w:w="2729" w:type="dxa"/>
                  <w:noWrap w:val="0"/>
                  <w:vAlign w:val="center"/>
                </w:tcPr>
                <w:p w14:paraId="4DDB7A6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用电量</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rPr>
                    <w:t>万k·Wh/a</w:t>
                  </w:r>
                </w:p>
              </w:tc>
              <w:tc>
                <w:tcPr>
                  <w:tcW w:w="2457" w:type="dxa"/>
                  <w:noWrap w:val="0"/>
                  <w:vAlign w:val="center"/>
                </w:tcPr>
                <w:p w14:paraId="241C664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市政电网供给</w:t>
                  </w:r>
                </w:p>
              </w:tc>
            </w:tr>
            <w:tr w14:paraId="6E8A3F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restart"/>
                  <w:noWrap w:val="0"/>
                  <w:vAlign w:val="center"/>
                </w:tcPr>
                <w:p w14:paraId="2BC5ADE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环保工程</w:t>
                  </w:r>
                </w:p>
              </w:tc>
              <w:tc>
                <w:tcPr>
                  <w:tcW w:w="544" w:type="dxa"/>
                  <w:vMerge w:val="restart"/>
                  <w:noWrap w:val="0"/>
                  <w:vAlign w:val="center"/>
                </w:tcPr>
                <w:p w14:paraId="17BC4B6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废气处理</w:t>
                  </w:r>
                </w:p>
              </w:tc>
              <w:tc>
                <w:tcPr>
                  <w:tcW w:w="1705" w:type="dxa"/>
                  <w:noWrap w:val="0"/>
                  <w:vAlign w:val="center"/>
                </w:tcPr>
                <w:p w14:paraId="03D41170">
                  <w:pPr>
                    <w:pStyle w:val="18"/>
                    <w:spacing w:after="0" w:line="280" w:lineRule="exact"/>
                    <w:ind w:left="0" w:leftChars="0" w:firstLine="0" w:firstLineChars="0"/>
                    <w:jc w:val="center"/>
                    <w:rPr>
                      <w:rFonts w:hint="default"/>
                      <w:color w:val="auto"/>
                      <w:kern w:val="0"/>
                      <w:sz w:val="21"/>
                      <w:szCs w:val="20"/>
                      <w:lang w:val="en-US" w:eastAsia="zh-CN" w:bidi="ar-SA"/>
                    </w:rPr>
                  </w:pPr>
                  <w:r>
                    <w:rPr>
                      <w:rFonts w:hint="eastAsia"/>
                      <w:color w:val="auto"/>
                      <w:sz w:val="21"/>
                    </w:rPr>
                    <w:t>废气处理</w:t>
                  </w:r>
                </w:p>
              </w:tc>
              <w:tc>
                <w:tcPr>
                  <w:tcW w:w="2729" w:type="dxa"/>
                  <w:noWrap w:val="0"/>
                  <w:vAlign w:val="center"/>
                </w:tcPr>
                <w:p w14:paraId="7A432190">
                  <w:pPr>
                    <w:pStyle w:val="18"/>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bidi="ar-SA"/>
                    </w:rPr>
                    <w:t>拉挤区</w:t>
                  </w:r>
                  <w:r>
                    <w:rPr>
                      <w:rFonts w:hint="eastAsia" w:ascii="Times New Roman" w:hAnsi="Times New Roman" w:eastAsia="宋体" w:cs="Times New Roman"/>
                      <w:b w:val="0"/>
                      <w:bCs/>
                      <w:color w:val="auto"/>
                      <w:kern w:val="0"/>
                      <w:sz w:val="21"/>
                      <w:szCs w:val="21"/>
                      <w:lang w:val="en-US" w:eastAsia="zh-CN" w:bidi="ar-SA"/>
                    </w:rPr>
                    <w:t>有机废气：集气罩+二级活性炭吸附装置</w:t>
                  </w:r>
                  <w:r>
                    <w:rPr>
                      <w:rFonts w:hint="eastAsia" w:cs="Times New Roman"/>
                      <w:b w:val="0"/>
                      <w:bCs/>
                      <w:color w:val="auto"/>
                      <w:kern w:val="0"/>
                      <w:sz w:val="21"/>
                      <w:szCs w:val="21"/>
                      <w:lang w:val="en-US" w:eastAsia="zh-CN" w:bidi="ar-SA"/>
                    </w:rPr>
                    <w:t>（TA001）</w:t>
                  </w:r>
                  <w:r>
                    <w:rPr>
                      <w:rFonts w:hint="eastAsia" w:ascii="Times New Roman" w:hAnsi="Times New Roman" w:eastAsia="宋体" w:cs="Times New Roman"/>
                      <w:b w:val="0"/>
                      <w:bCs/>
                      <w:color w:val="auto"/>
                      <w:kern w:val="0"/>
                      <w:sz w:val="21"/>
                      <w:szCs w:val="21"/>
                      <w:lang w:val="en-US" w:eastAsia="zh-CN" w:bidi="ar-SA"/>
                    </w:rPr>
                    <w:t>+15m高排气筒（DA001）排放</w:t>
                  </w:r>
                </w:p>
                <w:p w14:paraId="29069540">
                  <w:pPr>
                    <w:pStyle w:val="18"/>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eastAsia"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bidi="ar-SA"/>
                    </w:rPr>
                    <w:t>切割、打磨颗粒物</w:t>
                  </w:r>
                  <w:r>
                    <w:rPr>
                      <w:rFonts w:hint="eastAsia" w:ascii="Times New Roman" w:hAnsi="Times New Roman" w:eastAsia="宋体" w:cs="Times New Roman"/>
                      <w:b w:val="0"/>
                      <w:bCs/>
                      <w:color w:val="auto"/>
                      <w:kern w:val="0"/>
                      <w:sz w:val="21"/>
                      <w:szCs w:val="21"/>
                      <w:lang w:val="en-US" w:eastAsia="zh-CN" w:bidi="ar-SA"/>
                    </w:rPr>
                    <w:t>：集气罩+</w:t>
                  </w:r>
                  <w:r>
                    <w:rPr>
                      <w:rFonts w:hint="eastAsia" w:cs="Times New Roman"/>
                      <w:b w:val="0"/>
                      <w:bCs/>
                      <w:color w:val="auto"/>
                      <w:kern w:val="0"/>
                      <w:sz w:val="21"/>
                      <w:szCs w:val="21"/>
                      <w:lang w:val="en-US" w:eastAsia="zh-CN" w:bidi="ar-SA"/>
                    </w:rPr>
                    <w:t>布袋除尘器（TA002）</w:t>
                  </w:r>
                  <w:r>
                    <w:rPr>
                      <w:rFonts w:hint="eastAsia" w:ascii="Times New Roman" w:hAnsi="Times New Roman" w:eastAsia="宋体" w:cs="Times New Roman"/>
                      <w:b w:val="0"/>
                      <w:bCs/>
                      <w:color w:val="auto"/>
                      <w:kern w:val="0"/>
                      <w:sz w:val="21"/>
                      <w:szCs w:val="21"/>
                      <w:lang w:val="en-US" w:eastAsia="zh-CN" w:bidi="ar-SA"/>
                    </w:rPr>
                    <w:t>+15m高排气筒（DA00</w:t>
                  </w:r>
                  <w:r>
                    <w:rPr>
                      <w:rFonts w:hint="eastAsia" w:cs="Times New Roman"/>
                      <w:b w:val="0"/>
                      <w:bCs/>
                      <w:color w:val="auto"/>
                      <w:kern w:val="0"/>
                      <w:sz w:val="21"/>
                      <w:szCs w:val="21"/>
                      <w:lang w:val="en-US" w:eastAsia="zh-CN" w:bidi="ar-SA"/>
                    </w:rPr>
                    <w:t>2</w:t>
                  </w:r>
                  <w:r>
                    <w:rPr>
                      <w:rFonts w:hint="eastAsia" w:ascii="Times New Roman" w:hAnsi="Times New Roman" w:eastAsia="宋体" w:cs="Times New Roman"/>
                      <w:b w:val="0"/>
                      <w:bCs/>
                      <w:color w:val="auto"/>
                      <w:kern w:val="0"/>
                      <w:sz w:val="21"/>
                      <w:szCs w:val="21"/>
                      <w:lang w:val="en-US" w:eastAsia="zh-CN" w:bidi="ar-SA"/>
                    </w:rPr>
                    <w:t>）排放</w:t>
                  </w:r>
                </w:p>
                <w:p w14:paraId="4464F2C5">
                  <w:pPr>
                    <w:pStyle w:val="18"/>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color w:val="auto"/>
                    </w:rPr>
                  </w:pPr>
                  <w:r>
                    <w:rPr>
                      <w:rFonts w:hint="eastAsia" w:cs="Times New Roman"/>
                      <w:b w:val="0"/>
                      <w:bCs/>
                      <w:color w:val="auto"/>
                      <w:kern w:val="0"/>
                      <w:sz w:val="21"/>
                      <w:szCs w:val="21"/>
                      <w:lang w:val="en-US" w:eastAsia="zh-CN" w:bidi="ar-SA"/>
                    </w:rPr>
                    <w:t>注塑</w:t>
                  </w:r>
                  <w:r>
                    <w:rPr>
                      <w:rFonts w:hint="eastAsia" w:ascii="Times New Roman" w:hAnsi="Times New Roman" w:eastAsia="宋体" w:cs="Times New Roman"/>
                      <w:b w:val="0"/>
                      <w:bCs/>
                      <w:color w:val="auto"/>
                      <w:kern w:val="0"/>
                      <w:sz w:val="21"/>
                      <w:szCs w:val="21"/>
                      <w:lang w:val="en-US" w:eastAsia="zh-CN" w:bidi="ar-SA"/>
                    </w:rPr>
                    <w:t>有机废气：集气罩+二级活性炭吸附装置</w:t>
                  </w:r>
                  <w:r>
                    <w:rPr>
                      <w:rFonts w:hint="eastAsia" w:cs="Times New Roman"/>
                      <w:b w:val="0"/>
                      <w:bCs/>
                      <w:color w:val="auto"/>
                      <w:kern w:val="0"/>
                      <w:sz w:val="21"/>
                      <w:szCs w:val="21"/>
                      <w:lang w:val="en-US" w:eastAsia="zh-CN" w:bidi="ar-SA"/>
                    </w:rPr>
                    <w:t>（TA001）</w:t>
                  </w:r>
                  <w:r>
                    <w:rPr>
                      <w:rFonts w:hint="eastAsia" w:ascii="Times New Roman" w:hAnsi="Times New Roman" w:eastAsia="宋体" w:cs="Times New Roman"/>
                      <w:b w:val="0"/>
                      <w:bCs/>
                      <w:color w:val="auto"/>
                      <w:kern w:val="0"/>
                      <w:sz w:val="21"/>
                      <w:szCs w:val="21"/>
                      <w:lang w:val="en-US" w:eastAsia="zh-CN" w:bidi="ar-SA"/>
                    </w:rPr>
                    <w:t>+15m高排气筒（DA00</w:t>
                  </w:r>
                  <w:r>
                    <w:rPr>
                      <w:rFonts w:hint="eastAsia" w:cs="Times New Roman"/>
                      <w:b w:val="0"/>
                      <w:bCs/>
                      <w:color w:val="auto"/>
                      <w:kern w:val="0"/>
                      <w:sz w:val="21"/>
                      <w:szCs w:val="21"/>
                      <w:lang w:val="en-US" w:eastAsia="zh-CN" w:bidi="ar-SA"/>
                    </w:rPr>
                    <w:t>1</w:t>
                  </w:r>
                  <w:r>
                    <w:rPr>
                      <w:rFonts w:hint="eastAsia" w:ascii="Times New Roman" w:hAnsi="Times New Roman" w:eastAsia="宋体" w:cs="Times New Roman"/>
                      <w:b w:val="0"/>
                      <w:bCs/>
                      <w:color w:val="auto"/>
                      <w:kern w:val="0"/>
                      <w:sz w:val="21"/>
                      <w:szCs w:val="21"/>
                      <w:lang w:val="en-US" w:eastAsia="zh-CN" w:bidi="ar-SA"/>
                    </w:rPr>
                    <w:t>）排放</w:t>
                  </w:r>
                </w:p>
                <w:p w14:paraId="103BCC9A">
                  <w:pPr>
                    <w:pStyle w:val="18"/>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default" w:eastAsia="宋体"/>
                      <w:color w:val="auto"/>
                      <w:lang w:val="en-US" w:eastAsia="zh-CN"/>
                    </w:rPr>
                  </w:pPr>
                  <w:r>
                    <w:rPr>
                      <w:rFonts w:hint="eastAsia" w:cs="Times New Roman"/>
                      <w:b w:val="0"/>
                      <w:bCs/>
                      <w:color w:val="auto"/>
                      <w:kern w:val="0"/>
                      <w:sz w:val="21"/>
                      <w:szCs w:val="21"/>
                      <w:lang w:val="en-US" w:eastAsia="zh-CN" w:bidi="ar-SA"/>
                    </w:rPr>
                    <w:t>钻孔、破碎颗粒物：无组织排放</w:t>
                  </w:r>
                </w:p>
              </w:tc>
              <w:tc>
                <w:tcPr>
                  <w:tcW w:w="2457" w:type="dxa"/>
                  <w:vMerge w:val="restart"/>
                  <w:noWrap w:val="0"/>
                  <w:vAlign w:val="center"/>
                </w:tcPr>
                <w:p w14:paraId="52AFF4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达标排放</w:t>
                  </w:r>
                </w:p>
              </w:tc>
            </w:tr>
            <w:tr w14:paraId="56A8F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continue"/>
                  <w:noWrap w:val="0"/>
                  <w:vAlign w:val="center"/>
                </w:tcPr>
                <w:p w14:paraId="3DD5ACB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34B5142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3CF9630D">
                  <w:pPr>
                    <w:adjustRightInd w:val="0"/>
                    <w:snapToGrid w:val="0"/>
                    <w:spacing w:line="240" w:lineRule="auto"/>
                    <w:ind w:firstLine="0" w:firstLineChars="0"/>
                    <w:jc w:val="center"/>
                    <w:rPr>
                      <w:color w:val="auto"/>
                      <w:sz w:val="21"/>
                    </w:rPr>
                  </w:pPr>
                  <w:r>
                    <w:rPr>
                      <w:color w:val="auto"/>
                      <w:sz w:val="21"/>
                      <w:szCs w:val="21"/>
                    </w:rPr>
                    <w:t>车间无组织废气</w:t>
                  </w:r>
                </w:p>
              </w:tc>
              <w:tc>
                <w:tcPr>
                  <w:tcW w:w="2729" w:type="dxa"/>
                  <w:noWrap w:val="0"/>
                  <w:vAlign w:val="center"/>
                </w:tcPr>
                <w:p w14:paraId="52231F27">
                  <w:pPr>
                    <w:adjustRightInd w:val="0"/>
                    <w:snapToGrid w:val="0"/>
                    <w:spacing w:line="240" w:lineRule="auto"/>
                    <w:ind w:firstLine="0" w:firstLineChars="0"/>
                    <w:jc w:val="center"/>
                    <w:rPr>
                      <w:rFonts w:hint="default"/>
                      <w:b/>
                      <w:bCs w:val="0"/>
                      <w:color w:val="auto"/>
                      <w:lang w:val="en-US" w:eastAsia="zh-CN"/>
                    </w:rPr>
                  </w:pPr>
                  <w:r>
                    <w:rPr>
                      <w:rFonts w:hint="eastAsia"/>
                      <w:color w:val="auto"/>
                      <w:sz w:val="21"/>
                    </w:rPr>
                    <w:t>加强有组织收集效果，</w:t>
                  </w:r>
                  <w:r>
                    <w:rPr>
                      <w:color w:val="auto"/>
                      <w:sz w:val="21"/>
                    </w:rPr>
                    <w:t>车间强制排风系统</w:t>
                  </w:r>
                  <w:r>
                    <w:rPr>
                      <w:rFonts w:hint="eastAsia"/>
                      <w:color w:val="auto"/>
                      <w:sz w:val="21"/>
                    </w:rPr>
                    <w:t>、厂区加强绿化</w:t>
                  </w:r>
                </w:p>
              </w:tc>
              <w:tc>
                <w:tcPr>
                  <w:tcW w:w="2457" w:type="dxa"/>
                  <w:vMerge w:val="continue"/>
                  <w:noWrap w:val="0"/>
                  <w:vAlign w:val="center"/>
                </w:tcPr>
                <w:p w14:paraId="15C5C55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ECC76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continue"/>
                  <w:noWrap w:val="0"/>
                  <w:vAlign w:val="center"/>
                </w:tcPr>
                <w:p w14:paraId="14D7E12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noWrap w:val="0"/>
                  <w:vAlign w:val="center"/>
                </w:tcPr>
                <w:p w14:paraId="0C5E4EF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废水处理</w:t>
                  </w:r>
                </w:p>
              </w:tc>
              <w:tc>
                <w:tcPr>
                  <w:tcW w:w="1705" w:type="dxa"/>
                  <w:noWrap w:val="0"/>
                  <w:vAlign w:val="center"/>
                </w:tcPr>
                <w:p w14:paraId="7F6ADE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废水处理</w:t>
                  </w:r>
                </w:p>
              </w:tc>
              <w:tc>
                <w:tcPr>
                  <w:tcW w:w="2729" w:type="dxa"/>
                  <w:noWrap w:val="0"/>
                  <w:vAlign w:val="center"/>
                </w:tcPr>
                <w:p w14:paraId="14CB593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化粪池</w:t>
                  </w:r>
                </w:p>
              </w:tc>
              <w:tc>
                <w:tcPr>
                  <w:tcW w:w="2457" w:type="dxa"/>
                  <w:noWrap w:val="0"/>
                  <w:vAlign w:val="center"/>
                </w:tcPr>
                <w:p w14:paraId="03510F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lang w:val="en-US"/>
                    </w:rPr>
                  </w:pPr>
                  <w:r>
                    <w:rPr>
                      <w:rFonts w:hint="eastAsia"/>
                      <w:color w:val="auto"/>
                      <w:sz w:val="21"/>
                      <w:szCs w:val="21"/>
                      <w:lang w:val="en-US" w:eastAsia="zh-CN"/>
                    </w:rPr>
                    <w:t>经</w:t>
                  </w:r>
                  <w:r>
                    <w:rPr>
                      <w:rFonts w:hint="eastAsia"/>
                      <w:color w:val="auto"/>
                      <w:sz w:val="21"/>
                      <w:szCs w:val="21"/>
                    </w:rPr>
                    <w:t>化粪池预处理</w:t>
                  </w:r>
                  <w:r>
                    <w:rPr>
                      <w:rFonts w:hint="eastAsia"/>
                      <w:color w:val="auto"/>
                      <w:sz w:val="21"/>
                      <w:szCs w:val="21"/>
                      <w:lang w:val="en-US" w:eastAsia="zh-CN"/>
                    </w:rPr>
                    <w:t>接管</w:t>
                  </w:r>
                  <w:r>
                    <w:rPr>
                      <w:rFonts w:hint="eastAsia"/>
                      <w:color w:val="auto"/>
                      <w:sz w:val="21"/>
                      <w:lang w:val="en-US" w:eastAsia="zh-CN"/>
                    </w:rPr>
                    <w:t>至涟水经济开发区西区污水处理厂</w:t>
                  </w:r>
                </w:p>
              </w:tc>
            </w:tr>
            <w:tr w14:paraId="54A160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continue"/>
                  <w:noWrap w:val="0"/>
                  <w:vAlign w:val="center"/>
                </w:tcPr>
                <w:p w14:paraId="6F424F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noWrap w:val="0"/>
                  <w:vAlign w:val="center"/>
                </w:tcPr>
                <w:p w14:paraId="7B1024E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噪声处理</w:t>
                  </w:r>
                </w:p>
              </w:tc>
              <w:tc>
                <w:tcPr>
                  <w:tcW w:w="4434" w:type="dxa"/>
                  <w:gridSpan w:val="2"/>
                  <w:noWrap w:val="0"/>
                  <w:vAlign w:val="center"/>
                </w:tcPr>
                <w:p w14:paraId="0001439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rPr>
                  </w:pPr>
                  <w:r>
                    <w:rPr>
                      <w:rFonts w:hint="eastAsia"/>
                      <w:color w:val="auto"/>
                      <w:sz w:val="21"/>
                    </w:rPr>
                    <w:t>采用低噪设备、吸声罩、减震垫、隔声门窗等消声、降噪措施</w:t>
                  </w:r>
                </w:p>
              </w:tc>
              <w:tc>
                <w:tcPr>
                  <w:tcW w:w="2457" w:type="dxa"/>
                  <w:noWrap w:val="0"/>
                  <w:vAlign w:val="center"/>
                </w:tcPr>
                <w:p w14:paraId="46B34A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厂界达标</w:t>
                  </w:r>
                </w:p>
              </w:tc>
            </w:tr>
            <w:tr w14:paraId="242A1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continue"/>
                  <w:noWrap w:val="0"/>
                  <w:vAlign w:val="center"/>
                </w:tcPr>
                <w:p w14:paraId="484BEAD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restart"/>
                  <w:noWrap w:val="0"/>
                  <w:vAlign w:val="center"/>
                </w:tcPr>
                <w:p w14:paraId="03362BD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固废处理</w:t>
                  </w:r>
                </w:p>
              </w:tc>
              <w:tc>
                <w:tcPr>
                  <w:tcW w:w="1705" w:type="dxa"/>
                  <w:noWrap w:val="0"/>
                  <w:vAlign w:val="center"/>
                </w:tcPr>
                <w:p w14:paraId="4C71482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一般固废库</w:t>
                  </w:r>
                </w:p>
              </w:tc>
              <w:tc>
                <w:tcPr>
                  <w:tcW w:w="2729" w:type="dxa"/>
                  <w:noWrap w:val="0"/>
                  <w:vAlign w:val="center"/>
                </w:tcPr>
                <w:p w14:paraId="5B7D0D8C">
                  <w:pPr>
                    <w:adjustRightInd w:val="0"/>
                    <w:snapToGrid w:val="0"/>
                    <w:spacing w:line="240" w:lineRule="auto"/>
                    <w:ind w:firstLine="0" w:firstLineChars="0"/>
                    <w:jc w:val="center"/>
                    <w:rPr>
                      <w:rFonts w:hint="eastAsia" w:ascii="Times New Roman" w:hAnsi="Times New Roman" w:eastAsia="宋体" w:cs="Times New Roman"/>
                      <w:color w:val="auto"/>
                      <w:sz w:val="21"/>
                    </w:rPr>
                  </w:pPr>
                  <w:r>
                    <w:rPr>
                      <w:rFonts w:hint="eastAsia"/>
                      <w:color w:val="auto"/>
                      <w:sz w:val="21"/>
                      <w:szCs w:val="21"/>
                      <w:lang w:val="en-US" w:eastAsia="zh-CN"/>
                    </w:rPr>
                    <w:t>原料区东北侧</w:t>
                  </w:r>
                  <w:r>
                    <w:rPr>
                      <w:color w:val="auto"/>
                      <w:sz w:val="21"/>
                      <w:szCs w:val="21"/>
                    </w:rPr>
                    <w:t>设置</w:t>
                  </w:r>
                  <w:r>
                    <w:rPr>
                      <w:rFonts w:hint="eastAsia"/>
                      <w:color w:val="auto"/>
                      <w:sz w:val="21"/>
                      <w:szCs w:val="21"/>
                    </w:rPr>
                    <w:t>一般固废仓库</w:t>
                  </w:r>
                  <w:r>
                    <w:rPr>
                      <w:color w:val="auto"/>
                      <w:sz w:val="21"/>
                      <w:szCs w:val="21"/>
                    </w:rPr>
                    <w:t>，面积约</w:t>
                  </w:r>
                  <w:r>
                    <w:rPr>
                      <w:rFonts w:hint="eastAsia"/>
                      <w:color w:val="auto"/>
                      <w:sz w:val="21"/>
                      <w:szCs w:val="21"/>
                      <w:lang w:val="en-US" w:eastAsia="zh-CN"/>
                    </w:rPr>
                    <w:t>20</w:t>
                  </w:r>
                  <w:r>
                    <w:rPr>
                      <w:color w:val="auto"/>
                      <w:sz w:val="21"/>
                      <w:szCs w:val="21"/>
                    </w:rPr>
                    <w:t>m</w:t>
                  </w:r>
                  <w:r>
                    <w:rPr>
                      <w:color w:val="auto"/>
                      <w:sz w:val="21"/>
                      <w:szCs w:val="21"/>
                      <w:vertAlign w:val="superscript"/>
                    </w:rPr>
                    <w:t>2</w:t>
                  </w:r>
                </w:p>
              </w:tc>
              <w:tc>
                <w:tcPr>
                  <w:tcW w:w="2457" w:type="dxa"/>
                  <w:vMerge w:val="restart"/>
                  <w:noWrap w:val="0"/>
                  <w:vAlign w:val="center"/>
                </w:tcPr>
                <w:p w14:paraId="42B0EF0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零排放</w:t>
                  </w:r>
                </w:p>
              </w:tc>
            </w:tr>
            <w:tr w14:paraId="2B8B3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continue"/>
                  <w:noWrap w:val="0"/>
                  <w:vAlign w:val="center"/>
                </w:tcPr>
                <w:p w14:paraId="5EE8369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44560D9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7CBDC2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危废贮存库</w:t>
                  </w:r>
                </w:p>
              </w:tc>
              <w:tc>
                <w:tcPr>
                  <w:tcW w:w="2729" w:type="dxa"/>
                  <w:noWrap w:val="0"/>
                  <w:vAlign w:val="center"/>
                </w:tcPr>
                <w:p w14:paraId="70340200">
                  <w:pPr>
                    <w:adjustRightInd w:val="0"/>
                    <w:snapToGrid w:val="0"/>
                    <w:spacing w:line="240" w:lineRule="auto"/>
                    <w:ind w:firstLine="0" w:firstLineChars="0"/>
                    <w:jc w:val="center"/>
                    <w:rPr>
                      <w:rFonts w:hint="eastAsia" w:eastAsia="宋体"/>
                      <w:color w:val="auto"/>
                      <w:lang w:val="en-US" w:eastAsia="zh-CN"/>
                    </w:rPr>
                  </w:pPr>
                  <w:r>
                    <w:rPr>
                      <w:rFonts w:hint="eastAsia"/>
                      <w:color w:val="auto"/>
                      <w:sz w:val="21"/>
                      <w:szCs w:val="21"/>
                      <w:lang w:val="en-US" w:eastAsia="zh-CN"/>
                    </w:rPr>
                    <w:t>原料区西北侧</w:t>
                  </w:r>
                  <w:r>
                    <w:rPr>
                      <w:color w:val="auto"/>
                      <w:sz w:val="21"/>
                      <w:szCs w:val="21"/>
                    </w:rPr>
                    <w:t>设置</w:t>
                  </w:r>
                  <w:r>
                    <w:rPr>
                      <w:rFonts w:hint="eastAsia"/>
                      <w:color w:val="auto"/>
                      <w:sz w:val="21"/>
                      <w:szCs w:val="21"/>
                      <w:lang w:eastAsia="zh-CN"/>
                    </w:rPr>
                    <w:t>危废贮存库</w:t>
                  </w:r>
                  <w:r>
                    <w:rPr>
                      <w:color w:val="auto"/>
                      <w:sz w:val="21"/>
                      <w:szCs w:val="21"/>
                    </w:rPr>
                    <w:t>，面积约</w:t>
                  </w:r>
                  <w:r>
                    <w:rPr>
                      <w:rFonts w:hint="eastAsia"/>
                      <w:color w:val="auto"/>
                      <w:sz w:val="21"/>
                      <w:szCs w:val="21"/>
                      <w:lang w:val="en-US" w:eastAsia="zh-CN"/>
                    </w:rPr>
                    <w:t>45</w:t>
                  </w:r>
                  <w:r>
                    <w:rPr>
                      <w:color w:val="auto"/>
                      <w:sz w:val="21"/>
                      <w:szCs w:val="21"/>
                    </w:rPr>
                    <w:t>m</w:t>
                  </w:r>
                  <w:r>
                    <w:rPr>
                      <w:color w:val="auto"/>
                      <w:sz w:val="21"/>
                      <w:szCs w:val="21"/>
                      <w:vertAlign w:val="superscript"/>
                    </w:rPr>
                    <w:t>2</w:t>
                  </w:r>
                </w:p>
              </w:tc>
              <w:tc>
                <w:tcPr>
                  <w:tcW w:w="2457" w:type="dxa"/>
                  <w:vMerge w:val="continue"/>
                  <w:noWrap w:val="0"/>
                  <w:vAlign w:val="top"/>
                </w:tcPr>
                <w:p w14:paraId="34D0B5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A5697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43" w:type="dxa"/>
                  <w:vMerge w:val="continue"/>
                  <w:noWrap w:val="0"/>
                  <w:vAlign w:val="center"/>
                </w:tcPr>
                <w:p w14:paraId="4D8093D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7990C39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581F4CC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生活垃圾等</w:t>
                  </w:r>
                </w:p>
              </w:tc>
              <w:tc>
                <w:tcPr>
                  <w:tcW w:w="2729" w:type="dxa"/>
                  <w:noWrap w:val="0"/>
                  <w:vAlign w:val="center"/>
                </w:tcPr>
                <w:p w14:paraId="7057D4D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rPr>
                    <w:t>生活垃圾</w:t>
                  </w:r>
                  <w:r>
                    <w:rPr>
                      <w:rFonts w:hint="eastAsia" w:cs="Times New Roman"/>
                      <w:color w:val="auto"/>
                      <w:sz w:val="21"/>
                      <w:lang w:val="en-US" w:eastAsia="zh-CN"/>
                    </w:rPr>
                    <w:t>收集桶</w:t>
                  </w:r>
                </w:p>
              </w:tc>
              <w:tc>
                <w:tcPr>
                  <w:tcW w:w="2457" w:type="dxa"/>
                  <w:vMerge w:val="continue"/>
                  <w:noWrap w:val="0"/>
                  <w:vAlign w:val="top"/>
                </w:tcPr>
                <w:p w14:paraId="0131F6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bl>
          <w:p w14:paraId="78007AF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CEBFCC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9、项目平面布置及周边关系</w:t>
            </w:r>
          </w:p>
          <w:p w14:paraId="6F9D2BC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平面布置：本项目</w:t>
            </w:r>
            <w:r>
              <w:rPr>
                <w:rFonts w:hint="eastAsia"/>
                <w:color w:val="auto"/>
              </w:rPr>
              <w:t>拟</w:t>
            </w:r>
            <w:r>
              <w:rPr>
                <w:rFonts w:hint="eastAsia"/>
                <w:color w:val="auto"/>
                <w:lang w:val="en-US" w:eastAsia="zh-CN"/>
              </w:rPr>
              <w:t>租赁</w:t>
            </w:r>
            <w:r>
              <w:rPr>
                <w:rFonts w:hint="eastAsia"/>
                <w:color w:val="auto"/>
              </w:rPr>
              <w:t>江苏涟水经济开发区炎黄大道99号上水创业园28号厂房</w:t>
            </w:r>
            <w:r>
              <w:rPr>
                <w:rFonts w:hint="eastAsia"/>
                <w:color w:val="auto"/>
                <w:lang w:val="en-US" w:eastAsia="zh-CN"/>
              </w:rPr>
              <w:t>，建筑面积约1364.21m</w:t>
            </w:r>
            <w:r>
              <w:rPr>
                <w:rFonts w:hint="eastAsia"/>
                <w:color w:val="auto"/>
                <w:vertAlign w:val="superscript"/>
                <w:lang w:val="en-US" w:eastAsia="zh-CN"/>
              </w:rPr>
              <w:t>2</w:t>
            </w:r>
            <w:r>
              <w:rPr>
                <w:rFonts w:hint="eastAsia"/>
                <w:color w:val="auto"/>
                <w:lang w:val="en-US" w:eastAsia="zh-CN"/>
              </w:rPr>
              <w:t>，</w:t>
            </w:r>
            <w:r>
              <w:rPr>
                <w:rFonts w:hint="eastAsia"/>
                <w:color w:val="auto"/>
              </w:rPr>
              <w:t>占地面积为</w:t>
            </w:r>
            <w:r>
              <w:rPr>
                <w:rFonts w:hint="eastAsia"/>
                <w:color w:val="auto"/>
                <w:lang w:val="en-US" w:eastAsia="zh-CN"/>
              </w:rPr>
              <w:t>1951</w:t>
            </w:r>
            <w:r>
              <w:rPr>
                <w:rFonts w:hint="eastAsia"/>
                <w:color w:val="auto"/>
              </w:rPr>
              <w:t>m</w:t>
            </w:r>
            <w:r>
              <w:rPr>
                <w:rFonts w:hint="eastAsia"/>
                <w:color w:val="auto"/>
                <w:vertAlign w:val="superscript"/>
              </w:rPr>
              <w:t>2</w:t>
            </w:r>
            <w:r>
              <w:rPr>
                <w:rFonts w:hint="eastAsia"/>
                <w:color w:val="auto"/>
                <w:lang w:eastAsia="zh-CN"/>
              </w:rPr>
              <w:t>。</w:t>
            </w:r>
            <w:r>
              <w:rPr>
                <w:rFonts w:hint="eastAsia"/>
                <w:color w:val="auto"/>
                <w:lang w:val="en-US" w:eastAsia="zh-CN"/>
              </w:rPr>
              <w:t>拉挤区设置2条拉挤生产线、注塑区设置11条注塑生产线，原料区设置在厂房西侧、成品区设置在厂房南侧、一般固废库设置在原料区东北侧、危废贮存库设置在原料区西北侧，均单独设置。</w:t>
            </w:r>
            <w:r>
              <w:rPr>
                <w:color w:val="auto"/>
              </w:rPr>
              <w:t>本项目平面布置图详见附图2。</w:t>
            </w:r>
          </w:p>
          <w:p w14:paraId="57F5358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周边关系：</w:t>
            </w:r>
            <w:r>
              <w:rPr>
                <w:rFonts w:hint="eastAsia"/>
                <w:color w:val="auto"/>
              </w:rPr>
              <w:t>本</w:t>
            </w:r>
            <w:r>
              <w:rPr>
                <w:color w:val="auto"/>
              </w:rPr>
              <w:t>项目东侧</w:t>
            </w:r>
            <w:r>
              <w:rPr>
                <w:rFonts w:hint="eastAsia"/>
                <w:color w:val="auto"/>
              </w:rPr>
              <w:t>为</w:t>
            </w:r>
            <w:r>
              <w:rPr>
                <w:rFonts w:hint="eastAsia"/>
                <w:color w:val="auto"/>
                <w:lang w:val="en-US" w:eastAsia="zh-CN"/>
              </w:rPr>
              <w:t>厂房</w:t>
            </w:r>
            <w:r>
              <w:rPr>
                <w:rFonts w:hint="eastAsia"/>
                <w:color w:val="auto"/>
              </w:rPr>
              <w:t>；</w:t>
            </w:r>
            <w:r>
              <w:rPr>
                <w:rFonts w:hint="eastAsia" w:ascii="Times New Roman" w:hAnsi="Times New Roman" w:eastAsia="宋体" w:cs="Times New Roman"/>
                <w:color w:val="auto"/>
              </w:rPr>
              <w:t>西侧为</w:t>
            </w:r>
            <w:r>
              <w:rPr>
                <w:rFonts w:hint="eastAsia" w:cs="Times New Roman"/>
                <w:color w:val="auto"/>
                <w:lang w:val="en-US" w:eastAsia="zh-CN"/>
              </w:rPr>
              <w:t>巨瑞商贸</w:t>
            </w:r>
            <w:r>
              <w:rPr>
                <w:rFonts w:hint="eastAsia" w:ascii="Times New Roman" w:hAnsi="Times New Roman" w:eastAsia="宋体" w:cs="Times New Roman"/>
                <w:color w:val="auto"/>
              </w:rPr>
              <w:t>；</w:t>
            </w:r>
            <w:r>
              <w:rPr>
                <w:rFonts w:hint="eastAsia"/>
                <w:color w:val="auto"/>
              </w:rPr>
              <w:t>南</w:t>
            </w:r>
            <w:r>
              <w:rPr>
                <w:color w:val="auto"/>
              </w:rPr>
              <w:t>侧为</w:t>
            </w:r>
            <w:r>
              <w:rPr>
                <w:rFonts w:hint="eastAsia"/>
                <w:color w:val="auto"/>
                <w:lang w:val="en-US" w:eastAsia="zh-CN"/>
              </w:rPr>
              <w:t>家和万事农业生产厂房</w:t>
            </w:r>
            <w:r>
              <w:rPr>
                <w:color w:val="auto"/>
              </w:rPr>
              <w:t>；</w:t>
            </w:r>
            <w:r>
              <w:rPr>
                <w:rFonts w:hint="eastAsia"/>
                <w:color w:val="auto"/>
              </w:rPr>
              <w:t>北侧为</w:t>
            </w:r>
            <w:r>
              <w:rPr>
                <w:rFonts w:hint="eastAsia"/>
                <w:color w:val="auto"/>
                <w:lang w:val="en-US" w:eastAsia="zh-CN"/>
              </w:rPr>
              <w:t>涟水县科技成果转化服务中心</w:t>
            </w:r>
            <w:r>
              <w:rPr>
                <w:color w:val="auto"/>
              </w:rPr>
              <w:t>。本项目周边环境状况图详见附图3。</w:t>
            </w:r>
          </w:p>
          <w:p w14:paraId="00154D7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10、劳动制度及定员</w:t>
            </w:r>
          </w:p>
          <w:p w14:paraId="12EAA25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项目劳动定员</w:t>
            </w:r>
            <w:r>
              <w:rPr>
                <w:rFonts w:hint="eastAsia"/>
                <w:color w:val="auto"/>
                <w:lang w:val="en-US" w:eastAsia="zh-CN"/>
              </w:rPr>
              <w:t>16</w:t>
            </w:r>
            <w:r>
              <w:rPr>
                <w:color w:val="auto"/>
              </w:rPr>
              <w:t>人，年运行</w:t>
            </w:r>
            <w:r>
              <w:rPr>
                <w:rFonts w:hint="eastAsia"/>
                <w:color w:val="auto"/>
                <w:lang w:val="en-US" w:eastAsia="zh-CN"/>
              </w:rPr>
              <w:t>300</w:t>
            </w:r>
            <w:r>
              <w:rPr>
                <w:color w:val="auto"/>
              </w:rPr>
              <w:t>天，</w:t>
            </w:r>
            <w:r>
              <w:rPr>
                <w:rFonts w:hint="eastAsia"/>
                <w:color w:val="auto"/>
              </w:rPr>
              <w:t>实行</w:t>
            </w:r>
            <w:r>
              <w:rPr>
                <w:rFonts w:hint="eastAsia"/>
                <w:color w:val="auto"/>
                <w:lang w:val="en-US" w:eastAsia="zh-CN"/>
              </w:rPr>
              <w:t>1</w:t>
            </w:r>
            <w:r>
              <w:rPr>
                <w:rFonts w:hint="eastAsia"/>
                <w:color w:val="auto"/>
              </w:rPr>
              <w:t>班工作制，每班</w:t>
            </w:r>
            <w:r>
              <w:rPr>
                <w:rFonts w:hint="eastAsia"/>
                <w:color w:val="auto"/>
                <w:lang w:val="en-US" w:eastAsia="zh-CN"/>
              </w:rPr>
              <w:t>8</w:t>
            </w:r>
            <w:r>
              <w:rPr>
                <w:rFonts w:hint="eastAsia"/>
                <w:color w:val="auto"/>
              </w:rPr>
              <w:t>小时</w:t>
            </w:r>
            <w:r>
              <w:rPr>
                <w:color w:val="auto"/>
              </w:rPr>
              <w:t>，年运行时间</w:t>
            </w:r>
            <w:r>
              <w:rPr>
                <w:rFonts w:hint="eastAsia"/>
                <w:color w:val="auto"/>
                <w:lang w:val="en-US" w:eastAsia="zh-CN"/>
              </w:rPr>
              <w:t>2400</w:t>
            </w:r>
            <w:r>
              <w:rPr>
                <w:color w:val="auto"/>
              </w:rPr>
              <w:t>小时</w:t>
            </w:r>
            <w:r>
              <w:rPr>
                <w:rFonts w:hint="eastAsia"/>
                <w:color w:val="auto"/>
              </w:rPr>
              <w:t>，</w:t>
            </w:r>
            <w:r>
              <w:rPr>
                <w:rFonts w:hint="eastAsia"/>
                <w:color w:val="auto"/>
                <w:lang w:val="en-US" w:eastAsia="zh-CN"/>
              </w:rPr>
              <w:t>本项目不提供食宿</w:t>
            </w:r>
            <w:r>
              <w:rPr>
                <w:rFonts w:hint="eastAsia"/>
                <w:color w:val="auto"/>
              </w:rPr>
              <w:t>。</w:t>
            </w:r>
          </w:p>
          <w:p w14:paraId="021F53B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11、给排水及供电</w:t>
            </w:r>
          </w:p>
          <w:p w14:paraId="6A5801E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imes New Roman" w:hAnsi="Times New Roman" w:eastAsia="宋体" w:cs="Times New Roman"/>
                <w:color w:val="auto"/>
              </w:rPr>
            </w:pPr>
            <w:r>
              <w:rPr>
                <w:color w:val="auto"/>
              </w:rPr>
              <w:t>给水：本项目用水由市政给水管网供给。</w:t>
            </w:r>
            <w:r>
              <w:rPr>
                <w:rFonts w:hint="eastAsia" w:ascii="Times New Roman" w:hAnsi="Times New Roman" w:eastAsia="宋体" w:cs="Times New Roman"/>
                <w:color w:val="auto"/>
                <w:lang w:val="en-US" w:eastAsia="zh-CN"/>
              </w:rPr>
              <w:t>新鲜</w:t>
            </w:r>
            <w:r>
              <w:rPr>
                <w:rFonts w:ascii="Times New Roman" w:hAnsi="Times New Roman" w:eastAsia="宋体" w:cs="Times New Roman"/>
                <w:color w:val="auto"/>
              </w:rPr>
              <w:t>用水量为</w:t>
            </w:r>
            <w:r>
              <w:rPr>
                <w:rFonts w:hint="eastAsia" w:cs="Times New Roman"/>
                <w:color w:val="auto"/>
                <w:lang w:val="en-US" w:eastAsia="zh-CN"/>
              </w:rPr>
              <w:t>480</w:t>
            </w:r>
            <w:r>
              <w:rPr>
                <w:rFonts w:ascii="Times New Roman" w:hAnsi="Times New Roman" w:eastAsia="宋体" w:cs="Times New Roman"/>
                <w:color w:val="auto"/>
              </w:rPr>
              <w:t>t/a。</w:t>
            </w:r>
          </w:p>
          <w:p w14:paraId="20E45AD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ascii="Times New Roman" w:hAnsi="Times New Roman" w:eastAsia="宋体" w:cs="Times New Roman"/>
                <w:color w:val="auto"/>
              </w:rPr>
              <w:t>排水：本项目</w:t>
            </w:r>
            <w:r>
              <w:rPr>
                <w:rFonts w:hint="eastAsia" w:ascii="Times New Roman" w:hAnsi="Times New Roman" w:eastAsia="宋体" w:cs="Times New Roman"/>
                <w:color w:val="auto"/>
                <w:lang w:val="en-US" w:eastAsia="zh-CN"/>
              </w:rPr>
              <w:t>生产废水主要为冷却水，冷却水循环使用，定期补充损耗，不外排。本项目生活污水</w:t>
            </w:r>
            <w:r>
              <w:rPr>
                <w:rFonts w:hint="eastAsia" w:cs="Times New Roman"/>
                <w:color w:val="auto"/>
                <w:lang w:val="en-US" w:eastAsia="zh-CN"/>
              </w:rPr>
              <w:t>依托租赁企业厂区内现有化粪池预处理</w:t>
            </w:r>
            <w:r>
              <w:rPr>
                <w:rFonts w:hint="eastAsia" w:ascii="Times New Roman" w:hAnsi="Times New Roman" w:eastAsia="宋体" w:cs="Times New Roman"/>
                <w:color w:val="auto"/>
                <w:lang w:val="en-US" w:eastAsia="zh-CN"/>
              </w:rPr>
              <w:t>后</w:t>
            </w:r>
            <w:r>
              <w:rPr>
                <w:rFonts w:hint="eastAsia" w:ascii="Times New Roman" w:hAnsi="Times New Roman" w:eastAsia="宋体" w:cs="Times New Roman"/>
                <w:color w:val="auto"/>
              </w:rPr>
              <w:t>接管至涟水经济开发区西区污水处理厂。</w:t>
            </w:r>
          </w:p>
          <w:p w14:paraId="392197E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供电：本项目用电由市政电网供给，年用电量约</w:t>
            </w:r>
            <w:r>
              <w:rPr>
                <w:rFonts w:hint="eastAsia"/>
                <w:color w:val="auto"/>
                <w:lang w:val="en-US" w:eastAsia="zh-CN"/>
              </w:rPr>
              <w:t>20</w:t>
            </w:r>
            <w:r>
              <w:rPr>
                <w:color w:val="auto"/>
              </w:rPr>
              <w:t>万k·Wh。</w:t>
            </w:r>
          </w:p>
          <w:p w14:paraId="5990B9C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12、主要生产设备</w:t>
            </w:r>
          </w:p>
          <w:p w14:paraId="11D6554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b/>
                <w:bCs/>
                <w:color w:val="auto"/>
                <w:sz w:val="21"/>
                <w:szCs w:val="21"/>
              </w:rPr>
            </w:pPr>
            <w:r>
              <w:rPr>
                <w:rFonts w:hint="eastAsia"/>
                <w:color w:val="auto"/>
              </w:rPr>
              <w:t>根据生产工艺要求，项目配备的主要生产设备详见</w:t>
            </w:r>
            <w:r>
              <w:rPr>
                <w:rFonts w:hint="eastAsia"/>
                <w:color w:val="auto"/>
                <w:lang w:val="en-US" w:eastAsia="zh-CN"/>
              </w:rPr>
              <w:t>下表</w:t>
            </w:r>
            <w:r>
              <w:rPr>
                <w:rFonts w:hint="eastAsia"/>
                <w:color w:val="auto"/>
              </w:rPr>
              <w:t>。</w:t>
            </w:r>
          </w:p>
          <w:p w14:paraId="4CD3DB6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表2-3</w:t>
            </w:r>
            <w:r>
              <w:rPr>
                <w:rFonts w:hint="eastAsia"/>
                <w:b/>
                <w:bCs/>
                <w:color w:val="auto"/>
                <w:sz w:val="21"/>
                <w:szCs w:val="21"/>
                <w:lang w:val="en-US" w:eastAsia="zh-CN"/>
              </w:rPr>
              <w:t xml:space="preserve"> </w:t>
            </w:r>
            <w:r>
              <w:rPr>
                <w:rFonts w:hint="eastAsia"/>
                <w:b/>
                <w:bCs/>
                <w:color w:val="auto"/>
                <w:sz w:val="21"/>
                <w:szCs w:val="21"/>
              </w:rPr>
              <w:t>项目主要生产设备表</w:t>
            </w:r>
          </w:p>
          <w:tbl>
            <w:tblPr>
              <w:tblStyle w:val="22"/>
              <w:tblW w:w="503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5"/>
              <w:gridCol w:w="1515"/>
              <w:gridCol w:w="750"/>
              <w:gridCol w:w="1020"/>
              <w:gridCol w:w="2292"/>
            </w:tblGrid>
            <w:tr w14:paraId="7FF0D5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03F8CA68">
                  <w:pPr>
                    <w:snapToGrid w:val="0"/>
                    <w:spacing w:line="280" w:lineRule="exact"/>
                    <w:jc w:val="center"/>
                    <w:rPr>
                      <w:color w:val="auto"/>
                    </w:rPr>
                  </w:pPr>
                  <w:r>
                    <w:rPr>
                      <w:color w:val="auto"/>
                    </w:rPr>
                    <w:t>序号</w:t>
                  </w:r>
                </w:p>
              </w:tc>
              <w:tc>
                <w:tcPr>
                  <w:tcW w:w="1097" w:type="pct"/>
                  <w:noWrap w:val="0"/>
                  <w:vAlign w:val="center"/>
                </w:tcPr>
                <w:p w14:paraId="377C0E34">
                  <w:pPr>
                    <w:snapToGrid w:val="0"/>
                    <w:spacing w:line="280" w:lineRule="exact"/>
                    <w:jc w:val="center"/>
                    <w:rPr>
                      <w:color w:val="auto"/>
                    </w:rPr>
                  </w:pPr>
                  <w:r>
                    <w:rPr>
                      <w:color w:val="auto"/>
                    </w:rPr>
                    <w:t>设备名称</w:t>
                  </w:r>
                </w:p>
              </w:tc>
              <w:tc>
                <w:tcPr>
                  <w:tcW w:w="947" w:type="pct"/>
                  <w:noWrap w:val="0"/>
                  <w:vAlign w:val="center"/>
                </w:tcPr>
                <w:p w14:paraId="3AC24AE7">
                  <w:pPr>
                    <w:snapToGrid w:val="0"/>
                    <w:spacing w:line="280" w:lineRule="exact"/>
                    <w:jc w:val="center"/>
                    <w:rPr>
                      <w:color w:val="auto"/>
                    </w:rPr>
                  </w:pPr>
                  <w:r>
                    <w:rPr>
                      <w:rFonts w:hint="eastAsia"/>
                      <w:color w:val="auto"/>
                    </w:rPr>
                    <w:t>规格型号</w:t>
                  </w:r>
                </w:p>
              </w:tc>
              <w:tc>
                <w:tcPr>
                  <w:tcW w:w="469" w:type="pct"/>
                  <w:noWrap w:val="0"/>
                  <w:vAlign w:val="center"/>
                </w:tcPr>
                <w:p w14:paraId="7C633987">
                  <w:pPr>
                    <w:snapToGrid w:val="0"/>
                    <w:spacing w:line="280" w:lineRule="exact"/>
                    <w:jc w:val="center"/>
                    <w:rPr>
                      <w:color w:val="auto"/>
                    </w:rPr>
                  </w:pPr>
                  <w:r>
                    <w:rPr>
                      <w:color w:val="auto"/>
                    </w:rPr>
                    <w:t>数量</w:t>
                  </w:r>
                </w:p>
              </w:tc>
              <w:tc>
                <w:tcPr>
                  <w:tcW w:w="637" w:type="pct"/>
                  <w:noWrap w:val="0"/>
                  <w:vAlign w:val="center"/>
                </w:tcPr>
                <w:p w14:paraId="065AC856">
                  <w:pPr>
                    <w:snapToGrid w:val="0"/>
                    <w:spacing w:line="280" w:lineRule="exact"/>
                    <w:jc w:val="center"/>
                    <w:rPr>
                      <w:color w:val="auto"/>
                    </w:rPr>
                  </w:pPr>
                  <w:r>
                    <w:rPr>
                      <w:rFonts w:hint="eastAsia"/>
                      <w:color w:val="auto"/>
                    </w:rPr>
                    <w:t>单位</w:t>
                  </w:r>
                </w:p>
              </w:tc>
              <w:tc>
                <w:tcPr>
                  <w:tcW w:w="1433" w:type="pct"/>
                  <w:noWrap w:val="0"/>
                  <w:vAlign w:val="center"/>
                </w:tcPr>
                <w:p w14:paraId="70217D28">
                  <w:pPr>
                    <w:snapToGrid w:val="0"/>
                    <w:spacing w:line="280" w:lineRule="exact"/>
                    <w:jc w:val="center"/>
                    <w:rPr>
                      <w:rFonts w:hint="eastAsia" w:eastAsia="宋体"/>
                      <w:color w:val="auto"/>
                      <w:lang w:val="en-US" w:eastAsia="zh-CN"/>
                    </w:rPr>
                  </w:pPr>
                  <w:r>
                    <w:rPr>
                      <w:rFonts w:hint="eastAsia"/>
                      <w:color w:val="auto"/>
                      <w:lang w:val="en-US" w:eastAsia="zh-CN"/>
                    </w:rPr>
                    <w:t>备注</w:t>
                  </w:r>
                </w:p>
              </w:tc>
            </w:tr>
            <w:tr w14:paraId="5FAB66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6A3EA185">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016602B0">
                  <w:pPr>
                    <w:jc w:val="center"/>
                    <w:rPr>
                      <w:rFonts w:hint="default" w:eastAsia="宋体"/>
                      <w:color w:val="auto"/>
                      <w:kern w:val="2"/>
                      <w:sz w:val="21"/>
                      <w:szCs w:val="21"/>
                      <w:lang w:val="en-US" w:eastAsia="zh-CN" w:bidi="ar-SA"/>
                    </w:rPr>
                  </w:pPr>
                  <w:r>
                    <w:rPr>
                      <w:rFonts w:hint="eastAsia"/>
                      <w:color w:val="auto"/>
                      <w:szCs w:val="21"/>
                      <w:lang w:val="en-US" w:eastAsia="zh-CN"/>
                    </w:rPr>
                    <w:t>立式注塑机</w:t>
                  </w:r>
                </w:p>
              </w:tc>
              <w:tc>
                <w:tcPr>
                  <w:tcW w:w="1515" w:type="dxa"/>
                  <w:noWrap w:val="0"/>
                  <w:vAlign w:val="center"/>
                </w:tcPr>
                <w:p w14:paraId="2087988D">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非标</w:t>
                  </w:r>
                </w:p>
              </w:tc>
              <w:tc>
                <w:tcPr>
                  <w:tcW w:w="469" w:type="pct"/>
                  <w:noWrap w:val="0"/>
                  <w:vAlign w:val="center"/>
                </w:tcPr>
                <w:p w14:paraId="12DDAEDB">
                  <w:pPr>
                    <w:jc w:val="center"/>
                    <w:rPr>
                      <w:rFonts w:hint="eastAsia" w:eastAsia="宋体"/>
                      <w:color w:val="auto"/>
                      <w:szCs w:val="21"/>
                      <w:lang w:eastAsia="zh-CN"/>
                    </w:rPr>
                  </w:pPr>
                  <w:r>
                    <w:rPr>
                      <w:rFonts w:hint="eastAsia"/>
                      <w:color w:val="auto"/>
                      <w:szCs w:val="21"/>
                      <w:lang w:val="en-US" w:eastAsia="zh-CN"/>
                    </w:rPr>
                    <w:t>9</w:t>
                  </w:r>
                </w:p>
              </w:tc>
              <w:tc>
                <w:tcPr>
                  <w:tcW w:w="637" w:type="pct"/>
                  <w:noWrap w:val="0"/>
                  <w:vAlign w:val="center"/>
                </w:tcPr>
                <w:p w14:paraId="42149CD1">
                  <w:pPr>
                    <w:spacing w:line="280" w:lineRule="exact"/>
                    <w:jc w:val="center"/>
                    <w:rPr>
                      <w:rFonts w:hint="eastAsia" w:eastAsia="宋体"/>
                      <w:color w:val="auto"/>
                      <w:szCs w:val="21"/>
                      <w:lang w:val="en-US" w:eastAsia="zh-CN"/>
                    </w:rPr>
                  </w:pPr>
                  <w:r>
                    <w:rPr>
                      <w:rFonts w:hint="eastAsia"/>
                      <w:color w:val="auto"/>
                      <w:szCs w:val="21"/>
                      <w:lang w:val="en-US" w:eastAsia="zh-CN"/>
                    </w:rPr>
                    <w:t>台</w:t>
                  </w:r>
                </w:p>
              </w:tc>
              <w:tc>
                <w:tcPr>
                  <w:tcW w:w="2292" w:type="dxa"/>
                  <w:noWrap w:val="0"/>
                  <w:vAlign w:val="center"/>
                </w:tcPr>
                <w:p w14:paraId="296066B1">
                  <w:pPr>
                    <w:jc w:val="center"/>
                    <w:rPr>
                      <w:rFonts w:hint="default"/>
                      <w:color w:val="auto"/>
                      <w:szCs w:val="21"/>
                      <w:lang w:val="en-US" w:eastAsia="zh-CN"/>
                    </w:rPr>
                  </w:pPr>
                  <w:r>
                    <w:rPr>
                      <w:rFonts w:hint="eastAsia"/>
                      <w:color w:val="auto"/>
                      <w:szCs w:val="21"/>
                      <w:lang w:val="en-US" w:eastAsia="zh-CN"/>
                    </w:rPr>
                    <w:t>/</w:t>
                  </w:r>
                </w:p>
              </w:tc>
            </w:tr>
            <w:tr w14:paraId="72E90F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414" w:type="pct"/>
                  <w:noWrap w:val="0"/>
                  <w:vAlign w:val="center"/>
                </w:tcPr>
                <w:p w14:paraId="62183F69">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21FC2AC6">
                  <w:pPr>
                    <w:jc w:val="center"/>
                    <w:rPr>
                      <w:rFonts w:hint="eastAsia" w:eastAsia="宋体"/>
                      <w:color w:val="auto"/>
                      <w:kern w:val="2"/>
                      <w:sz w:val="21"/>
                      <w:szCs w:val="21"/>
                      <w:lang w:val="en-US" w:eastAsia="zh-CN" w:bidi="ar-SA"/>
                    </w:rPr>
                  </w:pPr>
                  <w:r>
                    <w:rPr>
                      <w:rFonts w:hint="eastAsia"/>
                      <w:color w:val="auto"/>
                      <w:szCs w:val="21"/>
                      <w:lang w:val="en-US" w:eastAsia="zh-CN"/>
                    </w:rPr>
                    <w:t>卧式注塑机</w:t>
                  </w:r>
                </w:p>
              </w:tc>
              <w:tc>
                <w:tcPr>
                  <w:tcW w:w="1515" w:type="dxa"/>
                  <w:noWrap w:val="0"/>
                  <w:vAlign w:val="center"/>
                </w:tcPr>
                <w:p w14:paraId="7515743F">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非标</w:t>
                  </w:r>
                </w:p>
              </w:tc>
              <w:tc>
                <w:tcPr>
                  <w:tcW w:w="469" w:type="pct"/>
                  <w:noWrap w:val="0"/>
                  <w:vAlign w:val="center"/>
                </w:tcPr>
                <w:p w14:paraId="7AA67BB1">
                  <w:pPr>
                    <w:jc w:val="center"/>
                    <w:rPr>
                      <w:rFonts w:hint="eastAsia" w:eastAsia="宋体"/>
                      <w:color w:val="auto"/>
                      <w:szCs w:val="21"/>
                      <w:lang w:eastAsia="zh-CN"/>
                    </w:rPr>
                  </w:pPr>
                  <w:r>
                    <w:rPr>
                      <w:rFonts w:hint="eastAsia"/>
                      <w:color w:val="auto"/>
                      <w:szCs w:val="21"/>
                      <w:lang w:val="en-US" w:eastAsia="zh-CN"/>
                    </w:rPr>
                    <w:t>2</w:t>
                  </w:r>
                </w:p>
              </w:tc>
              <w:tc>
                <w:tcPr>
                  <w:tcW w:w="637" w:type="pct"/>
                  <w:noWrap w:val="0"/>
                  <w:vAlign w:val="center"/>
                </w:tcPr>
                <w:p w14:paraId="52CFD470">
                  <w:pPr>
                    <w:spacing w:line="280" w:lineRule="exact"/>
                    <w:jc w:val="center"/>
                    <w:rPr>
                      <w:rFonts w:hint="eastAsia" w:eastAsia="宋体"/>
                      <w:color w:val="auto"/>
                      <w:szCs w:val="21"/>
                      <w:lang w:val="en-US" w:eastAsia="zh-CN"/>
                    </w:rPr>
                  </w:pPr>
                  <w:r>
                    <w:rPr>
                      <w:rFonts w:hint="eastAsia"/>
                      <w:color w:val="auto"/>
                      <w:szCs w:val="21"/>
                      <w:lang w:val="en-US" w:eastAsia="zh-CN"/>
                    </w:rPr>
                    <w:t>台</w:t>
                  </w:r>
                </w:p>
              </w:tc>
              <w:tc>
                <w:tcPr>
                  <w:tcW w:w="2292" w:type="dxa"/>
                  <w:noWrap w:val="0"/>
                  <w:vAlign w:val="center"/>
                </w:tcPr>
                <w:p w14:paraId="7033FECF">
                  <w:pPr>
                    <w:jc w:val="center"/>
                    <w:rPr>
                      <w:rFonts w:hint="eastAsia"/>
                      <w:color w:val="auto"/>
                      <w:szCs w:val="21"/>
                      <w:lang w:val="en-US" w:eastAsia="zh-CN"/>
                    </w:rPr>
                  </w:pPr>
                  <w:r>
                    <w:rPr>
                      <w:rFonts w:hint="eastAsia"/>
                      <w:color w:val="auto"/>
                      <w:szCs w:val="21"/>
                      <w:lang w:val="en-US" w:eastAsia="zh-CN"/>
                    </w:rPr>
                    <w:t>/</w:t>
                  </w:r>
                </w:p>
              </w:tc>
            </w:tr>
            <w:tr w14:paraId="7676D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5004783E">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63373E88">
                  <w:pPr>
                    <w:jc w:val="center"/>
                    <w:rPr>
                      <w:rFonts w:hint="eastAsia" w:eastAsia="宋体"/>
                      <w:color w:val="auto"/>
                      <w:kern w:val="2"/>
                      <w:sz w:val="21"/>
                      <w:szCs w:val="21"/>
                      <w:lang w:val="en-US" w:eastAsia="zh-CN" w:bidi="ar-SA"/>
                    </w:rPr>
                  </w:pPr>
                  <w:r>
                    <w:rPr>
                      <w:rFonts w:hint="eastAsia"/>
                      <w:color w:val="auto"/>
                      <w:szCs w:val="21"/>
                      <w:lang w:val="en-US" w:eastAsia="zh-CN"/>
                    </w:rPr>
                    <w:t>搅拌机</w:t>
                  </w:r>
                </w:p>
              </w:tc>
              <w:tc>
                <w:tcPr>
                  <w:tcW w:w="1515" w:type="dxa"/>
                  <w:noWrap w:val="0"/>
                  <w:vAlign w:val="center"/>
                </w:tcPr>
                <w:p w14:paraId="5553F973">
                  <w:pPr>
                    <w:jc w:val="center"/>
                    <w:rPr>
                      <w:rFonts w:hint="default" w:eastAsia="宋体"/>
                      <w:color w:val="auto"/>
                      <w:szCs w:val="21"/>
                      <w:lang w:val="en-US" w:eastAsia="zh-CN"/>
                    </w:rPr>
                  </w:pPr>
                  <w:r>
                    <w:rPr>
                      <w:rFonts w:hint="eastAsia"/>
                      <w:color w:val="auto"/>
                      <w:szCs w:val="21"/>
                      <w:lang w:val="en-US" w:eastAsia="zh-CN"/>
                    </w:rPr>
                    <w:t>非标</w:t>
                  </w:r>
                </w:p>
              </w:tc>
              <w:tc>
                <w:tcPr>
                  <w:tcW w:w="469" w:type="pct"/>
                  <w:noWrap w:val="0"/>
                  <w:vAlign w:val="center"/>
                </w:tcPr>
                <w:p w14:paraId="01320B66">
                  <w:pPr>
                    <w:jc w:val="center"/>
                    <w:rPr>
                      <w:rFonts w:hint="default" w:eastAsia="宋体"/>
                      <w:color w:val="auto"/>
                      <w:szCs w:val="21"/>
                      <w:lang w:val="en-US" w:eastAsia="zh-CN"/>
                    </w:rPr>
                  </w:pPr>
                  <w:r>
                    <w:rPr>
                      <w:rFonts w:hint="eastAsia"/>
                      <w:color w:val="auto"/>
                      <w:szCs w:val="21"/>
                      <w:lang w:val="en-US" w:eastAsia="zh-CN"/>
                    </w:rPr>
                    <w:t>2</w:t>
                  </w:r>
                </w:p>
              </w:tc>
              <w:tc>
                <w:tcPr>
                  <w:tcW w:w="637" w:type="pct"/>
                  <w:noWrap w:val="0"/>
                  <w:vAlign w:val="center"/>
                </w:tcPr>
                <w:p w14:paraId="55916FDE">
                  <w:pPr>
                    <w:spacing w:line="280" w:lineRule="exact"/>
                    <w:jc w:val="center"/>
                    <w:rPr>
                      <w:rFonts w:hint="eastAsia" w:eastAsia="宋体"/>
                      <w:color w:val="auto"/>
                      <w:szCs w:val="21"/>
                      <w:lang w:val="en-US" w:eastAsia="zh-CN"/>
                    </w:rPr>
                  </w:pPr>
                  <w:r>
                    <w:rPr>
                      <w:rFonts w:hint="eastAsia"/>
                      <w:color w:val="auto"/>
                      <w:szCs w:val="21"/>
                      <w:lang w:val="en-US" w:eastAsia="zh-CN"/>
                    </w:rPr>
                    <w:t>台</w:t>
                  </w:r>
                </w:p>
              </w:tc>
              <w:tc>
                <w:tcPr>
                  <w:tcW w:w="2292" w:type="dxa"/>
                  <w:noWrap w:val="0"/>
                  <w:vAlign w:val="center"/>
                </w:tcPr>
                <w:p w14:paraId="27CBACF6">
                  <w:pPr>
                    <w:jc w:val="center"/>
                    <w:rPr>
                      <w:rFonts w:hint="eastAsia"/>
                      <w:color w:val="auto"/>
                      <w:szCs w:val="21"/>
                      <w:lang w:val="en-US" w:eastAsia="zh-CN"/>
                    </w:rPr>
                  </w:pPr>
                  <w:r>
                    <w:rPr>
                      <w:rFonts w:hint="eastAsia"/>
                      <w:color w:val="auto"/>
                      <w:szCs w:val="21"/>
                      <w:lang w:val="en-US" w:eastAsia="zh-CN"/>
                    </w:rPr>
                    <w:t>/</w:t>
                  </w:r>
                </w:p>
              </w:tc>
            </w:tr>
            <w:tr w14:paraId="4F4421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414" w:type="pct"/>
                  <w:noWrap w:val="0"/>
                  <w:vAlign w:val="center"/>
                </w:tcPr>
                <w:p w14:paraId="6777198A">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3C4BFC45">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破碎机</w:t>
                  </w:r>
                </w:p>
              </w:tc>
              <w:tc>
                <w:tcPr>
                  <w:tcW w:w="1515" w:type="dxa"/>
                  <w:noWrap w:val="0"/>
                  <w:vAlign w:val="center"/>
                </w:tcPr>
                <w:p w14:paraId="686726A8">
                  <w:pPr>
                    <w:jc w:val="center"/>
                    <w:rPr>
                      <w:rFonts w:hint="default" w:eastAsia="宋体"/>
                      <w:color w:val="auto"/>
                      <w:szCs w:val="21"/>
                      <w:lang w:val="en-US" w:eastAsia="zh-CN"/>
                    </w:rPr>
                  </w:pPr>
                  <w:r>
                    <w:rPr>
                      <w:rFonts w:hint="eastAsia"/>
                      <w:color w:val="auto"/>
                      <w:szCs w:val="21"/>
                      <w:lang w:val="en-US" w:eastAsia="zh-CN"/>
                    </w:rPr>
                    <w:t>非标</w:t>
                  </w:r>
                </w:p>
              </w:tc>
              <w:tc>
                <w:tcPr>
                  <w:tcW w:w="469" w:type="pct"/>
                  <w:noWrap w:val="0"/>
                  <w:vAlign w:val="center"/>
                </w:tcPr>
                <w:p w14:paraId="4529F92E">
                  <w:pPr>
                    <w:jc w:val="center"/>
                    <w:rPr>
                      <w:rFonts w:hint="eastAsia" w:eastAsia="宋体"/>
                      <w:color w:val="auto"/>
                      <w:szCs w:val="21"/>
                      <w:lang w:eastAsia="zh-CN"/>
                    </w:rPr>
                  </w:pPr>
                  <w:r>
                    <w:rPr>
                      <w:rFonts w:hint="eastAsia"/>
                      <w:color w:val="auto"/>
                      <w:szCs w:val="21"/>
                      <w:lang w:val="en-US" w:eastAsia="zh-CN"/>
                    </w:rPr>
                    <w:t>1</w:t>
                  </w:r>
                </w:p>
              </w:tc>
              <w:tc>
                <w:tcPr>
                  <w:tcW w:w="637" w:type="pct"/>
                  <w:noWrap w:val="0"/>
                  <w:vAlign w:val="center"/>
                </w:tcPr>
                <w:p w14:paraId="0B0DC0E3">
                  <w:pPr>
                    <w:spacing w:line="280" w:lineRule="exact"/>
                    <w:jc w:val="center"/>
                    <w:rPr>
                      <w:rFonts w:hint="default" w:eastAsia="宋体"/>
                      <w:color w:val="auto"/>
                      <w:szCs w:val="21"/>
                      <w:lang w:val="en-US" w:eastAsia="zh-CN"/>
                    </w:rPr>
                  </w:pPr>
                  <w:r>
                    <w:rPr>
                      <w:rFonts w:hint="eastAsia"/>
                      <w:color w:val="auto"/>
                      <w:szCs w:val="21"/>
                      <w:lang w:val="en-US" w:eastAsia="zh-CN"/>
                    </w:rPr>
                    <w:t>台</w:t>
                  </w:r>
                </w:p>
                <w:p w14:paraId="67F7B221">
                  <w:pPr>
                    <w:rPr>
                      <w:color w:val="auto"/>
                    </w:rPr>
                  </w:pPr>
                </w:p>
              </w:tc>
              <w:tc>
                <w:tcPr>
                  <w:tcW w:w="2292" w:type="dxa"/>
                  <w:noWrap w:val="0"/>
                  <w:vAlign w:val="center"/>
                </w:tcPr>
                <w:p w14:paraId="6CB622EA">
                  <w:pPr>
                    <w:jc w:val="center"/>
                    <w:rPr>
                      <w:rFonts w:hint="default"/>
                      <w:color w:val="auto"/>
                      <w:szCs w:val="21"/>
                      <w:lang w:val="en-US" w:eastAsia="zh-CN"/>
                    </w:rPr>
                  </w:pPr>
                  <w:r>
                    <w:rPr>
                      <w:rFonts w:hint="eastAsia"/>
                      <w:color w:val="auto"/>
                      <w:szCs w:val="21"/>
                      <w:lang w:val="en-US" w:eastAsia="zh-CN"/>
                    </w:rPr>
                    <w:t>/</w:t>
                  </w:r>
                </w:p>
              </w:tc>
            </w:tr>
            <w:tr w14:paraId="5D65B2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64723D4F">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7B41DBE5">
                  <w:pPr>
                    <w:jc w:val="center"/>
                    <w:rPr>
                      <w:rFonts w:hint="default"/>
                      <w:color w:val="auto"/>
                      <w:kern w:val="2"/>
                      <w:sz w:val="21"/>
                      <w:szCs w:val="21"/>
                      <w:lang w:val="en-US" w:eastAsia="zh-CN" w:bidi="ar-SA"/>
                    </w:rPr>
                  </w:pPr>
                  <w:r>
                    <w:rPr>
                      <w:rFonts w:hint="eastAsia"/>
                      <w:color w:val="auto"/>
                      <w:kern w:val="2"/>
                      <w:sz w:val="21"/>
                      <w:szCs w:val="21"/>
                      <w:lang w:val="en-US" w:eastAsia="zh-CN" w:bidi="ar-SA"/>
                    </w:rPr>
                    <w:t>拉挤机</w:t>
                  </w:r>
                </w:p>
              </w:tc>
              <w:tc>
                <w:tcPr>
                  <w:tcW w:w="1515" w:type="dxa"/>
                  <w:noWrap w:val="0"/>
                  <w:vAlign w:val="center"/>
                </w:tcPr>
                <w:p w14:paraId="21015EA2">
                  <w:pPr>
                    <w:jc w:val="center"/>
                    <w:rPr>
                      <w:rFonts w:hint="default" w:eastAsia="宋体"/>
                      <w:color w:val="auto"/>
                      <w:szCs w:val="21"/>
                      <w:lang w:val="en-US" w:eastAsia="zh-CN"/>
                    </w:rPr>
                  </w:pPr>
                  <w:r>
                    <w:rPr>
                      <w:rFonts w:hint="eastAsia"/>
                      <w:color w:val="auto"/>
                      <w:szCs w:val="21"/>
                      <w:lang w:val="en-US" w:eastAsia="zh-CN"/>
                    </w:rPr>
                    <w:t>非标</w:t>
                  </w:r>
                </w:p>
              </w:tc>
              <w:tc>
                <w:tcPr>
                  <w:tcW w:w="469" w:type="pct"/>
                  <w:noWrap w:val="0"/>
                  <w:vAlign w:val="center"/>
                </w:tcPr>
                <w:p w14:paraId="47E060D5">
                  <w:pPr>
                    <w:jc w:val="center"/>
                    <w:rPr>
                      <w:rFonts w:hint="default" w:eastAsia="宋体"/>
                      <w:color w:val="auto"/>
                      <w:szCs w:val="21"/>
                      <w:lang w:val="en-US" w:eastAsia="zh-CN"/>
                    </w:rPr>
                  </w:pPr>
                  <w:r>
                    <w:rPr>
                      <w:rFonts w:hint="eastAsia"/>
                      <w:color w:val="auto"/>
                      <w:szCs w:val="21"/>
                      <w:lang w:val="en-US" w:eastAsia="zh-CN"/>
                    </w:rPr>
                    <w:t>2</w:t>
                  </w:r>
                </w:p>
              </w:tc>
              <w:tc>
                <w:tcPr>
                  <w:tcW w:w="637" w:type="pct"/>
                  <w:noWrap w:val="0"/>
                  <w:vAlign w:val="center"/>
                </w:tcPr>
                <w:p w14:paraId="09A3D845">
                  <w:pPr>
                    <w:spacing w:line="280" w:lineRule="exact"/>
                    <w:jc w:val="center"/>
                    <w:rPr>
                      <w:rFonts w:hint="eastAsia" w:eastAsia="宋体"/>
                      <w:color w:val="auto"/>
                      <w:szCs w:val="21"/>
                      <w:lang w:eastAsia="zh-CN"/>
                    </w:rPr>
                  </w:pPr>
                  <w:r>
                    <w:rPr>
                      <w:rFonts w:hint="eastAsia"/>
                      <w:color w:val="auto"/>
                      <w:szCs w:val="21"/>
                      <w:lang w:val="en-US" w:eastAsia="zh-CN"/>
                    </w:rPr>
                    <w:t>台</w:t>
                  </w:r>
                </w:p>
              </w:tc>
              <w:tc>
                <w:tcPr>
                  <w:tcW w:w="2292" w:type="dxa"/>
                  <w:noWrap w:val="0"/>
                  <w:vAlign w:val="center"/>
                </w:tcPr>
                <w:p w14:paraId="4F17B6E6">
                  <w:pPr>
                    <w:jc w:val="center"/>
                    <w:rPr>
                      <w:rFonts w:hint="eastAsia"/>
                      <w:color w:val="auto"/>
                      <w:szCs w:val="21"/>
                      <w:lang w:val="en-US" w:eastAsia="zh-CN"/>
                    </w:rPr>
                  </w:pPr>
                  <w:r>
                    <w:rPr>
                      <w:rFonts w:hint="eastAsia"/>
                      <w:color w:val="auto"/>
                      <w:szCs w:val="21"/>
                      <w:lang w:val="en-US" w:eastAsia="zh-CN"/>
                    </w:rPr>
                    <w:t>/</w:t>
                  </w:r>
                </w:p>
              </w:tc>
            </w:tr>
            <w:tr w14:paraId="799B52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3177BD5F">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7E3D56FC">
                  <w:pPr>
                    <w:jc w:val="center"/>
                    <w:rPr>
                      <w:rFonts w:hint="default" w:eastAsia="宋体"/>
                      <w:color w:val="auto"/>
                      <w:kern w:val="2"/>
                      <w:sz w:val="21"/>
                      <w:szCs w:val="21"/>
                      <w:lang w:val="en-US" w:eastAsia="zh-CN" w:bidi="ar-SA"/>
                    </w:rPr>
                  </w:pPr>
                  <w:r>
                    <w:rPr>
                      <w:rFonts w:hint="eastAsia"/>
                      <w:color w:val="auto"/>
                      <w:szCs w:val="21"/>
                      <w:lang w:val="en-US" w:eastAsia="zh-CN"/>
                    </w:rPr>
                    <w:t>切割机</w:t>
                  </w:r>
                </w:p>
              </w:tc>
              <w:tc>
                <w:tcPr>
                  <w:tcW w:w="1515" w:type="dxa"/>
                  <w:noWrap w:val="0"/>
                  <w:vAlign w:val="center"/>
                </w:tcPr>
                <w:p w14:paraId="5F162C52">
                  <w:pPr>
                    <w:jc w:val="center"/>
                    <w:rPr>
                      <w:rFonts w:hint="default" w:eastAsia="宋体"/>
                      <w:color w:val="auto"/>
                      <w:szCs w:val="21"/>
                      <w:lang w:val="en-US" w:eastAsia="zh-CN"/>
                    </w:rPr>
                  </w:pPr>
                  <w:r>
                    <w:rPr>
                      <w:rFonts w:hint="eastAsia"/>
                      <w:color w:val="auto"/>
                      <w:szCs w:val="21"/>
                      <w:lang w:val="en-US" w:eastAsia="zh-CN"/>
                    </w:rPr>
                    <w:t>非标</w:t>
                  </w:r>
                </w:p>
              </w:tc>
              <w:tc>
                <w:tcPr>
                  <w:tcW w:w="469" w:type="pct"/>
                  <w:noWrap w:val="0"/>
                  <w:vAlign w:val="center"/>
                </w:tcPr>
                <w:p w14:paraId="513CF0E4">
                  <w:pPr>
                    <w:jc w:val="center"/>
                    <w:rPr>
                      <w:rFonts w:hint="eastAsia" w:eastAsia="宋体"/>
                      <w:color w:val="auto"/>
                      <w:szCs w:val="21"/>
                      <w:lang w:eastAsia="zh-CN"/>
                    </w:rPr>
                  </w:pPr>
                  <w:r>
                    <w:rPr>
                      <w:rFonts w:hint="eastAsia"/>
                      <w:color w:val="auto"/>
                      <w:szCs w:val="21"/>
                      <w:lang w:val="en-US" w:eastAsia="zh-CN"/>
                    </w:rPr>
                    <w:t>2</w:t>
                  </w:r>
                </w:p>
              </w:tc>
              <w:tc>
                <w:tcPr>
                  <w:tcW w:w="637" w:type="pct"/>
                  <w:noWrap w:val="0"/>
                  <w:vAlign w:val="center"/>
                </w:tcPr>
                <w:p w14:paraId="7B01C004">
                  <w:pPr>
                    <w:spacing w:line="280" w:lineRule="exact"/>
                    <w:jc w:val="center"/>
                    <w:rPr>
                      <w:rFonts w:hint="eastAsia" w:eastAsia="宋体"/>
                      <w:color w:val="auto"/>
                      <w:szCs w:val="21"/>
                      <w:lang w:eastAsia="zh-CN"/>
                    </w:rPr>
                  </w:pPr>
                  <w:r>
                    <w:rPr>
                      <w:rFonts w:hint="eastAsia"/>
                      <w:color w:val="auto"/>
                      <w:szCs w:val="21"/>
                      <w:lang w:val="en-US" w:eastAsia="zh-CN"/>
                    </w:rPr>
                    <w:t>台</w:t>
                  </w:r>
                </w:p>
              </w:tc>
              <w:tc>
                <w:tcPr>
                  <w:tcW w:w="2292" w:type="dxa"/>
                  <w:noWrap w:val="0"/>
                  <w:vAlign w:val="center"/>
                </w:tcPr>
                <w:p w14:paraId="571BC1DD">
                  <w:pPr>
                    <w:jc w:val="center"/>
                    <w:rPr>
                      <w:rFonts w:hint="eastAsia"/>
                      <w:color w:val="auto"/>
                      <w:szCs w:val="21"/>
                      <w:lang w:val="en-US" w:eastAsia="zh-CN"/>
                    </w:rPr>
                  </w:pPr>
                  <w:r>
                    <w:rPr>
                      <w:rFonts w:hint="eastAsia"/>
                      <w:color w:val="auto"/>
                      <w:szCs w:val="21"/>
                      <w:lang w:val="en-US" w:eastAsia="zh-CN"/>
                    </w:rPr>
                    <w:t>/</w:t>
                  </w:r>
                </w:p>
              </w:tc>
            </w:tr>
            <w:tr w14:paraId="7D345A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CB3C394">
                  <w:pPr>
                    <w:numPr>
                      <w:ilvl w:val="0"/>
                      <w:numId w:val="3"/>
                    </w:numPr>
                    <w:snapToGrid w:val="0"/>
                    <w:spacing w:line="280" w:lineRule="exact"/>
                    <w:ind w:left="0" w:leftChars="0" w:firstLine="0" w:firstLineChars="0"/>
                    <w:jc w:val="center"/>
                    <w:rPr>
                      <w:rFonts w:hint="eastAsia"/>
                      <w:color w:val="auto"/>
                      <w:lang w:val="en-US" w:eastAsia="zh-CN"/>
                    </w:rPr>
                  </w:pPr>
                </w:p>
              </w:tc>
              <w:tc>
                <w:tcPr>
                  <w:tcW w:w="1097" w:type="pct"/>
                  <w:noWrap w:val="0"/>
                  <w:vAlign w:val="center"/>
                </w:tcPr>
                <w:p w14:paraId="63276F8D">
                  <w:pPr>
                    <w:jc w:val="center"/>
                    <w:rPr>
                      <w:rFonts w:hint="default"/>
                      <w:color w:val="auto"/>
                      <w:szCs w:val="21"/>
                      <w:lang w:val="en-US" w:eastAsia="zh-CN"/>
                    </w:rPr>
                  </w:pPr>
                  <w:r>
                    <w:rPr>
                      <w:rFonts w:hint="eastAsia"/>
                      <w:color w:val="auto"/>
                      <w:szCs w:val="21"/>
                      <w:lang w:val="en-US" w:eastAsia="zh-CN"/>
                    </w:rPr>
                    <w:t>自动打磨机</w:t>
                  </w:r>
                </w:p>
              </w:tc>
              <w:tc>
                <w:tcPr>
                  <w:tcW w:w="947" w:type="pct"/>
                  <w:noWrap w:val="0"/>
                  <w:vAlign w:val="center"/>
                </w:tcPr>
                <w:p w14:paraId="079A49D1">
                  <w:pPr>
                    <w:jc w:val="center"/>
                    <w:rPr>
                      <w:rFonts w:hint="default"/>
                      <w:color w:val="auto"/>
                      <w:szCs w:val="21"/>
                      <w:lang w:val="en-US" w:eastAsia="zh-CN"/>
                    </w:rPr>
                  </w:pPr>
                  <w:r>
                    <w:rPr>
                      <w:rFonts w:hint="eastAsia"/>
                      <w:color w:val="auto"/>
                      <w:szCs w:val="21"/>
                      <w:lang w:val="en-US" w:eastAsia="zh-CN"/>
                    </w:rPr>
                    <w:t>非标</w:t>
                  </w:r>
                </w:p>
              </w:tc>
              <w:tc>
                <w:tcPr>
                  <w:tcW w:w="469" w:type="pct"/>
                  <w:noWrap w:val="0"/>
                  <w:vAlign w:val="center"/>
                </w:tcPr>
                <w:p w14:paraId="5FFBE5F9">
                  <w:pPr>
                    <w:jc w:val="center"/>
                    <w:rPr>
                      <w:rFonts w:hint="default"/>
                      <w:color w:val="auto"/>
                      <w:szCs w:val="21"/>
                      <w:lang w:val="en-US" w:eastAsia="zh-CN"/>
                    </w:rPr>
                  </w:pPr>
                  <w:r>
                    <w:rPr>
                      <w:rFonts w:hint="eastAsia"/>
                      <w:color w:val="auto"/>
                      <w:szCs w:val="21"/>
                      <w:lang w:val="en-US" w:eastAsia="zh-CN"/>
                    </w:rPr>
                    <w:t>1</w:t>
                  </w:r>
                </w:p>
              </w:tc>
              <w:tc>
                <w:tcPr>
                  <w:tcW w:w="637" w:type="pct"/>
                  <w:noWrap w:val="0"/>
                  <w:vAlign w:val="center"/>
                </w:tcPr>
                <w:p w14:paraId="0F677FBD">
                  <w:pPr>
                    <w:spacing w:line="280" w:lineRule="exact"/>
                    <w:jc w:val="center"/>
                    <w:rPr>
                      <w:rFonts w:hint="default"/>
                      <w:color w:val="auto"/>
                      <w:szCs w:val="21"/>
                      <w:lang w:val="en-US" w:eastAsia="zh-CN"/>
                    </w:rPr>
                  </w:pPr>
                  <w:r>
                    <w:rPr>
                      <w:rFonts w:hint="eastAsia"/>
                      <w:color w:val="auto"/>
                      <w:szCs w:val="21"/>
                      <w:lang w:val="en-US" w:eastAsia="zh-CN"/>
                    </w:rPr>
                    <w:t>台</w:t>
                  </w:r>
                </w:p>
              </w:tc>
              <w:tc>
                <w:tcPr>
                  <w:tcW w:w="2292" w:type="dxa"/>
                  <w:noWrap w:val="0"/>
                  <w:vAlign w:val="center"/>
                </w:tcPr>
                <w:p w14:paraId="62DD3FA1">
                  <w:pPr>
                    <w:jc w:val="center"/>
                    <w:rPr>
                      <w:rFonts w:hint="default"/>
                      <w:color w:val="auto"/>
                      <w:szCs w:val="21"/>
                      <w:lang w:val="en-US" w:eastAsia="zh-CN"/>
                    </w:rPr>
                  </w:pPr>
                  <w:r>
                    <w:rPr>
                      <w:rFonts w:hint="eastAsia"/>
                      <w:color w:val="auto"/>
                      <w:szCs w:val="21"/>
                      <w:lang w:val="en-US" w:eastAsia="zh-CN"/>
                    </w:rPr>
                    <w:t>/</w:t>
                  </w:r>
                </w:p>
              </w:tc>
            </w:tr>
            <w:tr w14:paraId="766D6A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ACC00E6">
                  <w:pPr>
                    <w:numPr>
                      <w:ilvl w:val="0"/>
                      <w:numId w:val="3"/>
                    </w:numPr>
                    <w:snapToGrid w:val="0"/>
                    <w:spacing w:line="280" w:lineRule="exact"/>
                    <w:ind w:left="0" w:leftChars="0" w:firstLine="0" w:firstLineChars="0"/>
                    <w:jc w:val="center"/>
                    <w:rPr>
                      <w:rFonts w:hint="eastAsia" w:eastAsia="宋体"/>
                      <w:color w:val="auto"/>
                      <w:lang w:val="en-US" w:eastAsia="zh-CN"/>
                    </w:rPr>
                  </w:pPr>
                </w:p>
              </w:tc>
              <w:tc>
                <w:tcPr>
                  <w:tcW w:w="1097" w:type="pct"/>
                  <w:noWrap w:val="0"/>
                  <w:vAlign w:val="center"/>
                </w:tcPr>
                <w:p w14:paraId="439354B8">
                  <w:pPr>
                    <w:jc w:val="center"/>
                    <w:rPr>
                      <w:rFonts w:hint="eastAsia"/>
                      <w:color w:val="auto"/>
                      <w:szCs w:val="21"/>
                      <w:lang w:val="en-US" w:eastAsia="zh-CN"/>
                    </w:rPr>
                  </w:pPr>
                  <w:r>
                    <w:rPr>
                      <w:rFonts w:hint="eastAsia"/>
                      <w:color w:val="auto"/>
                      <w:szCs w:val="21"/>
                      <w:lang w:val="en-US" w:eastAsia="zh-CN"/>
                    </w:rPr>
                    <w:t>手工磨槽</w:t>
                  </w:r>
                </w:p>
              </w:tc>
              <w:tc>
                <w:tcPr>
                  <w:tcW w:w="947" w:type="pct"/>
                  <w:noWrap w:val="0"/>
                  <w:vAlign w:val="center"/>
                </w:tcPr>
                <w:p w14:paraId="37712D05">
                  <w:pPr>
                    <w:jc w:val="center"/>
                    <w:rPr>
                      <w:rFonts w:hint="default"/>
                      <w:color w:val="auto"/>
                      <w:szCs w:val="21"/>
                      <w:lang w:val="en-US" w:eastAsia="zh-CN"/>
                    </w:rPr>
                  </w:pPr>
                  <w:r>
                    <w:rPr>
                      <w:rFonts w:hint="eastAsia"/>
                      <w:color w:val="auto"/>
                      <w:szCs w:val="21"/>
                      <w:lang w:val="en-US" w:eastAsia="zh-CN"/>
                    </w:rPr>
                    <w:t>非标</w:t>
                  </w:r>
                </w:p>
              </w:tc>
              <w:tc>
                <w:tcPr>
                  <w:tcW w:w="469" w:type="pct"/>
                  <w:noWrap w:val="0"/>
                  <w:vAlign w:val="center"/>
                </w:tcPr>
                <w:p w14:paraId="5B48A04C">
                  <w:pPr>
                    <w:jc w:val="center"/>
                    <w:rPr>
                      <w:rFonts w:hint="default"/>
                      <w:color w:val="auto"/>
                      <w:szCs w:val="21"/>
                      <w:lang w:val="en-US" w:eastAsia="zh-CN"/>
                    </w:rPr>
                  </w:pPr>
                  <w:r>
                    <w:rPr>
                      <w:rFonts w:hint="eastAsia"/>
                      <w:color w:val="auto"/>
                      <w:szCs w:val="21"/>
                      <w:lang w:val="en-US" w:eastAsia="zh-CN"/>
                    </w:rPr>
                    <w:t>2</w:t>
                  </w:r>
                </w:p>
              </w:tc>
              <w:tc>
                <w:tcPr>
                  <w:tcW w:w="637" w:type="pct"/>
                  <w:noWrap w:val="0"/>
                  <w:vAlign w:val="center"/>
                </w:tcPr>
                <w:p w14:paraId="7C9E3B8F">
                  <w:pPr>
                    <w:spacing w:line="280" w:lineRule="exact"/>
                    <w:jc w:val="center"/>
                    <w:rPr>
                      <w:rFonts w:hint="eastAsia" w:eastAsia="宋体"/>
                      <w:color w:val="auto"/>
                      <w:szCs w:val="21"/>
                      <w:lang w:val="en-US" w:eastAsia="zh-CN"/>
                    </w:rPr>
                  </w:pPr>
                  <w:r>
                    <w:rPr>
                      <w:rFonts w:hint="eastAsia"/>
                      <w:color w:val="auto"/>
                      <w:szCs w:val="21"/>
                      <w:lang w:val="en-US" w:eastAsia="zh-CN"/>
                    </w:rPr>
                    <w:t>台</w:t>
                  </w:r>
                </w:p>
              </w:tc>
              <w:tc>
                <w:tcPr>
                  <w:tcW w:w="2292" w:type="dxa"/>
                  <w:noWrap w:val="0"/>
                  <w:vAlign w:val="center"/>
                </w:tcPr>
                <w:p w14:paraId="4CB199F4">
                  <w:pPr>
                    <w:jc w:val="center"/>
                    <w:rPr>
                      <w:rFonts w:hint="default"/>
                      <w:color w:val="auto"/>
                      <w:szCs w:val="21"/>
                      <w:lang w:val="en-US" w:eastAsia="zh-CN"/>
                    </w:rPr>
                  </w:pPr>
                  <w:r>
                    <w:rPr>
                      <w:rFonts w:hint="eastAsia"/>
                      <w:color w:val="auto"/>
                      <w:szCs w:val="21"/>
                      <w:lang w:val="en-US" w:eastAsia="zh-CN"/>
                    </w:rPr>
                    <w:t>/</w:t>
                  </w:r>
                </w:p>
              </w:tc>
            </w:tr>
            <w:tr w14:paraId="47DA7E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074E1A7D">
                  <w:pPr>
                    <w:numPr>
                      <w:ilvl w:val="0"/>
                      <w:numId w:val="3"/>
                    </w:numPr>
                    <w:snapToGrid w:val="0"/>
                    <w:spacing w:line="280" w:lineRule="exact"/>
                    <w:ind w:left="0" w:leftChars="0" w:firstLine="0" w:firstLineChars="0"/>
                    <w:jc w:val="center"/>
                    <w:rPr>
                      <w:rFonts w:hint="default" w:eastAsia="宋体"/>
                      <w:color w:val="auto"/>
                      <w:lang w:val="en-US" w:eastAsia="zh-CN"/>
                    </w:rPr>
                  </w:pPr>
                </w:p>
              </w:tc>
              <w:tc>
                <w:tcPr>
                  <w:tcW w:w="1097" w:type="pct"/>
                  <w:noWrap w:val="0"/>
                  <w:vAlign w:val="center"/>
                </w:tcPr>
                <w:p w14:paraId="077461A3">
                  <w:pPr>
                    <w:jc w:val="center"/>
                    <w:rPr>
                      <w:rFonts w:hint="eastAsia"/>
                      <w:color w:val="auto"/>
                      <w:szCs w:val="21"/>
                      <w:lang w:val="en-US" w:eastAsia="zh-CN"/>
                    </w:rPr>
                  </w:pPr>
                  <w:r>
                    <w:rPr>
                      <w:rFonts w:hint="eastAsia"/>
                      <w:color w:val="auto"/>
                      <w:szCs w:val="21"/>
                      <w:lang w:val="en-US" w:eastAsia="zh-CN"/>
                    </w:rPr>
                    <w:t>自动打孔机</w:t>
                  </w:r>
                </w:p>
              </w:tc>
              <w:tc>
                <w:tcPr>
                  <w:tcW w:w="947" w:type="pct"/>
                  <w:noWrap w:val="0"/>
                  <w:vAlign w:val="center"/>
                </w:tcPr>
                <w:p w14:paraId="47DC7B43">
                  <w:pPr>
                    <w:jc w:val="center"/>
                    <w:rPr>
                      <w:rFonts w:hint="default"/>
                      <w:color w:val="auto"/>
                      <w:szCs w:val="21"/>
                      <w:lang w:val="en-US" w:eastAsia="zh-CN"/>
                    </w:rPr>
                  </w:pPr>
                  <w:r>
                    <w:rPr>
                      <w:rFonts w:hint="eastAsia"/>
                      <w:color w:val="auto"/>
                      <w:szCs w:val="21"/>
                      <w:lang w:val="en-US" w:eastAsia="zh-CN"/>
                    </w:rPr>
                    <w:t>非标</w:t>
                  </w:r>
                </w:p>
              </w:tc>
              <w:tc>
                <w:tcPr>
                  <w:tcW w:w="469" w:type="pct"/>
                  <w:noWrap w:val="0"/>
                  <w:vAlign w:val="center"/>
                </w:tcPr>
                <w:p w14:paraId="4B57EA9D">
                  <w:pPr>
                    <w:jc w:val="center"/>
                    <w:rPr>
                      <w:rFonts w:hint="default"/>
                      <w:color w:val="auto"/>
                      <w:szCs w:val="21"/>
                      <w:lang w:val="en-US" w:eastAsia="zh-CN"/>
                    </w:rPr>
                  </w:pPr>
                  <w:r>
                    <w:rPr>
                      <w:rFonts w:hint="eastAsia"/>
                      <w:color w:val="auto"/>
                      <w:szCs w:val="21"/>
                      <w:lang w:val="en-US" w:eastAsia="zh-CN"/>
                    </w:rPr>
                    <w:t>2</w:t>
                  </w:r>
                </w:p>
              </w:tc>
              <w:tc>
                <w:tcPr>
                  <w:tcW w:w="637" w:type="pct"/>
                  <w:noWrap w:val="0"/>
                  <w:vAlign w:val="center"/>
                </w:tcPr>
                <w:p w14:paraId="084F8734">
                  <w:pPr>
                    <w:spacing w:line="280" w:lineRule="exact"/>
                    <w:jc w:val="center"/>
                    <w:rPr>
                      <w:rFonts w:hint="eastAsia" w:eastAsia="宋体"/>
                      <w:color w:val="auto"/>
                      <w:szCs w:val="21"/>
                      <w:lang w:val="en-US" w:eastAsia="zh-CN"/>
                    </w:rPr>
                  </w:pPr>
                  <w:r>
                    <w:rPr>
                      <w:rFonts w:hint="eastAsia"/>
                      <w:color w:val="auto"/>
                      <w:szCs w:val="21"/>
                      <w:lang w:val="en-US" w:eastAsia="zh-CN"/>
                    </w:rPr>
                    <w:t>台</w:t>
                  </w:r>
                </w:p>
              </w:tc>
              <w:tc>
                <w:tcPr>
                  <w:tcW w:w="2292" w:type="dxa"/>
                  <w:noWrap w:val="0"/>
                  <w:vAlign w:val="center"/>
                </w:tcPr>
                <w:p w14:paraId="32B796E2">
                  <w:pPr>
                    <w:jc w:val="center"/>
                    <w:rPr>
                      <w:rFonts w:hint="eastAsia"/>
                      <w:color w:val="auto"/>
                      <w:szCs w:val="21"/>
                      <w:lang w:val="en-US" w:eastAsia="zh-CN"/>
                    </w:rPr>
                  </w:pPr>
                  <w:r>
                    <w:rPr>
                      <w:rFonts w:hint="eastAsia"/>
                      <w:color w:val="auto"/>
                      <w:szCs w:val="21"/>
                      <w:lang w:val="en-US" w:eastAsia="zh-CN"/>
                    </w:rPr>
                    <w:t>/</w:t>
                  </w:r>
                </w:p>
              </w:tc>
            </w:tr>
            <w:tr w14:paraId="25DF2C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17E6375E">
                  <w:pPr>
                    <w:numPr>
                      <w:ilvl w:val="0"/>
                      <w:numId w:val="3"/>
                    </w:numPr>
                    <w:snapToGrid w:val="0"/>
                    <w:spacing w:line="280" w:lineRule="exact"/>
                    <w:ind w:left="0" w:leftChars="0" w:firstLine="0" w:firstLineChars="0"/>
                    <w:jc w:val="center"/>
                    <w:rPr>
                      <w:rFonts w:hint="eastAsia" w:eastAsia="宋体"/>
                      <w:color w:val="auto"/>
                      <w:lang w:val="en-US" w:eastAsia="zh-CN"/>
                    </w:rPr>
                  </w:pPr>
                </w:p>
              </w:tc>
              <w:tc>
                <w:tcPr>
                  <w:tcW w:w="1097" w:type="pct"/>
                  <w:noWrap w:val="0"/>
                  <w:vAlign w:val="center"/>
                </w:tcPr>
                <w:p w14:paraId="1498B73F">
                  <w:pPr>
                    <w:jc w:val="center"/>
                    <w:rPr>
                      <w:rFonts w:hint="eastAsia"/>
                      <w:color w:val="auto"/>
                      <w:szCs w:val="21"/>
                      <w:lang w:val="en-US" w:eastAsia="zh-CN"/>
                    </w:rPr>
                  </w:pPr>
                  <w:r>
                    <w:rPr>
                      <w:rFonts w:hint="eastAsia"/>
                      <w:color w:val="auto"/>
                      <w:szCs w:val="21"/>
                      <w:lang w:val="en-US" w:eastAsia="zh-CN"/>
                    </w:rPr>
                    <w:t>空气泵</w:t>
                  </w:r>
                </w:p>
              </w:tc>
              <w:tc>
                <w:tcPr>
                  <w:tcW w:w="947" w:type="pct"/>
                  <w:noWrap w:val="0"/>
                  <w:vAlign w:val="center"/>
                </w:tcPr>
                <w:p w14:paraId="001354EF">
                  <w:pPr>
                    <w:jc w:val="center"/>
                    <w:rPr>
                      <w:rFonts w:hint="default"/>
                      <w:color w:val="auto"/>
                      <w:szCs w:val="21"/>
                      <w:lang w:val="en-US" w:eastAsia="zh-CN"/>
                    </w:rPr>
                  </w:pPr>
                  <w:r>
                    <w:rPr>
                      <w:rFonts w:hint="eastAsia"/>
                      <w:color w:val="auto"/>
                      <w:szCs w:val="21"/>
                      <w:lang w:val="en-US" w:eastAsia="zh-CN"/>
                    </w:rPr>
                    <w:t>非标</w:t>
                  </w:r>
                </w:p>
              </w:tc>
              <w:tc>
                <w:tcPr>
                  <w:tcW w:w="469" w:type="pct"/>
                  <w:noWrap w:val="0"/>
                  <w:vAlign w:val="center"/>
                </w:tcPr>
                <w:p w14:paraId="6168BFE2">
                  <w:pPr>
                    <w:jc w:val="center"/>
                    <w:rPr>
                      <w:rFonts w:hint="default"/>
                      <w:color w:val="auto"/>
                      <w:szCs w:val="21"/>
                      <w:lang w:val="en-US" w:eastAsia="zh-CN"/>
                    </w:rPr>
                  </w:pPr>
                  <w:r>
                    <w:rPr>
                      <w:rFonts w:hint="eastAsia"/>
                      <w:color w:val="auto"/>
                      <w:szCs w:val="21"/>
                      <w:lang w:val="en-US" w:eastAsia="zh-CN"/>
                    </w:rPr>
                    <w:t>2</w:t>
                  </w:r>
                </w:p>
              </w:tc>
              <w:tc>
                <w:tcPr>
                  <w:tcW w:w="637" w:type="pct"/>
                  <w:noWrap w:val="0"/>
                  <w:vAlign w:val="center"/>
                </w:tcPr>
                <w:p w14:paraId="45576014">
                  <w:pPr>
                    <w:spacing w:line="280" w:lineRule="exact"/>
                    <w:jc w:val="center"/>
                    <w:rPr>
                      <w:rFonts w:hint="eastAsia" w:eastAsia="宋体"/>
                      <w:color w:val="auto"/>
                      <w:szCs w:val="21"/>
                      <w:lang w:val="en-US" w:eastAsia="zh-CN"/>
                    </w:rPr>
                  </w:pPr>
                  <w:r>
                    <w:rPr>
                      <w:rFonts w:hint="eastAsia"/>
                      <w:color w:val="auto"/>
                      <w:szCs w:val="21"/>
                      <w:lang w:val="en-US" w:eastAsia="zh-CN"/>
                    </w:rPr>
                    <w:t>台</w:t>
                  </w:r>
                </w:p>
              </w:tc>
              <w:tc>
                <w:tcPr>
                  <w:tcW w:w="2292" w:type="dxa"/>
                  <w:noWrap w:val="0"/>
                  <w:vAlign w:val="center"/>
                </w:tcPr>
                <w:p w14:paraId="48A8D623">
                  <w:pPr>
                    <w:jc w:val="center"/>
                    <w:rPr>
                      <w:rFonts w:hint="eastAsia"/>
                      <w:color w:val="auto"/>
                      <w:szCs w:val="21"/>
                      <w:lang w:val="en-US" w:eastAsia="zh-CN"/>
                    </w:rPr>
                  </w:pPr>
                  <w:r>
                    <w:rPr>
                      <w:rFonts w:hint="eastAsia"/>
                      <w:color w:val="auto"/>
                      <w:szCs w:val="21"/>
                      <w:lang w:val="en-US" w:eastAsia="zh-CN"/>
                    </w:rPr>
                    <w:t>/</w:t>
                  </w:r>
                </w:p>
              </w:tc>
            </w:tr>
          </w:tbl>
          <w:p w14:paraId="2D66510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13、原辅材料消耗</w:t>
            </w:r>
          </w:p>
          <w:p w14:paraId="2E864D6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auto"/>
                <w:sz w:val="24"/>
                <w:szCs w:val="24"/>
                <w:lang w:val="en-US" w:eastAsia="zh-CN"/>
              </w:rPr>
            </w:pPr>
            <w:r>
              <w:rPr>
                <w:color w:val="auto"/>
              </w:rPr>
              <w:t>根据建设单位提供资料，本项目主要原辅材料消耗情况见</w:t>
            </w:r>
            <w:r>
              <w:rPr>
                <w:rFonts w:hint="eastAsia"/>
                <w:color w:val="auto"/>
                <w:lang w:val="en-US" w:eastAsia="zh-CN"/>
              </w:rPr>
              <w:t>下表</w:t>
            </w:r>
            <w:r>
              <w:rPr>
                <w:rFonts w:hint="eastAsia"/>
                <w:color w:val="auto"/>
                <w:lang w:eastAsia="zh-CN"/>
              </w:rPr>
              <w:t>。</w:t>
            </w:r>
          </w:p>
          <w:p w14:paraId="2A77983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4 </w:t>
            </w:r>
            <w:r>
              <w:rPr>
                <w:rFonts w:hint="eastAsia"/>
                <w:b/>
                <w:bCs/>
                <w:color w:val="auto"/>
                <w:sz w:val="21"/>
                <w:szCs w:val="21"/>
              </w:rPr>
              <w:t>项目主要原辅材料一览表</w:t>
            </w:r>
          </w:p>
          <w:tbl>
            <w:tblPr>
              <w:tblStyle w:val="22"/>
              <w:tblW w:w="80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25"/>
              <w:gridCol w:w="645"/>
              <w:gridCol w:w="871"/>
              <w:gridCol w:w="1065"/>
              <w:gridCol w:w="1290"/>
              <w:gridCol w:w="1756"/>
            </w:tblGrid>
            <w:tr w14:paraId="658DA2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75743984">
                  <w:pPr>
                    <w:jc w:val="center"/>
                    <w:rPr>
                      <w:color w:val="auto"/>
                      <w:szCs w:val="21"/>
                    </w:rPr>
                  </w:pPr>
                  <w:r>
                    <w:rPr>
                      <w:color w:val="auto"/>
                      <w:szCs w:val="21"/>
                    </w:rPr>
                    <w:t>序号</w:t>
                  </w:r>
                </w:p>
              </w:tc>
              <w:tc>
                <w:tcPr>
                  <w:tcW w:w="1725" w:type="dxa"/>
                  <w:noWrap w:val="0"/>
                  <w:vAlign w:val="center"/>
                </w:tcPr>
                <w:p w14:paraId="15FB8A47">
                  <w:pPr>
                    <w:jc w:val="center"/>
                    <w:rPr>
                      <w:color w:val="auto"/>
                      <w:szCs w:val="21"/>
                    </w:rPr>
                  </w:pPr>
                  <w:r>
                    <w:rPr>
                      <w:color w:val="auto"/>
                      <w:szCs w:val="21"/>
                    </w:rPr>
                    <w:t>名称</w:t>
                  </w:r>
                </w:p>
              </w:tc>
              <w:tc>
                <w:tcPr>
                  <w:tcW w:w="645" w:type="dxa"/>
                  <w:noWrap w:val="0"/>
                  <w:vAlign w:val="center"/>
                </w:tcPr>
                <w:p w14:paraId="24887441">
                  <w:pPr>
                    <w:jc w:val="center"/>
                    <w:rPr>
                      <w:color w:val="auto"/>
                      <w:szCs w:val="21"/>
                    </w:rPr>
                  </w:pPr>
                  <w:r>
                    <w:rPr>
                      <w:rFonts w:hint="eastAsia"/>
                      <w:color w:val="auto"/>
                      <w:szCs w:val="21"/>
                    </w:rPr>
                    <w:t>形态</w:t>
                  </w:r>
                </w:p>
              </w:tc>
              <w:tc>
                <w:tcPr>
                  <w:tcW w:w="871" w:type="dxa"/>
                  <w:noWrap w:val="0"/>
                  <w:vAlign w:val="center"/>
                </w:tcPr>
                <w:p w14:paraId="0ADE4C3D">
                  <w:pPr>
                    <w:jc w:val="center"/>
                    <w:rPr>
                      <w:color w:val="auto"/>
                      <w:szCs w:val="21"/>
                    </w:rPr>
                  </w:pPr>
                  <w:r>
                    <w:rPr>
                      <w:color w:val="auto"/>
                      <w:szCs w:val="21"/>
                    </w:rPr>
                    <w:t>年用量</w:t>
                  </w:r>
                </w:p>
              </w:tc>
              <w:tc>
                <w:tcPr>
                  <w:tcW w:w="1065" w:type="dxa"/>
                  <w:noWrap w:val="0"/>
                  <w:vAlign w:val="center"/>
                </w:tcPr>
                <w:p w14:paraId="11F39E3C">
                  <w:pPr>
                    <w:jc w:val="center"/>
                    <w:rPr>
                      <w:color w:val="auto"/>
                      <w:szCs w:val="21"/>
                    </w:rPr>
                  </w:pPr>
                  <w:r>
                    <w:rPr>
                      <w:rFonts w:hint="eastAsia"/>
                      <w:color w:val="auto"/>
                      <w:szCs w:val="21"/>
                    </w:rPr>
                    <w:t>贮存方式</w:t>
                  </w:r>
                </w:p>
              </w:tc>
              <w:tc>
                <w:tcPr>
                  <w:tcW w:w="1290" w:type="dxa"/>
                  <w:noWrap w:val="0"/>
                  <w:vAlign w:val="center"/>
                </w:tcPr>
                <w:p w14:paraId="17234AD6">
                  <w:pPr>
                    <w:jc w:val="center"/>
                    <w:rPr>
                      <w:color w:val="auto"/>
                      <w:szCs w:val="21"/>
                    </w:rPr>
                  </w:pPr>
                  <w:r>
                    <w:rPr>
                      <w:rFonts w:hint="eastAsia"/>
                      <w:color w:val="auto"/>
                      <w:szCs w:val="21"/>
                    </w:rPr>
                    <w:t>最大贮存量</w:t>
                  </w:r>
                </w:p>
              </w:tc>
              <w:tc>
                <w:tcPr>
                  <w:tcW w:w="1756" w:type="dxa"/>
                  <w:noWrap w:val="0"/>
                  <w:vAlign w:val="center"/>
                </w:tcPr>
                <w:p w14:paraId="1CE64D62">
                  <w:pPr>
                    <w:jc w:val="center"/>
                    <w:rPr>
                      <w:color w:val="auto"/>
                      <w:szCs w:val="21"/>
                    </w:rPr>
                  </w:pPr>
                  <w:r>
                    <w:rPr>
                      <w:rFonts w:hint="eastAsia"/>
                      <w:color w:val="auto"/>
                      <w:szCs w:val="21"/>
                    </w:rPr>
                    <w:t>备注</w:t>
                  </w:r>
                </w:p>
              </w:tc>
            </w:tr>
            <w:tr w14:paraId="5EC79C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4374529E">
                  <w:pPr>
                    <w:numPr>
                      <w:ilvl w:val="0"/>
                      <w:numId w:val="4"/>
                    </w:numPr>
                    <w:ind w:left="0" w:leftChars="0" w:firstLine="0" w:firstLineChars="0"/>
                    <w:jc w:val="center"/>
                    <w:rPr>
                      <w:color w:val="auto"/>
                      <w:szCs w:val="21"/>
                    </w:rPr>
                  </w:pPr>
                </w:p>
              </w:tc>
              <w:tc>
                <w:tcPr>
                  <w:tcW w:w="1725" w:type="dxa"/>
                  <w:noWrap w:val="0"/>
                  <w:vAlign w:val="center"/>
                </w:tcPr>
                <w:p w14:paraId="4CFB00B0">
                  <w:pPr>
                    <w:jc w:val="center"/>
                    <w:rPr>
                      <w:rFonts w:hint="default" w:eastAsia="宋体"/>
                      <w:color w:val="auto"/>
                      <w:kern w:val="2"/>
                      <w:sz w:val="21"/>
                      <w:szCs w:val="21"/>
                      <w:lang w:val="en-US" w:eastAsia="zh-CN" w:bidi="ar-SA"/>
                    </w:rPr>
                  </w:pPr>
                  <w:r>
                    <w:rPr>
                      <w:rFonts w:hint="eastAsia"/>
                      <w:color w:val="auto"/>
                      <w:lang w:val="en-US" w:eastAsia="zh-CN"/>
                    </w:rPr>
                    <w:t>PE新料</w:t>
                  </w:r>
                </w:p>
              </w:tc>
              <w:tc>
                <w:tcPr>
                  <w:tcW w:w="645" w:type="dxa"/>
                  <w:noWrap w:val="0"/>
                  <w:vAlign w:val="center"/>
                </w:tcPr>
                <w:p w14:paraId="1F10B1B5">
                  <w:pPr>
                    <w:jc w:val="center"/>
                    <w:rPr>
                      <w:rFonts w:hint="eastAsia"/>
                      <w:color w:val="auto"/>
                      <w:szCs w:val="21"/>
                    </w:rPr>
                  </w:pPr>
                  <w:r>
                    <w:rPr>
                      <w:rFonts w:hint="eastAsia"/>
                      <w:color w:val="auto"/>
                      <w:szCs w:val="21"/>
                      <w:lang w:val="en-US" w:eastAsia="zh-CN"/>
                    </w:rPr>
                    <w:t>颗粒</w:t>
                  </w:r>
                </w:p>
              </w:tc>
              <w:tc>
                <w:tcPr>
                  <w:tcW w:w="871" w:type="dxa"/>
                  <w:noWrap w:val="0"/>
                  <w:vAlign w:val="center"/>
                </w:tcPr>
                <w:p w14:paraId="5C594C33">
                  <w:pPr>
                    <w:jc w:val="center"/>
                    <w:rPr>
                      <w:rFonts w:hint="default" w:eastAsia="宋体"/>
                      <w:color w:val="auto"/>
                      <w:szCs w:val="21"/>
                      <w:lang w:val="en-US" w:eastAsia="zh-CN"/>
                    </w:rPr>
                  </w:pPr>
                  <w:r>
                    <w:rPr>
                      <w:rFonts w:hint="eastAsia"/>
                      <w:color w:val="auto"/>
                      <w:szCs w:val="21"/>
                      <w:lang w:val="en-US" w:eastAsia="zh-CN"/>
                    </w:rPr>
                    <w:t>100t</w:t>
                  </w:r>
                </w:p>
              </w:tc>
              <w:tc>
                <w:tcPr>
                  <w:tcW w:w="1065" w:type="dxa"/>
                  <w:noWrap w:val="0"/>
                  <w:vAlign w:val="center"/>
                </w:tcPr>
                <w:p w14:paraId="48993FDB">
                  <w:pPr>
                    <w:jc w:val="center"/>
                    <w:rPr>
                      <w:rFonts w:hint="eastAsia" w:eastAsia="宋体"/>
                      <w:color w:val="auto"/>
                      <w:szCs w:val="21"/>
                      <w:lang w:eastAsia="zh-CN"/>
                    </w:rPr>
                  </w:pPr>
                  <w:r>
                    <w:rPr>
                      <w:rFonts w:hint="eastAsia"/>
                      <w:color w:val="auto"/>
                      <w:szCs w:val="21"/>
                      <w:lang w:val="en-US" w:eastAsia="zh-CN"/>
                    </w:rPr>
                    <w:t>袋装</w:t>
                  </w:r>
                </w:p>
              </w:tc>
              <w:tc>
                <w:tcPr>
                  <w:tcW w:w="1290" w:type="dxa"/>
                  <w:noWrap w:val="0"/>
                  <w:vAlign w:val="center"/>
                </w:tcPr>
                <w:p w14:paraId="2C92DD74">
                  <w:pPr>
                    <w:jc w:val="center"/>
                    <w:rPr>
                      <w:rFonts w:hint="default" w:eastAsia="宋体"/>
                      <w:color w:val="auto"/>
                      <w:szCs w:val="21"/>
                      <w:lang w:val="en-US" w:eastAsia="zh-CN"/>
                    </w:rPr>
                  </w:pPr>
                  <w:r>
                    <w:rPr>
                      <w:rFonts w:hint="eastAsia"/>
                      <w:color w:val="auto"/>
                      <w:szCs w:val="21"/>
                      <w:lang w:val="en-US" w:eastAsia="zh-CN"/>
                    </w:rPr>
                    <w:t>5t</w:t>
                  </w:r>
                </w:p>
              </w:tc>
              <w:tc>
                <w:tcPr>
                  <w:tcW w:w="1756" w:type="dxa"/>
                  <w:noWrap w:val="0"/>
                  <w:vAlign w:val="center"/>
                </w:tcPr>
                <w:p w14:paraId="6FAB6BB3">
                  <w:pPr>
                    <w:jc w:val="center"/>
                    <w:rPr>
                      <w:color w:val="auto"/>
                      <w:szCs w:val="21"/>
                    </w:rPr>
                  </w:pPr>
                  <w:r>
                    <w:rPr>
                      <w:rFonts w:hint="eastAsia"/>
                      <w:color w:val="auto"/>
                      <w:szCs w:val="21"/>
                      <w:lang w:val="en-US" w:eastAsia="zh-CN"/>
                    </w:rPr>
                    <w:t>直径2—5mm</w:t>
                  </w:r>
                </w:p>
              </w:tc>
            </w:tr>
            <w:tr w14:paraId="31135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35C4E26A">
                  <w:pPr>
                    <w:numPr>
                      <w:ilvl w:val="0"/>
                      <w:numId w:val="4"/>
                    </w:numPr>
                    <w:ind w:left="0" w:leftChars="0" w:firstLine="0" w:firstLineChars="0"/>
                    <w:jc w:val="center"/>
                    <w:rPr>
                      <w:rFonts w:hint="eastAsia"/>
                      <w:color w:val="auto"/>
                      <w:szCs w:val="21"/>
                    </w:rPr>
                  </w:pPr>
                </w:p>
              </w:tc>
              <w:tc>
                <w:tcPr>
                  <w:tcW w:w="1725" w:type="dxa"/>
                  <w:noWrap w:val="0"/>
                  <w:vAlign w:val="center"/>
                </w:tcPr>
                <w:p w14:paraId="4E35ED4A">
                  <w:pPr>
                    <w:jc w:val="center"/>
                    <w:rPr>
                      <w:rFonts w:hint="default" w:eastAsia="宋体"/>
                      <w:color w:val="auto"/>
                      <w:kern w:val="2"/>
                      <w:sz w:val="21"/>
                      <w:szCs w:val="21"/>
                      <w:lang w:val="en-US" w:eastAsia="zh-CN" w:bidi="ar-SA"/>
                    </w:rPr>
                  </w:pPr>
                  <w:r>
                    <w:rPr>
                      <w:rFonts w:hint="eastAsia"/>
                      <w:color w:val="auto"/>
                      <w:szCs w:val="21"/>
                      <w:lang w:val="en-US" w:eastAsia="zh-CN"/>
                    </w:rPr>
                    <w:t>PP新料</w:t>
                  </w:r>
                </w:p>
              </w:tc>
              <w:tc>
                <w:tcPr>
                  <w:tcW w:w="645" w:type="dxa"/>
                  <w:noWrap w:val="0"/>
                  <w:vAlign w:val="center"/>
                </w:tcPr>
                <w:p w14:paraId="01B173DB">
                  <w:pPr>
                    <w:jc w:val="center"/>
                    <w:rPr>
                      <w:rFonts w:hint="eastAsia" w:eastAsia="宋体"/>
                      <w:color w:val="auto"/>
                      <w:szCs w:val="21"/>
                      <w:lang w:val="en-US" w:eastAsia="zh-CN"/>
                    </w:rPr>
                  </w:pPr>
                  <w:r>
                    <w:rPr>
                      <w:rFonts w:hint="eastAsia"/>
                      <w:color w:val="auto"/>
                      <w:szCs w:val="21"/>
                      <w:lang w:val="en-US" w:eastAsia="zh-CN"/>
                    </w:rPr>
                    <w:t>颗粒</w:t>
                  </w:r>
                </w:p>
              </w:tc>
              <w:tc>
                <w:tcPr>
                  <w:tcW w:w="871" w:type="dxa"/>
                  <w:noWrap w:val="0"/>
                  <w:vAlign w:val="center"/>
                </w:tcPr>
                <w:p w14:paraId="4D0C6EA7">
                  <w:pPr>
                    <w:jc w:val="center"/>
                    <w:rPr>
                      <w:rFonts w:hint="default" w:eastAsia="宋体"/>
                      <w:color w:val="auto"/>
                      <w:szCs w:val="21"/>
                      <w:lang w:val="en-US" w:eastAsia="zh-CN"/>
                    </w:rPr>
                  </w:pPr>
                  <w:r>
                    <w:rPr>
                      <w:rFonts w:hint="eastAsia"/>
                      <w:color w:val="auto"/>
                      <w:szCs w:val="21"/>
                      <w:lang w:val="en-US" w:eastAsia="zh-CN"/>
                    </w:rPr>
                    <w:t>80t</w:t>
                  </w:r>
                </w:p>
              </w:tc>
              <w:tc>
                <w:tcPr>
                  <w:tcW w:w="1065" w:type="dxa"/>
                  <w:noWrap w:val="0"/>
                  <w:vAlign w:val="center"/>
                </w:tcPr>
                <w:p w14:paraId="7BB296C0">
                  <w:pPr>
                    <w:jc w:val="center"/>
                    <w:rPr>
                      <w:color w:val="auto"/>
                      <w:szCs w:val="21"/>
                    </w:rPr>
                  </w:pPr>
                  <w:r>
                    <w:rPr>
                      <w:rFonts w:hint="eastAsia"/>
                      <w:color w:val="auto"/>
                      <w:szCs w:val="21"/>
                      <w:lang w:val="en-US" w:eastAsia="zh-CN"/>
                    </w:rPr>
                    <w:t>袋装</w:t>
                  </w:r>
                </w:p>
              </w:tc>
              <w:tc>
                <w:tcPr>
                  <w:tcW w:w="1290" w:type="dxa"/>
                  <w:noWrap w:val="0"/>
                  <w:vAlign w:val="center"/>
                </w:tcPr>
                <w:p w14:paraId="27A44FA7">
                  <w:pPr>
                    <w:jc w:val="center"/>
                    <w:rPr>
                      <w:rFonts w:hint="default" w:eastAsia="宋体"/>
                      <w:color w:val="auto"/>
                      <w:szCs w:val="21"/>
                      <w:lang w:val="en-US" w:eastAsia="zh-CN"/>
                    </w:rPr>
                  </w:pPr>
                  <w:r>
                    <w:rPr>
                      <w:rFonts w:hint="eastAsia"/>
                      <w:color w:val="auto"/>
                      <w:szCs w:val="21"/>
                      <w:lang w:val="en-US" w:eastAsia="zh-CN"/>
                    </w:rPr>
                    <w:t>4t</w:t>
                  </w:r>
                </w:p>
              </w:tc>
              <w:tc>
                <w:tcPr>
                  <w:tcW w:w="1756" w:type="dxa"/>
                  <w:noWrap w:val="0"/>
                  <w:vAlign w:val="center"/>
                </w:tcPr>
                <w:p w14:paraId="36ECAC5F">
                  <w:pPr>
                    <w:jc w:val="center"/>
                    <w:rPr>
                      <w:rFonts w:hint="default" w:eastAsia="宋体"/>
                      <w:color w:val="auto"/>
                      <w:szCs w:val="21"/>
                      <w:lang w:val="en-US" w:eastAsia="zh-CN"/>
                    </w:rPr>
                  </w:pPr>
                  <w:r>
                    <w:rPr>
                      <w:rFonts w:hint="eastAsia"/>
                      <w:color w:val="auto"/>
                      <w:szCs w:val="21"/>
                      <w:lang w:val="en-US" w:eastAsia="zh-CN"/>
                    </w:rPr>
                    <w:t>直径3—6mm</w:t>
                  </w:r>
                </w:p>
              </w:tc>
            </w:tr>
            <w:tr w14:paraId="63F5B3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077F2EB6">
                  <w:pPr>
                    <w:numPr>
                      <w:ilvl w:val="0"/>
                      <w:numId w:val="4"/>
                    </w:numPr>
                    <w:ind w:left="0" w:leftChars="0" w:firstLine="0" w:firstLineChars="0"/>
                    <w:jc w:val="center"/>
                    <w:rPr>
                      <w:rFonts w:hint="eastAsia"/>
                      <w:color w:val="auto"/>
                      <w:szCs w:val="21"/>
                    </w:rPr>
                  </w:pPr>
                </w:p>
              </w:tc>
              <w:tc>
                <w:tcPr>
                  <w:tcW w:w="1725" w:type="dxa"/>
                  <w:noWrap w:val="0"/>
                  <w:vAlign w:val="center"/>
                </w:tcPr>
                <w:p w14:paraId="336658BA">
                  <w:pPr>
                    <w:jc w:val="center"/>
                    <w:rPr>
                      <w:rFonts w:hint="default" w:eastAsia="宋体"/>
                      <w:color w:val="auto"/>
                      <w:kern w:val="2"/>
                      <w:sz w:val="21"/>
                      <w:szCs w:val="21"/>
                      <w:lang w:val="en-US" w:eastAsia="zh-CN" w:bidi="ar-SA"/>
                    </w:rPr>
                  </w:pPr>
                  <w:r>
                    <w:rPr>
                      <w:rFonts w:hint="eastAsia"/>
                      <w:color w:val="auto"/>
                      <w:szCs w:val="21"/>
                      <w:lang w:val="en-US" w:eastAsia="zh-CN"/>
                    </w:rPr>
                    <w:t>色母</w:t>
                  </w:r>
                </w:p>
              </w:tc>
              <w:tc>
                <w:tcPr>
                  <w:tcW w:w="645" w:type="dxa"/>
                  <w:noWrap w:val="0"/>
                  <w:vAlign w:val="center"/>
                </w:tcPr>
                <w:p w14:paraId="0E606A30">
                  <w:pPr>
                    <w:jc w:val="center"/>
                    <w:rPr>
                      <w:rFonts w:hint="default" w:eastAsia="宋体"/>
                      <w:color w:val="auto"/>
                      <w:szCs w:val="21"/>
                      <w:lang w:val="en-US" w:eastAsia="zh-CN"/>
                    </w:rPr>
                  </w:pPr>
                  <w:r>
                    <w:rPr>
                      <w:rFonts w:hint="eastAsia"/>
                      <w:color w:val="auto"/>
                      <w:szCs w:val="21"/>
                      <w:lang w:val="en-US" w:eastAsia="zh-CN"/>
                    </w:rPr>
                    <w:t>颗粒</w:t>
                  </w:r>
                </w:p>
              </w:tc>
              <w:tc>
                <w:tcPr>
                  <w:tcW w:w="871" w:type="dxa"/>
                  <w:noWrap w:val="0"/>
                  <w:vAlign w:val="center"/>
                </w:tcPr>
                <w:p w14:paraId="4A7CF1AF">
                  <w:pPr>
                    <w:jc w:val="center"/>
                    <w:rPr>
                      <w:rFonts w:hint="default" w:eastAsia="宋体"/>
                      <w:color w:val="auto"/>
                      <w:szCs w:val="21"/>
                      <w:lang w:val="en-US" w:eastAsia="zh-CN"/>
                    </w:rPr>
                  </w:pPr>
                  <w:r>
                    <w:rPr>
                      <w:rFonts w:hint="eastAsia"/>
                      <w:color w:val="auto"/>
                      <w:szCs w:val="21"/>
                      <w:lang w:val="en-US" w:eastAsia="zh-CN"/>
                    </w:rPr>
                    <w:t>1.8t</w:t>
                  </w:r>
                </w:p>
              </w:tc>
              <w:tc>
                <w:tcPr>
                  <w:tcW w:w="1065" w:type="dxa"/>
                  <w:noWrap w:val="0"/>
                  <w:vAlign w:val="center"/>
                </w:tcPr>
                <w:p w14:paraId="35939276">
                  <w:pPr>
                    <w:jc w:val="center"/>
                    <w:rPr>
                      <w:color w:val="auto"/>
                      <w:szCs w:val="21"/>
                    </w:rPr>
                  </w:pPr>
                  <w:r>
                    <w:rPr>
                      <w:rFonts w:hint="eastAsia"/>
                      <w:color w:val="auto"/>
                      <w:szCs w:val="21"/>
                      <w:lang w:val="en-US" w:eastAsia="zh-CN"/>
                    </w:rPr>
                    <w:t>袋装</w:t>
                  </w:r>
                </w:p>
              </w:tc>
              <w:tc>
                <w:tcPr>
                  <w:tcW w:w="1290" w:type="dxa"/>
                  <w:noWrap w:val="0"/>
                  <w:vAlign w:val="center"/>
                </w:tcPr>
                <w:p w14:paraId="7B0984B2">
                  <w:pPr>
                    <w:jc w:val="center"/>
                    <w:rPr>
                      <w:rFonts w:hint="default" w:eastAsia="宋体"/>
                      <w:color w:val="auto"/>
                      <w:szCs w:val="21"/>
                      <w:lang w:val="en-US" w:eastAsia="zh-CN"/>
                    </w:rPr>
                  </w:pPr>
                  <w:r>
                    <w:rPr>
                      <w:rFonts w:hint="eastAsia"/>
                      <w:color w:val="auto"/>
                      <w:szCs w:val="21"/>
                      <w:lang w:val="en-US" w:eastAsia="zh-CN"/>
                    </w:rPr>
                    <w:t>0.2t</w:t>
                  </w:r>
                </w:p>
              </w:tc>
              <w:tc>
                <w:tcPr>
                  <w:tcW w:w="1756" w:type="dxa"/>
                  <w:noWrap w:val="0"/>
                  <w:vAlign w:val="center"/>
                </w:tcPr>
                <w:p w14:paraId="03CBEABC">
                  <w:pPr>
                    <w:jc w:val="center"/>
                    <w:rPr>
                      <w:color w:val="auto"/>
                      <w:szCs w:val="21"/>
                    </w:rPr>
                  </w:pPr>
                  <w:r>
                    <w:rPr>
                      <w:rFonts w:hint="eastAsia"/>
                      <w:color w:val="auto"/>
                      <w:szCs w:val="21"/>
                      <w:lang w:val="en-US" w:eastAsia="zh-CN"/>
                    </w:rPr>
                    <w:t>直径2—4mm</w:t>
                  </w:r>
                </w:p>
              </w:tc>
            </w:tr>
            <w:tr w14:paraId="34AE99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6907A115">
                  <w:pPr>
                    <w:numPr>
                      <w:ilvl w:val="0"/>
                      <w:numId w:val="4"/>
                    </w:numPr>
                    <w:ind w:left="0" w:leftChars="0" w:firstLine="0" w:firstLineChars="0"/>
                    <w:jc w:val="center"/>
                    <w:rPr>
                      <w:rFonts w:hint="eastAsia"/>
                      <w:color w:val="auto"/>
                      <w:szCs w:val="21"/>
                    </w:rPr>
                  </w:pPr>
                </w:p>
              </w:tc>
              <w:tc>
                <w:tcPr>
                  <w:tcW w:w="1725" w:type="dxa"/>
                  <w:noWrap w:val="0"/>
                  <w:vAlign w:val="center"/>
                </w:tcPr>
                <w:p w14:paraId="21C62241">
                  <w:pPr>
                    <w:jc w:val="center"/>
                    <w:rPr>
                      <w:rFonts w:hint="default"/>
                      <w:color w:val="auto"/>
                      <w:szCs w:val="21"/>
                      <w:lang w:val="en-US" w:eastAsia="zh-CN"/>
                    </w:rPr>
                  </w:pPr>
                  <w:r>
                    <w:rPr>
                      <w:rFonts w:hint="eastAsia"/>
                      <w:color w:val="auto"/>
                      <w:szCs w:val="21"/>
                      <w:lang w:val="en-US" w:eastAsia="zh-CN"/>
                    </w:rPr>
                    <w:t>色拉油</w:t>
                  </w:r>
                </w:p>
              </w:tc>
              <w:tc>
                <w:tcPr>
                  <w:tcW w:w="645" w:type="dxa"/>
                  <w:noWrap w:val="0"/>
                  <w:vAlign w:val="center"/>
                </w:tcPr>
                <w:p w14:paraId="7C8B4A45">
                  <w:pPr>
                    <w:jc w:val="center"/>
                    <w:rPr>
                      <w:rFonts w:hint="default"/>
                      <w:color w:val="auto"/>
                      <w:szCs w:val="21"/>
                      <w:lang w:val="en-US" w:eastAsia="zh-CN"/>
                    </w:rPr>
                  </w:pPr>
                  <w:r>
                    <w:rPr>
                      <w:rFonts w:hint="eastAsia"/>
                      <w:color w:val="auto"/>
                      <w:szCs w:val="21"/>
                      <w:lang w:val="en-US" w:eastAsia="zh-CN"/>
                    </w:rPr>
                    <w:t>液态</w:t>
                  </w:r>
                </w:p>
              </w:tc>
              <w:tc>
                <w:tcPr>
                  <w:tcW w:w="871" w:type="dxa"/>
                  <w:noWrap w:val="0"/>
                  <w:vAlign w:val="center"/>
                </w:tcPr>
                <w:p w14:paraId="46629D57">
                  <w:pPr>
                    <w:jc w:val="center"/>
                    <w:rPr>
                      <w:rFonts w:hint="default"/>
                      <w:color w:val="auto"/>
                      <w:szCs w:val="21"/>
                      <w:lang w:val="en-US" w:eastAsia="zh-CN"/>
                    </w:rPr>
                  </w:pPr>
                  <w:r>
                    <w:rPr>
                      <w:rFonts w:hint="eastAsia"/>
                      <w:color w:val="auto"/>
                      <w:szCs w:val="21"/>
                      <w:lang w:val="en-US" w:eastAsia="zh-CN"/>
                    </w:rPr>
                    <w:t>0.2t</w:t>
                  </w:r>
                </w:p>
              </w:tc>
              <w:tc>
                <w:tcPr>
                  <w:tcW w:w="1065" w:type="dxa"/>
                  <w:noWrap w:val="0"/>
                  <w:vAlign w:val="center"/>
                </w:tcPr>
                <w:p w14:paraId="1849EA06">
                  <w:pPr>
                    <w:jc w:val="center"/>
                    <w:rPr>
                      <w:rFonts w:hint="default"/>
                      <w:color w:val="auto"/>
                      <w:szCs w:val="21"/>
                      <w:lang w:val="en-US" w:eastAsia="zh-CN"/>
                    </w:rPr>
                  </w:pPr>
                  <w:r>
                    <w:rPr>
                      <w:rFonts w:hint="eastAsia"/>
                      <w:color w:val="auto"/>
                      <w:szCs w:val="21"/>
                      <w:lang w:val="en-US" w:eastAsia="zh-CN"/>
                    </w:rPr>
                    <w:t>桶装</w:t>
                  </w:r>
                </w:p>
              </w:tc>
              <w:tc>
                <w:tcPr>
                  <w:tcW w:w="1290" w:type="dxa"/>
                  <w:noWrap w:val="0"/>
                  <w:vAlign w:val="center"/>
                </w:tcPr>
                <w:p w14:paraId="4F76D3ED">
                  <w:pPr>
                    <w:jc w:val="center"/>
                    <w:rPr>
                      <w:rFonts w:hint="default"/>
                      <w:color w:val="auto"/>
                      <w:szCs w:val="21"/>
                      <w:lang w:val="en-US" w:eastAsia="zh-CN"/>
                    </w:rPr>
                  </w:pPr>
                  <w:r>
                    <w:rPr>
                      <w:rFonts w:hint="eastAsia"/>
                      <w:color w:val="auto"/>
                      <w:szCs w:val="21"/>
                      <w:lang w:val="en-US" w:eastAsia="zh-CN"/>
                    </w:rPr>
                    <w:t>0.1t</w:t>
                  </w:r>
                </w:p>
              </w:tc>
              <w:tc>
                <w:tcPr>
                  <w:tcW w:w="1756" w:type="dxa"/>
                  <w:noWrap w:val="0"/>
                  <w:vAlign w:val="center"/>
                </w:tcPr>
                <w:p w14:paraId="7B7D3405">
                  <w:pPr>
                    <w:jc w:val="center"/>
                    <w:rPr>
                      <w:rFonts w:hint="default"/>
                      <w:color w:val="auto"/>
                      <w:szCs w:val="21"/>
                      <w:lang w:val="en-US" w:eastAsia="zh-CN"/>
                    </w:rPr>
                  </w:pPr>
                  <w:r>
                    <w:rPr>
                      <w:rFonts w:hint="eastAsia"/>
                      <w:color w:val="auto"/>
                      <w:szCs w:val="21"/>
                      <w:lang w:val="en-US" w:eastAsia="zh-CN"/>
                    </w:rPr>
                    <w:t>国内采购</w:t>
                  </w:r>
                </w:p>
              </w:tc>
            </w:tr>
            <w:tr w14:paraId="52D6C3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37F7C9DC">
                  <w:pPr>
                    <w:numPr>
                      <w:ilvl w:val="0"/>
                      <w:numId w:val="4"/>
                    </w:numPr>
                    <w:ind w:left="0" w:leftChars="0" w:firstLine="0" w:firstLineChars="0"/>
                    <w:jc w:val="center"/>
                    <w:rPr>
                      <w:rFonts w:hint="default" w:eastAsia="宋体"/>
                      <w:color w:val="auto"/>
                      <w:szCs w:val="21"/>
                      <w:lang w:val="en-US" w:eastAsia="zh-CN"/>
                    </w:rPr>
                  </w:pPr>
                </w:p>
              </w:tc>
              <w:tc>
                <w:tcPr>
                  <w:tcW w:w="1725" w:type="dxa"/>
                  <w:noWrap w:val="0"/>
                  <w:vAlign w:val="center"/>
                </w:tcPr>
                <w:p w14:paraId="446989B0">
                  <w:pPr>
                    <w:jc w:val="center"/>
                    <w:rPr>
                      <w:rFonts w:hint="eastAsia"/>
                      <w:color w:val="auto"/>
                      <w:szCs w:val="21"/>
                      <w:lang w:val="en-US" w:eastAsia="zh-CN"/>
                    </w:rPr>
                  </w:pPr>
                  <w:r>
                    <w:rPr>
                      <w:rFonts w:hint="eastAsia"/>
                      <w:color w:val="auto"/>
                      <w:szCs w:val="21"/>
                      <w:lang w:val="en-US" w:eastAsia="zh-CN"/>
                    </w:rPr>
                    <w:t>不饱和聚酯树脂</w:t>
                  </w:r>
                </w:p>
              </w:tc>
              <w:tc>
                <w:tcPr>
                  <w:tcW w:w="645" w:type="dxa"/>
                  <w:noWrap w:val="0"/>
                  <w:vAlign w:val="center"/>
                </w:tcPr>
                <w:p w14:paraId="4604A84B">
                  <w:pPr>
                    <w:jc w:val="center"/>
                    <w:rPr>
                      <w:rFonts w:hint="default"/>
                      <w:color w:val="auto"/>
                      <w:szCs w:val="21"/>
                      <w:lang w:val="en-US" w:eastAsia="zh-CN"/>
                    </w:rPr>
                  </w:pPr>
                  <w:r>
                    <w:rPr>
                      <w:rFonts w:hint="eastAsia"/>
                      <w:color w:val="auto"/>
                      <w:szCs w:val="21"/>
                      <w:lang w:val="en-US" w:eastAsia="zh-CN"/>
                    </w:rPr>
                    <w:t>液态</w:t>
                  </w:r>
                </w:p>
              </w:tc>
              <w:tc>
                <w:tcPr>
                  <w:tcW w:w="871" w:type="dxa"/>
                  <w:noWrap w:val="0"/>
                  <w:vAlign w:val="center"/>
                </w:tcPr>
                <w:p w14:paraId="0C6503E3">
                  <w:pPr>
                    <w:jc w:val="center"/>
                    <w:rPr>
                      <w:rFonts w:hint="default"/>
                      <w:color w:val="auto"/>
                      <w:szCs w:val="21"/>
                      <w:lang w:val="en-US" w:eastAsia="zh-CN"/>
                    </w:rPr>
                  </w:pPr>
                  <w:r>
                    <w:rPr>
                      <w:rFonts w:hint="eastAsia"/>
                      <w:color w:val="auto"/>
                      <w:szCs w:val="21"/>
                      <w:lang w:val="en-US" w:eastAsia="zh-CN"/>
                    </w:rPr>
                    <w:t>20t</w:t>
                  </w:r>
                </w:p>
              </w:tc>
              <w:tc>
                <w:tcPr>
                  <w:tcW w:w="1065" w:type="dxa"/>
                  <w:noWrap w:val="0"/>
                  <w:vAlign w:val="center"/>
                </w:tcPr>
                <w:p w14:paraId="2EDA7FF5">
                  <w:pPr>
                    <w:jc w:val="center"/>
                    <w:rPr>
                      <w:rFonts w:hint="default"/>
                      <w:color w:val="auto"/>
                      <w:szCs w:val="21"/>
                      <w:lang w:val="en-US" w:eastAsia="zh-CN"/>
                    </w:rPr>
                  </w:pPr>
                  <w:r>
                    <w:rPr>
                      <w:rFonts w:hint="eastAsia"/>
                      <w:color w:val="auto"/>
                      <w:szCs w:val="21"/>
                      <w:lang w:val="en-US" w:eastAsia="zh-CN"/>
                    </w:rPr>
                    <w:t>桶装</w:t>
                  </w:r>
                </w:p>
              </w:tc>
              <w:tc>
                <w:tcPr>
                  <w:tcW w:w="1290" w:type="dxa"/>
                  <w:noWrap w:val="0"/>
                  <w:vAlign w:val="center"/>
                </w:tcPr>
                <w:p w14:paraId="07E5AE3F">
                  <w:pPr>
                    <w:jc w:val="center"/>
                    <w:rPr>
                      <w:rFonts w:hint="default"/>
                      <w:color w:val="auto"/>
                      <w:szCs w:val="21"/>
                      <w:lang w:val="en-US" w:eastAsia="zh-CN"/>
                    </w:rPr>
                  </w:pPr>
                  <w:r>
                    <w:rPr>
                      <w:rFonts w:hint="eastAsia"/>
                      <w:color w:val="auto"/>
                      <w:szCs w:val="21"/>
                      <w:lang w:val="en-US" w:eastAsia="zh-CN"/>
                    </w:rPr>
                    <w:t>2t</w:t>
                  </w:r>
                </w:p>
              </w:tc>
              <w:tc>
                <w:tcPr>
                  <w:tcW w:w="1756" w:type="dxa"/>
                  <w:noWrap w:val="0"/>
                  <w:vAlign w:val="center"/>
                </w:tcPr>
                <w:p w14:paraId="28ED05CC">
                  <w:pPr>
                    <w:jc w:val="center"/>
                    <w:rPr>
                      <w:rFonts w:hint="default"/>
                      <w:color w:val="auto"/>
                      <w:szCs w:val="21"/>
                      <w:lang w:val="en-US" w:eastAsia="zh-CN"/>
                    </w:rPr>
                  </w:pPr>
                  <w:r>
                    <w:rPr>
                      <w:rFonts w:hint="eastAsia"/>
                      <w:color w:val="auto"/>
                      <w:szCs w:val="21"/>
                      <w:lang w:val="en-US" w:eastAsia="zh-CN"/>
                    </w:rPr>
                    <w:t>国内采购</w:t>
                  </w:r>
                </w:p>
              </w:tc>
            </w:tr>
            <w:tr w14:paraId="35149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6566A7F3">
                  <w:pPr>
                    <w:numPr>
                      <w:ilvl w:val="0"/>
                      <w:numId w:val="4"/>
                    </w:numPr>
                    <w:ind w:left="0" w:leftChars="0" w:firstLine="0" w:firstLineChars="0"/>
                    <w:jc w:val="center"/>
                    <w:rPr>
                      <w:rFonts w:hint="default" w:eastAsia="宋体"/>
                      <w:color w:val="auto"/>
                      <w:szCs w:val="21"/>
                      <w:lang w:val="en-US" w:eastAsia="zh-CN"/>
                    </w:rPr>
                  </w:pPr>
                </w:p>
              </w:tc>
              <w:tc>
                <w:tcPr>
                  <w:tcW w:w="1725" w:type="dxa"/>
                  <w:noWrap w:val="0"/>
                  <w:vAlign w:val="center"/>
                </w:tcPr>
                <w:p w14:paraId="35E26948">
                  <w:pPr>
                    <w:jc w:val="center"/>
                    <w:rPr>
                      <w:rFonts w:hint="eastAsia"/>
                      <w:color w:val="auto"/>
                      <w:szCs w:val="21"/>
                      <w:lang w:val="en-US" w:eastAsia="zh-CN"/>
                    </w:rPr>
                  </w:pPr>
                  <w:r>
                    <w:rPr>
                      <w:rFonts w:hint="eastAsia"/>
                      <w:color w:val="auto"/>
                      <w:szCs w:val="21"/>
                      <w:lang w:val="en-US" w:eastAsia="zh-CN"/>
                    </w:rPr>
                    <w:t>玻璃纤维</w:t>
                  </w:r>
                </w:p>
              </w:tc>
              <w:tc>
                <w:tcPr>
                  <w:tcW w:w="645" w:type="dxa"/>
                  <w:noWrap w:val="0"/>
                  <w:vAlign w:val="center"/>
                </w:tcPr>
                <w:p w14:paraId="6CB16996">
                  <w:pPr>
                    <w:jc w:val="center"/>
                    <w:rPr>
                      <w:rFonts w:hint="default"/>
                      <w:color w:val="auto"/>
                      <w:szCs w:val="21"/>
                      <w:lang w:val="en-US" w:eastAsia="zh-CN"/>
                    </w:rPr>
                  </w:pPr>
                  <w:r>
                    <w:rPr>
                      <w:rFonts w:hint="eastAsia"/>
                      <w:color w:val="auto"/>
                      <w:szCs w:val="21"/>
                      <w:lang w:val="en-US" w:eastAsia="zh-CN"/>
                    </w:rPr>
                    <w:t>固态</w:t>
                  </w:r>
                </w:p>
              </w:tc>
              <w:tc>
                <w:tcPr>
                  <w:tcW w:w="871" w:type="dxa"/>
                  <w:noWrap w:val="0"/>
                  <w:vAlign w:val="center"/>
                </w:tcPr>
                <w:p w14:paraId="3DEFD727">
                  <w:pPr>
                    <w:jc w:val="center"/>
                    <w:rPr>
                      <w:rFonts w:hint="default"/>
                      <w:color w:val="auto"/>
                      <w:szCs w:val="21"/>
                      <w:lang w:val="en-US" w:eastAsia="zh-CN"/>
                    </w:rPr>
                  </w:pPr>
                  <w:r>
                    <w:rPr>
                      <w:rFonts w:hint="eastAsia"/>
                      <w:color w:val="auto"/>
                      <w:szCs w:val="21"/>
                      <w:lang w:val="en-US" w:eastAsia="zh-CN"/>
                    </w:rPr>
                    <w:t>40t</w:t>
                  </w:r>
                </w:p>
              </w:tc>
              <w:tc>
                <w:tcPr>
                  <w:tcW w:w="1065" w:type="dxa"/>
                  <w:noWrap w:val="0"/>
                  <w:vAlign w:val="center"/>
                </w:tcPr>
                <w:p w14:paraId="29285290">
                  <w:pPr>
                    <w:jc w:val="center"/>
                    <w:rPr>
                      <w:rFonts w:hint="default"/>
                      <w:color w:val="auto"/>
                      <w:szCs w:val="21"/>
                      <w:lang w:val="en-US" w:eastAsia="zh-CN"/>
                    </w:rPr>
                  </w:pPr>
                  <w:r>
                    <w:rPr>
                      <w:rFonts w:hint="eastAsia"/>
                      <w:color w:val="auto"/>
                      <w:szCs w:val="21"/>
                      <w:lang w:val="en-US" w:eastAsia="zh-CN"/>
                    </w:rPr>
                    <w:t>袋装</w:t>
                  </w:r>
                </w:p>
              </w:tc>
              <w:tc>
                <w:tcPr>
                  <w:tcW w:w="1290" w:type="dxa"/>
                  <w:noWrap w:val="0"/>
                  <w:vAlign w:val="center"/>
                </w:tcPr>
                <w:p w14:paraId="465D3F84">
                  <w:pPr>
                    <w:jc w:val="center"/>
                    <w:rPr>
                      <w:rFonts w:hint="default"/>
                      <w:color w:val="auto"/>
                      <w:szCs w:val="21"/>
                      <w:lang w:val="en-US" w:eastAsia="zh-CN"/>
                    </w:rPr>
                  </w:pPr>
                  <w:r>
                    <w:rPr>
                      <w:rFonts w:hint="eastAsia"/>
                      <w:color w:val="auto"/>
                      <w:szCs w:val="21"/>
                      <w:lang w:val="en-US" w:eastAsia="zh-CN"/>
                    </w:rPr>
                    <w:t>4t</w:t>
                  </w:r>
                </w:p>
              </w:tc>
              <w:tc>
                <w:tcPr>
                  <w:tcW w:w="1756" w:type="dxa"/>
                  <w:noWrap w:val="0"/>
                  <w:vAlign w:val="center"/>
                </w:tcPr>
                <w:p w14:paraId="568DB581">
                  <w:pPr>
                    <w:jc w:val="center"/>
                    <w:rPr>
                      <w:rFonts w:hint="eastAsia"/>
                      <w:color w:val="auto"/>
                      <w:szCs w:val="21"/>
                      <w:lang w:val="en-US" w:eastAsia="zh-CN"/>
                    </w:rPr>
                  </w:pPr>
                  <w:r>
                    <w:rPr>
                      <w:rFonts w:hint="eastAsia"/>
                      <w:color w:val="auto"/>
                      <w:szCs w:val="21"/>
                    </w:rPr>
                    <w:t>国内采购</w:t>
                  </w:r>
                </w:p>
              </w:tc>
            </w:tr>
            <w:tr w14:paraId="2A0F51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18040980">
                  <w:pPr>
                    <w:numPr>
                      <w:ilvl w:val="0"/>
                      <w:numId w:val="4"/>
                    </w:numPr>
                    <w:ind w:left="0" w:leftChars="0" w:firstLine="0" w:firstLineChars="0"/>
                    <w:jc w:val="center"/>
                    <w:rPr>
                      <w:rFonts w:hint="default"/>
                      <w:color w:val="auto"/>
                      <w:szCs w:val="21"/>
                      <w:lang w:val="en-US" w:eastAsia="zh-CN"/>
                    </w:rPr>
                  </w:pPr>
                </w:p>
              </w:tc>
              <w:tc>
                <w:tcPr>
                  <w:tcW w:w="1725" w:type="dxa"/>
                  <w:noWrap w:val="0"/>
                  <w:vAlign w:val="center"/>
                </w:tcPr>
                <w:p w14:paraId="4158AF19">
                  <w:pPr>
                    <w:jc w:val="center"/>
                    <w:rPr>
                      <w:rFonts w:hint="default"/>
                      <w:color w:val="auto"/>
                      <w:szCs w:val="21"/>
                      <w:lang w:val="en-US" w:eastAsia="zh-CN"/>
                    </w:rPr>
                  </w:pPr>
                  <w:r>
                    <w:rPr>
                      <w:rFonts w:hint="eastAsia"/>
                      <w:color w:val="auto"/>
                      <w:szCs w:val="21"/>
                      <w:lang w:val="en-US" w:eastAsia="zh-CN"/>
                    </w:rPr>
                    <w:t>固化剂</w:t>
                  </w:r>
                </w:p>
              </w:tc>
              <w:tc>
                <w:tcPr>
                  <w:tcW w:w="645" w:type="dxa"/>
                  <w:noWrap w:val="0"/>
                  <w:vAlign w:val="center"/>
                </w:tcPr>
                <w:p w14:paraId="4725BDE2">
                  <w:pPr>
                    <w:jc w:val="center"/>
                    <w:rPr>
                      <w:rFonts w:hint="default"/>
                      <w:color w:val="auto"/>
                      <w:szCs w:val="21"/>
                      <w:lang w:val="en-US" w:eastAsia="zh-CN"/>
                    </w:rPr>
                  </w:pPr>
                  <w:r>
                    <w:rPr>
                      <w:rFonts w:hint="eastAsia"/>
                      <w:color w:val="auto"/>
                      <w:szCs w:val="21"/>
                      <w:lang w:val="en-US" w:eastAsia="zh-CN"/>
                    </w:rPr>
                    <w:t>液态</w:t>
                  </w:r>
                </w:p>
              </w:tc>
              <w:tc>
                <w:tcPr>
                  <w:tcW w:w="871" w:type="dxa"/>
                  <w:noWrap w:val="0"/>
                  <w:vAlign w:val="center"/>
                </w:tcPr>
                <w:p w14:paraId="1115C951">
                  <w:pPr>
                    <w:jc w:val="center"/>
                    <w:rPr>
                      <w:rFonts w:hint="default"/>
                      <w:color w:val="auto"/>
                      <w:szCs w:val="21"/>
                      <w:lang w:val="en-US" w:eastAsia="zh-CN"/>
                    </w:rPr>
                  </w:pPr>
                  <w:r>
                    <w:rPr>
                      <w:rFonts w:hint="eastAsia"/>
                      <w:color w:val="auto"/>
                      <w:szCs w:val="21"/>
                      <w:lang w:val="en-US" w:eastAsia="zh-CN"/>
                    </w:rPr>
                    <w:t>0.15t</w:t>
                  </w:r>
                </w:p>
              </w:tc>
              <w:tc>
                <w:tcPr>
                  <w:tcW w:w="1065" w:type="dxa"/>
                  <w:noWrap w:val="0"/>
                  <w:vAlign w:val="center"/>
                </w:tcPr>
                <w:p w14:paraId="737540B0">
                  <w:pPr>
                    <w:jc w:val="center"/>
                    <w:rPr>
                      <w:rFonts w:hint="default"/>
                      <w:color w:val="auto"/>
                      <w:szCs w:val="21"/>
                      <w:lang w:val="en-US" w:eastAsia="zh-CN"/>
                    </w:rPr>
                  </w:pPr>
                  <w:r>
                    <w:rPr>
                      <w:rFonts w:hint="eastAsia"/>
                      <w:color w:val="auto"/>
                      <w:szCs w:val="21"/>
                      <w:lang w:val="en-US" w:eastAsia="zh-CN"/>
                    </w:rPr>
                    <w:t>桶装</w:t>
                  </w:r>
                </w:p>
              </w:tc>
              <w:tc>
                <w:tcPr>
                  <w:tcW w:w="1290" w:type="dxa"/>
                  <w:noWrap w:val="0"/>
                  <w:vAlign w:val="center"/>
                </w:tcPr>
                <w:p w14:paraId="02F0319D">
                  <w:pPr>
                    <w:jc w:val="center"/>
                    <w:rPr>
                      <w:rFonts w:hint="default"/>
                      <w:color w:val="auto"/>
                      <w:szCs w:val="21"/>
                      <w:lang w:val="en-US" w:eastAsia="zh-CN"/>
                    </w:rPr>
                  </w:pPr>
                  <w:r>
                    <w:rPr>
                      <w:rFonts w:hint="eastAsia"/>
                      <w:color w:val="auto"/>
                      <w:szCs w:val="21"/>
                      <w:lang w:val="en-US" w:eastAsia="zh-CN"/>
                    </w:rPr>
                    <w:t>0.15t</w:t>
                  </w:r>
                </w:p>
              </w:tc>
              <w:tc>
                <w:tcPr>
                  <w:tcW w:w="1756" w:type="dxa"/>
                  <w:noWrap w:val="0"/>
                  <w:vAlign w:val="center"/>
                </w:tcPr>
                <w:p w14:paraId="6A112141">
                  <w:pPr>
                    <w:jc w:val="center"/>
                    <w:rPr>
                      <w:rFonts w:hint="default"/>
                      <w:color w:val="auto"/>
                      <w:szCs w:val="21"/>
                      <w:lang w:val="en-US" w:eastAsia="zh-CN"/>
                    </w:rPr>
                  </w:pPr>
                  <w:r>
                    <w:rPr>
                      <w:rFonts w:hint="eastAsia"/>
                      <w:color w:val="auto"/>
                      <w:szCs w:val="21"/>
                    </w:rPr>
                    <w:t>国内采购</w:t>
                  </w:r>
                </w:p>
              </w:tc>
            </w:tr>
            <w:tr w14:paraId="2BF36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4" w:type="dxa"/>
                  <w:noWrap w:val="0"/>
                  <w:vAlign w:val="center"/>
                </w:tcPr>
                <w:p w14:paraId="26B833B5">
                  <w:pPr>
                    <w:numPr>
                      <w:ilvl w:val="0"/>
                      <w:numId w:val="4"/>
                    </w:numPr>
                    <w:ind w:left="0" w:leftChars="0" w:firstLine="0" w:firstLineChars="0"/>
                    <w:jc w:val="center"/>
                    <w:rPr>
                      <w:rFonts w:hint="default"/>
                      <w:color w:val="auto"/>
                      <w:szCs w:val="21"/>
                      <w:lang w:val="en-US" w:eastAsia="zh-CN"/>
                    </w:rPr>
                  </w:pPr>
                </w:p>
              </w:tc>
              <w:tc>
                <w:tcPr>
                  <w:tcW w:w="1725" w:type="dxa"/>
                  <w:noWrap w:val="0"/>
                  <w:vAlign w:val="center"/>
                </w:tcPr>
                <w:p w14:paraId="7D51CDA5">
                  <w:pPr>
                    <w:jc w:val="center"/>
                    <w:rPr>
                      <w:rFonts w:hint="default"/>
                      <w:color w:val="auto"/>
                      <w:szCs w:val="21"/>
                      <w:lang w:val="en-US" w:eastAsia="zh-CN"/>
                    </w:rPr>
                  </w:pPr>
                  <w:r>
                    <w:rPr>
                      <w:rFonts w:hint="eastAsia"/>
                      <w:color w:val="auto"/>
                      <w:szCs w:val="21"/>
                      <w:lang w:val="en-US" w:eastAsia="zh-CN"/>
                    </w:rPr>
                    <w:t>液压油</w:t>
                  </w:r>
                </w:p>
              </w:tc>
              <w:tc>
                <w:tcPr>
                  <w:tcW w:w="645" w:type="dxa"/>
                  <w:noWrap w:val="0"/>
                  <w:vAlign w:val="center"/>
                </w:tcPr>
                <w:p w14:paraId="7E09D9FC">
                  <w:pPr>
                    <w:jc w:val="center"/>
                    <w:rPr>
                      <w:rFonts w:hint="default"/>
                      <w:color w:val="auto"/>
                      <w:szCs w:val="21"/>
                      <w:lang w:val="en-US" w:eastAsia="zh-CN"/>
                    </w:rPr>
                  </w:pPr>
                  <w:r>
                    <w:rPr>
                      <w:rFonts w:hint="eastAsia"/>
                      <w:color w:val="auto"/>
                      <w:szCs w:val="21"/>
                      <w:lang w:val="en-US" w:eastAsia="zh-CN"/>
                    </w:rPr>
                    <w:t>液态</w:t>
                  </w:r>
                </w:p>
              </w:tc>
              <w:tc>
                <w:tcPr>
                  <w:tcW w:w="871" w:type="dxa"/>
                  <w:noWrap w:val="0"/>
                  <w:vAlign w:val="center"/>
                </w:tcPr>
                <w:p w14:paraId="6912FD5C">
                  <w:pPr>
                    <w:jc w:val="center"/>
                    <w:rPr>
                      <w:rFonts w:hint="eastAsia"/>
                      <w:color w:val="auto"/>
                      <w:szCs w:val="21"/>
                      <w:lang w:val="en-US" w:eastAsia="zh-CN"/>
                    </w:rPr>
                  </w:pPr>
                  <w:r>
                    <w:rPr>
                      <w:rFonts w:hint="eastAsia"/>
                      <w:color w:val="auto"/>
                      <w:szCs w:val="21"/>
                      <w:lang w:val="en-US" w:eastAsia="zh-CN"/>
                    </w:rPr>
                    <w:t>0.075t</w:t>
                  </w:r>
                </w:p>
              </w:tc>
              <w:tc>
                <w:tcPr>
                  <w:tcW w:w="1065" w:type="dxa"/>
                  <w:noWrap w:val="0"/>
                  <w:vAlign w:val="center"/>
                </w:tcPr>
                <w:p w14:paraId="4DDFE8F5">
                  <w:pPr>
                    <w:jc w:val="center"/>
                    <w:rPr>
                      <w:rFonts w:hint="default"/>
                      <w:color w:val="auto"/>
                      <w:szCs w:val="21"/>
                      <w:lang w:val="en-US" w:eastAsia="zh-CN"/>
                    </w:rPr>
                  </w:pPr>
                  <w:r>
                    <w:rPr>
                      <w:rFonts w:hint="eastAsia"/>
                      <w:color w:val="auto"/>
                      <w:szCs w:val="21"/>
                      <w:lang w:val="en-US" w:eastAsia="zh-CN"/>
                    </w:rPr>
                    <w:t>桶装</w:t>
                  </w:r>
                </w:p>
              </w:tc>
              <w:tc>
                <w:tcPr>
                  <w:tcW w:w="1290" w:type="dxa"/>
                  <w:noWrap w:val="0"/>
                  <w:vAlign w:val="center"/>
                </w:tcPr>
                <w:p w14:paraId="328A902C">
                  <w:pPr>
                    <w:jc w:val="center"/>
                    <w:rPr>
                      <w:rFonts w:hint="default"/>
                      <w:color w:val="auto"/>
                      <w:szCs w:val="21"/>
                      <w:lang w:val="en-US" w:eastAsia="zh-CN"/>
                    </w:rPr>
                  </w:pPr>
                  <w:r>
                    <w:rPr>
                      <w:rFonts w:hint="eastAsia"/>
                      <w:color w:val="auto"/>
                      <w:szCs w:val="21"/>
                      <w:lang w:val="en-US" w:eastAsia="zh-CN"/>
                    </w:rPr>
                    <w:t>0.075t</w:t>
                  </w:r>
                </w:p>
              </w:tc>
              <w:tc>
                <w:tcPr>
                  <w:tcW w:w="1756" w:type="dxa"/>
                  <w:noWrap w:val="0"/>
                  <w:vAlign w:val="center"/>
                </w:tcPr>
                <w:p w14:paraId="456D322C">
                  <w:pPr>
                    <w:jc w:val="center"/>
                    <w:rPr>
                      <w:rFonts w:hint="default"/>
                      <w:color w:val="auto"/>
                      <w:szCs w:val="21"/>
                      <w:lang w:val="en-US" w:eastAsia="zh-CN"/>
                    </w:rPr>
                  </w:pPr>
                  <w:r>
                    <w:rPr>
                      <w:rFonts w:hint="eastAsia"/>
                      <w:color w:val="auto"/>
                      <w:szCs w:val="21"/>
                    </w:rPr>
                    <w:t>国内采购</w:t>
                  </w:r>
                </w:p>
              </w:tc>
            </w:tr>
          </w:tbl>
          <w:p w14:paraId="3FD412E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auto"/>
                <w:sz w:val="21"/>
                <w:szCs w:val="21"/>
                <w:lang w:val="en-US" w:eastAsia="zh-CN"/>
              </w:rPr>
            </w:pPr>
            <w:r>
              <w:rPr>
                <w:rFonts w:hint="eastAsia"/>
                <w:b w:val="0"/>
                <w:bCs w:val="0"/>
                <w:color w:val="auto"/>
                <w:sz w:val="24"/>
                <w:szCs w:val="24"/>
                <w:lang w:val="en-US" w:eastAsia="zh-CN"/>
              </w:rPr>
              <w:t>项目主要原辅材料理化性质见下表。</w:t>
            </w:r>
          </w:p>
          <w:p w14:paraId="194282F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59AE1F7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1EB8FAA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503763A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697AFC7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表2-5 项目主要原辅材料理化性质</w:t>
            </w:r>
          </w:p>
          <w:tbl>
            <w:tblPr>
              <w:tblStyle w:val="23"/>
              <w:tblW w:w="79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13"/>
              <w:gridCol w:w="593"/>
              <w:gridCol w:w="4046"/>
              <w:gridCol w:w="1009"/>
              <w:gridCol w:w="1058"/>
            </w:tblGrid>
            <w:tr w14:paraId="447553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 w:type="pct"/>
                  <w:tcBorders>
                    <w:tl2br w:val="nil"/>
                    <w:tr2bl w:val="nil"/>
                  </w:tcBorders>
                  <w:noWrap w:val="0"/>
                  <w:vAlign w:val="center"/>
                </w:tcPr>
                <w:p w14:paraId="34C7847A">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序号</w:t>
                  </w:r>
                </w:p>
              </w:tc>
              <w:tc>
                <w:tcPr>
                  <w:tcW w:w="510" w:type="pct"/>
                  <w:tcBorders>
                    <w:tl2br w:val="nil"/>
                    <w:tr2bl w:val="nil"/>
                  </w:tcBorders>
                  <w:noWrap w:val="0"/>
                  <w:vAlign w:val="center"/>
                </w:tcPr>
                <w:p w14:paraId="7304BBD0">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名称</w:t>
                  </w:r>
                </w:p>
              </w:tc>
              <w:tc>
                <w:tcPr>
                  <w:tcW w:w="372" w:type="pct"/>
                  <w:tcBorders>
                    <w:tl2br w:val="nil"/>
                    <w:tr2bl w:val="nil"/>
                  </w:tcBorders>
                  <w:noWrap w:val="0"/>
                  <w:vAlign w:val="center"/>
                </w:tcPr>
                <w:p w14:paraId="2B726603">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形态</w:t>
                  </w:r>
                </w:p>
              </w:tc>
              <w:tc>
                <w:tcPr>
                  <w:tcW w:w="2543" w:type="pct"/>
                  <w:tcBorders>
                    <w:tl2br w:val="nil"/>
                    <w:tr2bl w:val="nil"/>
                  </w:tcBorders>
                  <w:noWrap w:val="0"/>
                  <w:vAlign w:val="center"/>
                </w:tcPr>
                <w:p w14:paraId="72574269">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理化性质</w:t>
                  </w:r>
                </w:p>
              </w:tc>
              <w:tc>
                <w:tcPr>
                  <w:tcW w:w="634" w:type="pct"/>
                  <w:tcBorders>
                    <w:tl2br w:val="nil"/>
                    <w:tr2bl w:val="nil"/>
                  </w:tcBorders>
                  <w:noWrap w:val="0"/>
                  <w:vAlign w:val="center"/>
                </w:tcPr>
                <w:p w14:paraId="206E802A">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燃烧爆炸性</w:t>
                  </w:r>
                </w:p>
              </w:tc>
              <w:tc>
                <w:tcPr>
                  <w:tcW w:w="664" w:type="pct"/>
                  <w:tcBorders>
                    <w:tl2br w:val="nil"/>
                    <w:tr2bl w:val="nil"/>
                  </w:tcBorders>
                  <w:noWrap w:val="0"/>
                  <w:vAlign w:val="center"/>
                </w:tcPr>
                <w:p w14:paraId="274054DD">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毒性毒理</w:t>
                  </w:r>
                </w:p>
              </w:tc>
            </w:tr>
            <w:tr w14:paraId="2D1D35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 w:type="pct"/>
                  <w:tcBorders>
                    <w:tl2br w:val="nil"/>
                    <w:tr2bl w:val="nil"/>
                  </w:tcBorders>
                  <w:noWrap w:val="0"/>
                  <w:vAlign w:val="center"/>
                </w:tcPr>
                <w:p w14:paraId="18F98EC4">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eastAsia"/>
                      <w:color w:val="auto"/>
                      <w:sz w:val="21"/>
                    </w:rPr>
                  </w:pPr>
                </w:p>
              </w:tc>
              <w:tc>
                <w:tcPr>
                  <w:tcW w:w="510" w:type="pct"/>
                  <w:tcBorders>
                    <w:tl2br w:val="nil"/>
                    <w:tr2bl w:val="nil"/>
                  </w:tcBorders>
                  <w:noWrap w:val="0"/>
                  <w:vAlign w:val="center"/>
                </w:tcPr>
                <w:p w14:paraId="233D4150">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PE</w:t>
                  </w:r>
                </w:p>
              </w:tc>
              <w:tc>
                <w:tcPr>
                  <w:tcW w:w="372" w:type="pct"/>
                  <w:tcBorders>
                    <w:tl2br w:val="nil"/>
                    <w:tr2bl w:val="nil"/>
                  </w:tcBorders>
                  <w:noWrap w:val="0"/>
                  <w:vAlign w:val="center"/>
                </w:tcPr>
                <w:p w14:paraId="4DDE567D">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颗粒</w:t>
                  </w:r>
                </w:p>
              </w:tc>
              <w:tc>
                <w:tcPr>
                  <w:tcW w:w="2543" w:type="pct"/>
                  <w:tcBorders>
                    <w:tl2br w:val="nil"/>
                    <w:tr2bl w:val="nil"/>
                  </w:tcBorders>
                  <w:noWrap w:val="0"/>
                  <w:vAlign w:val="center"/>
                </w:tcPr>
                <w:p w14:paraId="7BE6868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聚乙烯无臭，无毒，手感似蜡，具有优良的耐低温性能（最低使用温度可达-100~-70°C）。化学稳定性好，因聚合物分子内通过碳-碳单键相连，能耐大多数酸碱的侵蚀（不耐具有氧化性质的酸）</w:t>
                  </w:r>
                  <w:r>
                    <w:rPr>
                      <w:rFonts w:hint="eastAsia" w:cs="Times New Roman"/>
                      <w:b w:val="0"/>
                      <w:bCs w:val="0"/>
                      <w:color w:val="auto"/>
                      <w:sz w:val="21"/>
                      <w:szCs w:val="21"/>
                      <w:lang w:val="en-US" w:eastAsia="zh-CN"/>
                    </w:rPr>
                    <w:t>，熔    点85至136</w:t>
                  </w:r>
                  <w:r>
                    <w:rPr>
                      <w:rFonts w:hint="default"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，密度0.91至0.96 g/cm</w:t>
                  </w:r>
                  <w:r>
                    <w:rPr>
                      <w:rFonts w:hint="eastAsia" w:cs="Times New Roman"/>
                      <w:b w:val="0"/>
                      <w:bCs w:val="0"/>
                      <w:color w:val="auto"/>
                      <w:sz w:val="21"/>
                      <w:szCs w:val="21"/>
                      <w:vertAlign w:val="superscript"/>
                      <w:lang w:val="en-US" w:eastAsia="zh-CN"/>
                    </w:rPr>
                    <w:t>3</w:t>
                  </w:r>
                  <w:r>
                    <w:rPr>
                      <w:rFonts w:hint="eastAsia" w:cs="Times New Roman"/>
                      <w:b w:val="0"/>
                      <w:bCs w:val="0"/>
                      <w:color w:val="auto"/>
                      <w:sz w:val="21"/>
                      <w:szCs w:val="21"/>
                      <w:lang w:val="en-US" w:eastAsia="zh-CN"/>
                    </w:rPr>
                    <w:t>，闪点270</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w:t>
                  </w:r>
                </w:p>
              </w:tc>
              <w:tc>
                <w:tcPr>
                  <w:tcW w:w="634" w:type="pct"/>
                  <w:tcBorders>
                    <w:tl2br w:val="nil"/>
                    <w:tr2bl w:val="nil"/>
                  </w:tcBorders>
                  <w:noWrap w:val="0"/>
                  <w:vAlign w:val="center"/>
                </w:tcPr>
                <w:p w14:paraId="42A26017">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可燃</w:t>
                  </w:r>
                </w:p>
              </w:tc>
              <w:tc>
                <w:tcPr>
                  <w:tcW w:w="664" w:type="pct"/>
                  <w:tcBorders>
                    <w:tl2br w:val="nil"/>
                    <w:tr2bl w:val="nil"/>
                  </w:tcBorders>
                  <w:noWrap w:val="0"/>
                  <w:vAlign w:val="center"/>
                </w:tcPr>
                <w:p w14:paraId="15856635">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无毒</w:t>
                  </w:r>
                </w:p>
              </w:tc>
            </w:tr>
            <w:tr w14:paraId="4BF0AD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 w:type="pct"/>
                  <w:tcBorders>
                    <w:tl2br w:val="nil"/>
                    <w:tr2bl w:val="nil"/>
                  </w:tcBorders>
                  <w:noWrap w:val="0"/>
                  <w:vAlign w:val="center"/>
                </w:tcPr>
                <w:p w14:paraId="00D0DD2B">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eastAsia"/>
                      <w:color w:val="auto"/>
                      <w:sz w:val="21"/>
                    </w:rPr>
                  </w:pPr>
                </w:p>
              </w:tc>
              <w:tc>
                <w:tcPr>
                  <w:tcW w:w="510" w:type="pct"/>
                  <w:tcBorders>
                    <w:tl2br w:val="nil"/>
                    <w:tr2bl w:val="nil"/>
                  </w:tcBorders>
                  <w:noWrap w:val="0"/>
                  <w:vAlign w:val="center"/>
                </w:tcPr>
                <w:p w14:paraId="33C35521">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PP</w:t>
                  </w:r>
                </w:p>
              </w:tc>
              <w:tc>
                <w:tcPr>
                  <w:tcW w:w="372" w:type="pct"/>
                  <w:tcBorders>
                    <w:tl2br w:val="nil"/>
                    <w:tr2bl w:val="nil"/>
                  </w:tcBorders>
                  <w:noWrap w:val="0"/>
                  <w:vAlign w:val="center"/>
                </w:tcPr>
                <w:p w14:paraId="1670BC5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颗粒</w:t>
                  </w:r>
                </w:p>
              </w:tc>
              <w:tc>
                <w:tcPr>
                  <w:tcW w:w="2543" w:type="pct"/>
                  <w:tcBorders>
                    <w:tl2br w:val="nil"/>
                    <w:tr2bl w:val="nil"/>
                  </w:tcBorders>
                  <w:noWrap w:val="0"/>
                  <w:vAlign w:val="center"/>
                </w:tcPr>
                <w:p w14:paraId="0A8C927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是丙烯通过加聚反应而成的聚合物。系白色蜡状材料，外观透明而轻。化学式为(C</w:t>
                  </w:r>
                  <w:r>
                    <w:rPr>
                      <w:rFonts w:hint="default" w:ascii="Times New Roman" w:hAnsi="Times New Roman" w:cs="Times New Roman"/>
                      <w:b w:val="0"/>
                      <w:bCs w:val="0"/>
                      <w:color w:val="auto"/>
                      <w:sz w:val="21"/>
                      <w:szCs w:val="21"/>
                      <w:vertAlign w:val="subscript"/>
                      <w:lang w:val="en-US" w:eastAsia="zh-CN"/>
                    </w:rPr>
                    <w:t>3</w:t>
                  </w:r>
                  <w:r>
                    <w:rPr>
                      <w:rFonts w:hint="default" w:ascii="Times New Roman" w:hAnsi="Times New Roman" w:cs="Times New Roman"/>
                      <w:b w:val="0"/>
                      <w:bCs w:val="0"/>
                      <w:color w:val="auto"/>
                      <w:sz w:val="21"/>
                      <w:szCs w:val="21"/>
                      <w:lang w:val="en-US" w:eastAsia="zh-CN"/>
                    </w:rPr>
                    <w:t>H</w:t>
                  </w:r>
                  <w:r>
                    <w:rPr>
                      <w:rFonts w:hint="default" w:ascii="Times New Roman" w:hAnsi="Times New Roman" w:cs="Times New Roman"/>
                      <w:b w:val="0"/>
                      <w:bCs w:val="0"/>
                      <w:color w:val="auto"/>
                      <w:sz w:val="21"/>
                      <w:szCs w:val="21"/>
                      <w:vertAlign w:val="subscript"/>
                      <w:lang w:val="en-US" w:eastAsia="zh-CN"/>
                    </w:rPr>
                    <w:t>6</w:t>
                  </w:r>
                  <w:r>
                    <w:rPr>
                      <w:rFonts w:hint="default" w:ascii="Times New Roman" w:hAnsi="Times New Roman" w:cs="Times New Roman"/>
                      <w:b w:val="0"/>
                      <w:bCs w:val="0"/>
                      <w:color w:val="auto"/>
                      <w:sz w:val="21"/>
                      <w:szCs w:val="21"/>
                      <w:lang w:val="en-US" w:eastAsia="zh-CN"/>
                    </w:rPr>
                    <w:t>)n，密度为0.89～0.91g/cm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 易燃，熔点为164~170℃， 在155℃左右软化，使用温度范围为-30～140℃。在80℃以下能耐酸、碱、盐液及多种有机溶剂的腐蚀，能在高温和氧化作用下分解。</w:t>
                  </w:r>
                </w:p>
              </w:tc>
              <w:tc>
                <w:tcPr>
                  <w:tcW w:w="634" w:type="pct"/>
                  <w:tcBorders>
                    <w:tl2br w:val="nil"/>
                    <w:tr2bl w:val="nil"/>
                  </w:tcBorders>
                  <w:noWrap w:val="0"/>
                  <w:vAlign w:val="center"/>
                </w:tcPr>
                <w:p w14:paraId="6E0BC84F">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易燃</w:t>
                  </w:r>
                </w:p>
              </w:tc>
              <w:tc>
                <w:tcPr>
                  <w:tcW w:w="664" w:type="pct"/>
                  <w:tcBorders>
                    <w:tl2br w:val="nil"/>
                    <w:tr2bl w:val="nil"/>
                  </w:tcBorders>
                  <w:noWrap w:val="0"/>
                  <w:vAlign w:val="center"/>
                </w:tcPr>
                <w:p w14:paraId="2C44F75F">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无毒</w:t>
                  </w:r>
                </w:p>
              </w:tc>
            </w:tr>
            <w:tr w14:paraId="1190CD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 w:type="pct"/>
                  <w:tcBorders>
                    <w:tl2br w:val="nil"/>
                    <w:tr2bl w:val="nil"/>
                  </w:tcBorders>
                  <w:noWrap w:val="0"/>
                  <w:vAlign w:val="center"/>
                </w:tcPr>
                <w:p w14:paraId="05DF2F24">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default"/>
                      <w:color w:val="auto"/>
                      <w:sz w:val="21"/>
                    </w:rPr>
                  </w:pPr>
                </w:p>
              </w:tc>
              <w:tc>
                <w:tcPr>
                  <w:tcW w:w="510" w:type="pct"/>
                  <w:tcBorders>
                    <w:tl2br w:val="nil"/>
                    <w:tr2bl w:val="nil"/>
                  </w:tcBorders>
                  <w:noWrap w:val="0"/>
                  <w:vAlign w:val="center"/>
                </w:tcPr>
                <w:p w14:paraId="79A944E6">
                  <w:pPr>
                    <w:pStyle w:val="18"/>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sz w:val="21"/>
                      <w:lang w:eastAsia="zh-CN"/>
                    </w:rPr>
                  </w:pPr>
                  <w:r>
                    <w:rPr>
                      <w:rFonts w:hint="eastAsia"/>
                      <w:color w:val="auto"/>
                      <w:sz w:val="21"/>
                      <w:lang w:val="en-US" w:eastAsia="zh-CN"/>
                    </w:rPr>
                    <w:t>色母粒</w:t>
                  </w:r>
                </w:p>
              </w:tc>
              <w:tc>
                <w:tcPr>
                  <w:tcW w:w="372" w:type="pct"/>
                  <w:tcBorders>
                    <w:tl2br w:val="nil"/>
                    <w:tr2bl w:val="nil"/>
                  </w:tcBorders>
                  <w:noWrap w:val="0"/>
                  <w:vAlign w:val="center"/>
                </w:tcPr>
                <w:p w14:paraId="35CFE142">
                  <w:pPr>
                    <w:pStyle w:val="18"/>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sz w:val="21"/>
                      <w:lang w:val="en-US" w:eastAsia="zh-CN"/>
                    </w:rPr>
                  </w:pPr>
                  <w:r>
                    <w:rPr>
                      <w:rFonts w:hint="eastAsia"/>
                      <w:color w:val="auto"/>
                      <w:sz w:val="21"/>
                      <w:lang w:val="en-US" w:eastAsia="zh-CN"/>
                    </w:rPr>
                    <w:t>颗粒</w:t>
                  </w:r>
                </w:p>
              </w:tc>
              <w:tc>
                <w:tcPr>
                  <w:tcW w:w="2543" w:type="pct"/>
                  <w:tcBorders>
                    <w:tl2br w:val="nil"/>
                    <w:tr2bl w:val="nil"/>
                  </w:tcBorders>
                  <w:noWrap w:val="0"/>
                  <w:vAlign w:val="center"/>
                </w:tcPr>
                <w:p w14:paraId="21001A6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center"/>
                    <w:textAlignment w:val="auto"/>
                    <w:rPr>
                      <w:rFonts w:hint="default" w:ascii="Times New Roman" w:hAnsi="Times New Roman" w:cs="Times New Roman"/>
                      <w:color w:val="auto"/>
                      <w:sz w:val="21"/>
                    </w:rPr>
                  </w:pPr>
                  <w:r>
                    <w:rPr>
                      <w:rFonts w:hint="default" w:ascii="Times New Roman" w:hAnsi="Times New Roman" w:cs="Times New Roman"/>
                      <w:b w:val="0"/>
                      <w:bCs w:val="0"/>
                      <w:color w:val="auto"/>
                      <w:sz w:val="21"/>
                      <w:szCs w:val="21"/>
                      <w:lang w:val="en-US" w:eastAsia="zh-CN"/>
                    </w:rPr>
                    <w:t>也叫色种，是一种新型高分子材料专用着色剂，亦称颜料制备物，主要用在塑料上。色母由颜料或染料、载体和添加剂三种基本要素</w:t>
                  </w:r>
                  <w:r>
                    <w:rPr>
                      <w:rFonts w:hint="eastAsia" w:cs="Times New Roman"/>
                      <w:b w:val="0"/>
                      <w:bCs w:val="0"/>
                      <w:color w:val="auto"/>
                      <w:sz w:val="21"/>
                      <w:szCs w:val="21"/>
                      <w:lang w:val="en-US" w:eastAsia="zh-CN"/>
                    </w:rPr>
                    <w:t>构成</w:t>
                  </w:r>
                  <w:r>
                    <w:rPr>
                      <w:rFonts w:hint="default" w:ascii="Times New Roman" w:hAnsi="Times New Roman" w:cs="Times New Roman"/>
                      <w:b w:val="0"/>
                      <w:bCs w:val="0"/>
                      <w:color w:val="auto"/>
                      <w:sz w:val="21"/>
                      <w:szCs w:val="21"/>
                      <w:lang w:val="en-US" w:eastAsia="zh-CN"/>
                    </w:rPr>
                    <w:t>，是把超常量的颜料均匀载附于树脂之中而制得的聚集体，可称颜料浓缩物，所以它的着色力高于颜料本身。加工时用少量色母料和未着色树脂掺混，就可达到设计颜料浓度的着色树脂</w:t>
                  </w:r>
                  <w:r>
                    <w:rPr>
                      <w:rFonts w:hint="eastAsia" w:cs="Times New Roman"/>
                      <w:b w:val="0"/>
                      <w:bCs w:val="0"/>
                      <w:color w:val="auto"/>
                      <w:sz w:val="21"/>
                      <w:szCs w:val="21"/>
                      <w:lang w:val="en-US" w:eastAsia="zh-CN"/>
                    </w:rPr>
                    <w:t>成</w:t>
                  </w:r>
                  <w:r>
                    <w:rPr>
                      <w:rFonts w:hint="default" w:ascii="Times New Roman" w:hAnsi="Times New Roman" w:cs="Times New Roman"/>
                      <w:b w:val="0"/>
                      <w:bCs w:val="0"/>
                      <w:color w:val="auto"/>
                      <w:sz w:val="21"/>
                      <w:szCs w:val="21"/>
                      <w:lang w:val="en-US" w:eastAsia="zh-CN"/>
                    </w:rPr>
                    <w:t>品。</w:t>
                  </w:r>
                </w:p>
              </w:tc>
              <w:tc>
                <w:tcPr>
                  <w:tcW w:w="634" w:type="pct"/>
                  <w:tcBorders>
                    <w:tl2br w:val="nil"/>
                    <w:tr2bl w:val="nil"/>
                  </w:tcBorders>
                  <w:noWrap w:val="0"/>
                  <w:vAlign w:val="center"/>
                </w:tcPr>
                <w:p w14:paraId="0994A66B">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rPr>
                  </w:pPr>
                  <w:r>
                    <w:rPr>
                      <w:rFonts w:hint="eastAsia"/>
                      <w:color w:val="auto"/>
                      <w:sz w:val="21"/>
                    </w:rPr>
                    <w:t>可燃</w:t>
                  </w:r>
                </w:p>
              </w:tc>
              <w:tc>
                <w:tcPr>
                  <w:tcW w:w="664" w:type="pct"/>
                  <w:tcBorders>
                    <w:tl2br w:val="nil"/>
                    <w:tr2bl w:val="nil"/>
                  </w:tcBorders>
                  <w:noWrap w:val="0"/>
                  <w:vAlign w:val="center"/>
                </w:tcPr>
                <w:p w14:paraId="524B67B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rPr>
                  </w:pPr>
                  <w:r>
                    <w:rPr>
                      <w:rFonts w:hint="eastAsia"/>
                      <w:color w:val="auto"/>
                      <w:sz w:val="21"/>
                    </w:rPr>
                    <w:t>无毒</w:t>
                  </w:r>
                </w:p>
              </w:tc>
            </w:tr>
            <w:tr w14:paraId="3B691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 w:type="pct"/>
                  <w:tcBorders>
                    <w:tl2br w:val="nil"/>
                    <w:tr2bl w:val="nil"/>
                  </w:tcBorders>
                  <w:noWrap w:val="0"/>
                  <w:vAlign w:val="center"/>
                </w:tcPr>
                <w:p w14:paraId="063E1A8B">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eastAsia" w:eastAsia="宋体"/>
                      <w:color w:val="auto"/>
                      <w:sz w:val="21"/>
                      <w:lang w:val="en-US" w:eastAsia="zh-CN"/>
                    </w:rPr>
                  </w:pPr>
                </w:p>
              </w:tc>
              <w:tc>
                <w:tcPr>
                  <w:tcW w:w="510" w:type="pct"/>
                  <w:tcBorders>
                    <w:tl2br w:val="nil"/>
                    <w:tr2bl w:val="nil"/>
                  </w:tcBorders>
                  <w:noWrap w:val="0"/>
                  <w:vAlign w:val="center"/>
                </w:tcPr>
                <w:p w14:paraId="4A7B6DD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不饱和聚酯树脂</w:t>
                  </w:r>
                </w:p>
              </w:tc>
              <w:tc>
                <w:tcPr>
                  <w:tcW w:w="372" w:type="pct"/>
                  <w:tcBorders>
                    <w:tl2br w:val="nil"/>
                    <w:tr2bl w:val="nil"/>
                  </w:tcBorders>
                  <w:noWrap w:val="0"/>
                  <w:vAlign w:val="center"/>
                </w:tcPr>
                <w:p w14:paraId="7020ECDD">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液态</w:t>
                  </w:r>
                </w:p>
              </w:tc>
              <w:tc>
                <w:tcPr>
                  <w:tcW w:w="2543" w:type="pct"/>
                  <w:tcBorders>
                    <w:tl2br w:val="nil"/>
                    <w:tr2bl w:val="nil"/>
                  </w:tcBorders>
                  <w:noWrap w:val="0"/>
                  <w:vAlign w:val="center"/>
                </w:tcPr>
                <w:p w14:paraId="6CEC2AE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外观与性状</w:t>
                  </w:r>
                  <w:r>
                    <w:rPr>
                      <w:rFonts w:hint="eastAsia"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浅黄色透明</w:t>
                  </w:r>
                  <w:r>
                    <w:rPr>
                      <w:rFonts w:hint="eastAsia" w:cs="Times New Roman"/>
                      <w:b w:val="0"/>
                      <w:bCs w:val="0"/>
                      <w:color w:val="auto"/>
                      <w:sz w:val="21"/>
                      <w:szCs w:val="21"/>
                      <w:lang w:val="en-US" w:eastAsia="zh-CN"/>
                    </w:rPr>
                    <w:t>黏稠</w:t>
                  </w:r>
                  <w:r>
                    <w:rPr>
                      <w:rFonts w:hint="default" w:ascii="Times New Roman" w:hAnsi="Times New Roman" w:cs="Times New Roman"/>
                      <w:b w:val="0"/>
                      <w:bCs w:val="0"/>
                      <w:color w:val="auto"/>
                      <w:sz w:val="21"/>
                      <w:szCs w:val="21"/>
                      <w:lang w:val="en-US" w:eastAsia="zh-CN"/>
                    </w:rPr>
                    <w:t>液体</w:t>
                  </w:r>
                  <w:r>
                    <w:rPr>
                      <w:rFonts w:hint="eastAsia" w:cs="Times New Roman"/>
                      <w:b w:val="0"/>
                      <w:bCs w:val="0"/>
                      <w:color w:val="auto"/>
                      <w:sz w:val="21"/>
                      <w:szCs w:val="21"/>
                      <w:lang w:val="en-US" w:eastAsia="zh-CN"/>
                    </w:rPr>
                    <w:t>，闪点(输</w:t>
                  </w:r>
                  <w:r>
                    <w:rPr>
                      <w:rFonts w:hint="default"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)(闭杯)：38.4，成分：聚酯70%、苯乙烯30%。</w:t>
                  </w:r>
                </w:p>
              </w:tc>
              <w:tc>
                <w:tcPr>
                  <w:tcW w:w="634" w:type="pct"/>
                  <w:tcBorders>
                    <w:tl2br w:val="nil"/>
                    <w:tr2bl w:val="nil"/>
                  </w:tcBorders>
                  <w:noWrap w:val="0"/>
                  <w:vAlign w:val="center"/>
                </w:tcPr>
                <w:p w14:paraId="7893A099">
                  <w:pPr>
                    <w:pStyle w:val="18"/>
                    <w:keepNext w:val="0"/>
                    <w:keepLines w:val="0"/>
                    <w:suppressLineNumbers w:val="0"/>
                    <w:spacing w:before="0" w:beforeAutospacing="0" w:after="0" w:afterAutospacing="0" w:line="240" w:lineRule="auto"/>
                    <w:ind w:left="0" w:leftChars="0" w:right="0" w:firstLine="0" w:firstLineChars="0"/>
                    <w:jc w:val="center"/>
                    <w:rPr>
                      <w:rFonts w:hint="default" w:eastAsia="宋体"/>
                      <w:color w:val="auto"/>
                      <w:sz w:val="21"/>
                      <w:lang w:val="en-US" w:eastAsia="zh-CN"/>
                    </w:rPr>
                  </w:pPr>
                  <w:r>
                    <w:rPr>
                      <w:rFonts w:hint="eastAsia"/>
                      <w:color w:val="auto"/>
                      <w:sz w:val="21"/>
                      <w:lang w:val="en-US" w:eastAsia="zh-CN"/>
                    </w:rPr>
                    <w:t>易燃</w:t>
                  </w:r>
                </w:p>
              </w:tc>
              <w:tc>
                <w:tcPr>
                  <w:tcW w:w="664" w:type="pct"/>
                  <w:tcBorders>
                    <w:tl2br w:val="nil"/>
                    <w:tr2bl w:val="nil"/>
                  </w:tcBorders>
                  <w:noWrap w:val="0"/>
                  <w:vAlign w:val="center"/>
                </w:tcPr>
                <w:p w14:paraId="077DEFC4">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LD50(大鼠，经口) 2650mg/kg</w:t>
                  </w:r>
                </w:p>
              </w:tc>
            </w:tr>
            <w:tr w14:paraId="3A4C0E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 w:type="pct"/>
                  <w:tcBorders>
                    <w:tl2br w:val="nil"/>
                    <w:tr2bl w:val="nil"/>
                  </w:tcBorders>
                  <w:noWrap w:val="0"/>
                  <w:vAlign w:val="center"/>
                </w:tcPr>
                <w:p w14:paraId="25F5D5E9">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eastAsia" w:eastAsia="宋体"/>
                      <w:color w:val="auto"/>
                      <w:sz w:val="21"/>
                      <w:lang w:val="en-US" w:eastAsia="zh-CN"/>
                    </w:rPr>
                  </w:pPr>
                </w:p>
              </w:tc>
              <w:tc>
                <w:tcPr>
                  <w:tcW w:w="510" w:type="pct"/>
                  <w:tcBorders>
                    <w:tl2br w:val="nil"/>
                    <w:tr2bl w:val="nil"/>
                  </w:tcBorders>
                  <w:noWrap w:val="0"/>
                  <w:vAlign w:val="center"/>
                </w:tcPr>
                <w:p w14:paraId="216B8678">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固化剂</w:t>
                  </w:r>
                </w:p>
              </w:tc>
              <w:tc>
                <w:tcPr>
                  <w:tcW w:w="372" w:type="pct"/>
                  <w:tcBorders>
                    <w:tl2br w:val="nil"/>
                    <w:tr2bl w:val="nil"/>
                  </w:tcBorders>
                  <w:noWrap w:val="0"/>
                  <w:vAlign w:val="center"/>
                </w:tcPr>
                <w:p w14:paraId="03FD4E17">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液态</w:t>
                  </w:r>
                </w:p>
              </w:tc>
              <w:tc>
                <w:tcPr>
                  <w:tcW w:w="2543" w:type="pct"/>
                  <w:tcBorders>
                    <w:tl2br w:val="nil"/>
                    <w:tr2bl w:val="nil"/>
                  </w:tcBorders>
                  <w:noWrap w:val="0"/>
                  <w:vAlign w:val="center"/>
                </w:tcPr>
                <w:p w14:paraId="108C5FA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无色液体，有微弱气味，闪点：</w:t>
                  </w:r>
                  <w:r>
                    <w:rPr>
                      <w:rFonts w:hint="default" w:ascii="Times New Roman" w:hAnsi="Times New Roman" w:cs="Times New Roman"/>
                      <w:b w:val="0"/>
                      <w:bCs w:val="0"/>
                      <w:color w:val="auto"/>
                      <w:sz w:val="21"/>
                      <w:szCs w:val="21"/>
                      <w:lang w:val="en-US" w:eastAsia="zh-CN"/>
                    </w:rPr>
                    <w:t>37℃，密度/相对密度（20℃）</w:t>
                  </w:r>
                  <w:r>
                    <w:rPr>
                      <w:rFonts w:hint="eastAsia" w:cs="Times New Roman"/>
                      <w:b w:val="0"/>
                      <w:bCs w:val="0"/>
                      <w:color w:val="auto"/>
                      <w:sz w:val="21"/>
                      <w:szCs w:val="21"/>
                      <w:lang w:val="en-US" w:eastAsia="zh-CN"/>
                    </w:rPr>
                    <w:t>：1.12,成分：过氧化甲乙酮35%～45%、邻苯二甲酸二甲酯20%～45%、2,2</w:t>
                  </w:r>
                  <w:bookmarkStart w:id="1" w:name="_GoBack"/>
                  <w:r>
                    <w:rPr>
                      <w:rFonts w:hint="default" w:cs="Times New Roman"/>
                      <w:b w:val="0"/>
                      <w:bCs w:val="0"/>
                      <w:color w:val="auto"/>
                      <w:sz w:val="21"/>
                      <w:szCs w:val="21"/>
                      <w:lang w:val="en-US" w:eastAsia="zh-CN"/>
                    </w:rPr>
                    <w:t>’</w:t>
                  </w:r>
                  <w:bookmarkEnd w:id="1"/>
                  <w:r>
                    <w:rPr>
                      <w:rFonts w:hint="eastAsia" w:cs="Times New Roman"/>
                      <w:b w:val="0"/>
                      <w:bCs w:val="0"/>
                      <w:color w:val="auto"/>
                      <w:sz w:val="21"/>
                      <w:szCs w:val="21"/>
                      <w:lang w:val="en-US" w:eastAsia="zh-CN"/>
                    </w:rPr>
                    <w:t>-氧联二乙醇10%～19%、甲基乙基酮3%～7%、过氧化氢1%～5%。</w:t>
                  </w:r>
                </w:p>
              </w:tc>
              <w:tc>
                <w:tcPr>
                  <w:tcW w:w="634" w:type="pct"/>
                  <w:tcBorders>
                    <w:tl2br w:val="nil"/>
                    <w:tr2bl w:val="nil"/>
                  </w:tcBorders>
                  <w:noWrap w:val="0"/>
                  <w:vAlign w:val="center"/>
                </w:tcPr>
                <w:p w14:paraId="78140CC7">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易燃</w:t>
                  </w:r>
                </w:p>
              </w:tc>
              <w:tc>
                <w:tcPr>
                  <w:tcW w:w="664" w:type="pct"/>
                  <w:tcBorders>
                    <w:tl2br w:val="nil"/>
                    <w:tr2bl w:val="nil"/>
                  </w:tcBorders>
                  <w:noWrap w:val="0"/>
                  <w:vAlign w:val="center"/>
                </w:tcPr>
                <w:p w14:paraId="13A9E4E0">
                  <w:pPr>
                    <w:pStyle w:val="18"/>
                    <w:keepNext w:val="0"/>
                    <w:keepLines w:val="0"/>
                    <w:suppressLineNumbers w:val="0"/>
                    <w:spacing w:before="0" w:beforeAutospacing="0" w:after="0" w:afterAutospacing="0" w:line="240" w:lineRule="auto"/>
                    <w:ind w:left="0" w:leftChars="0" w:right="0" w:firstLine="0" w:firstLineChars="0"/>
                    <w:jc w:val="center"/>
                    <w:rPr>
                      <w:rFonts w:hint="eastAsia"/>
                      <w:color w:val="auto"/>
                      <w:sz w:val="21"/>
                      <w:lang w:val="en-US" w:eastAsia="zh-CN"/>
                    </w:rPr>
                  </w:pPr>
                  <w:r>
                    <w:rPr>
                      <w:rFonts w:hint="eastAsia"/>
                      <w:color w:val="auto"/>
                      <w:sz w:val="21"/>
                      <w:lang w:val="en-US" w:eastAsia="zh-CN"/>
                    </w:rPr>
                    <w:t>LD50(大鼠，经口) 1017mg/kg</w:t>
                  </w:r>
                </w:p>
              </w:tc>
            </w:tr>
          </w:tbl>
          <w:p w14:paraId="129016C2">
            <w:pPr>
              <w:pStyle w:val="18"/>
              <w:keepNext w:val="0"/>
              <w:keepLines w:val="0"/>
              <w:pageBreakBefore w:val="0"/>
              <w:widowControl w:val="0"/>
              <w:kinsoku/>
              <w:wordWrap/>
              <w:overflowPunct/>
              <w:topLinePunct w:val="0"/>
              <w:bidi w:val="0"/>
              <w:spacing w:after="0" w:line="360" w:lineRule="auto"/>
              <w:ind w:left="0" w:leftChars="0" w:firstLine="480" w:firstLineChars="200"/>
              <w:textAlignment w:val="auto"/>
              <w:rPr>
                <w:rFonts w:hint="eastAsia"/>
                <w:color w:val="auto"/>
              </w:rPr>
            </w:pPr>
            <w:r>
              <w:rPr>
                <w:rFonts w:hint="eastAsia"/>
                <w:color w:val="auto"/>
              </w:rPr>
              <w:t>14、水平衡分析</w:t>
            </w:r>
          </w:p>
          <w:p w14:paraId="2E2ECABA">
            <w:pPr>
              <w:pStyle w:val="19"/>
              <w:keepNext w:val="0"/>
              <w:keepLines w:val="0"/>
              <w:pageBreakBefore w:val="0"/>
              <w:widowControl w:val="0"/>
              <w:kinsoku/>
              <w:wordWrap/>
              <w:overflowPunct/>
              <w:topLinePunct w:val="0"/>
              <w:bidi w:val="0"/>
              <w:spacing w:line="360" w:lineRule="auto"/>
              <w:ind w:firstLine="480" w:firstLineChars="200"/>
              <w:jc w:val="both"/>
              <w:textAlignment w:val="auto"/>
              <w:rPr>
                <w:rFonts w:hint="default" w:eastAsia="宋体"/>
                <w:b w:val="0"/>
                <w:bCs/>
                <w:color w:val="auto"/>
                <w:lang w:val="en-US" w:eastAsia="zh-CN"/>
              </w:rPr>
            </w:pPr>
            <w:r>
              <w:rPr>
                <w:rFonts w:ascii="Times New Roman" w:hAnsi="Times New Roman"/>
                <w:b w:val="0"/>
                <w:bCs/>
                <w:color w:val="auto"/>
              </w:rPr>
              <w:t>本项目主要用水为</w:t>
            </w:r>
            <w:r>
              <w:rPr>
                <w:rFonts w:hint="eastAsia" w:ascii="Times New Roman" w:hAnsi="Times New Roman"/>
                <w:b w:val="0"/>
                <w:bCs/>
                <w:color w:val="auto"/>
                <w:lang w:val="en-US" w:eastAsia="zh-CN"/>
              </w:rPr>
              <w:t>冷却水、</w:t>
            </w:r>
            <w:r>
              <w:rPr>
                <w:rFonts w:ascii="Times New Roman" w:hAnsi="Times New Roman"/>
                <w:b w:val="0"/>
                <w:bCs/>
                <w:color w:val="auto"/>
              </w:rPr>
              <w:t>职工生活用水</w:t>
            </w:r>
            <w:r>
              <w:rPr>
                <w:rFonts w:hint="eastAsia" w:ascii="Times New Roman" w:hAnsi="Times New Roman"/>
                <w:b w:val="0"/>
                <w:bCs/>
                <w:color w:val="auto"/>
                <w:lang w:eastAsia="zh-CN"/>
              </w:rPr>
              <w:t>，</w:t>
            </w:r>
            <w:r>
              <w:rPr>
                <w:rFonts w:ascii="Times New Roman" w:hAnsi="Times New Roman"/>
                <w:b w:val="0"/>
                <w:bCs/>
                <w:color w:val="auto"/>
              </w:rPr>
              <w:t>年用量为</w:t>
            </w:r>
            <w:r>
              <w:rPr>
                <w:rFonts w:hint="eastAsia" w:ascii="Times New Roman" w:hAnsi="Times New Roman"/>
                <w:b w:val="0"/>
                <w:bCs/>
                <w:color w:val="auto"/>
                <w:lang w:val="en-US" w:eastAsia="zh-CN"/>
              </w:rPr>
              <w:t>240</w:t>
            </w:r>
            <w:r>
              <w:rPr>
                <w:rFonts w:hint="eastAsia" w:ascii="Times New Roman" w:hAnsi="Times New Roman"/>
                <w:b w:val="0"/>
                <w:bCs/>
                <w:color w:val="auto"/>
                <w:sz w:val="24"/>
                <w:lang w:val="en-US" w:eastAsia="zh-CN"/>
              </w:rPr>
              <w:t>m</w:t>
            </w:r>
            <w:r>
              <w:rPr>
                <w:rFonts w:hint="eastAsia" w:ascii="Times New Roman" w:hAnsi="Times New Roman"/>
                <w:b w:val="0"/>
                <w:bCs/>
                <w:color w:val="auto"/>
                <w:sz w:val="24"/>
                <w:vertAlign w:val="superscript"/>
                <w:lang w:val="en-US" w:eastAsia="zh-CN"/>
              </w:rPr>
              <w:t>3</w:t>
            </w:r>
            <w:r>
              <w:rPr>
                <w:rFonts w:ascii="Times New Roman" w:hAnsi="Times New Roman"/>
                <w:b w:val="0"/>
                <w:bCs/>
                <w:color w:val="auto"/>
              </w:rPr>
              <w:t>，均来自市政自来水管网</w:t>
            </w:r>
            <w:r>
              <w:rPr>
                <w:rFonts w:hint="eastAsia" w:ascii="Times New Roman" w:hAnsi="Times New Roman"/>
                <w:b w:val="0"/>
                <w:bCs/>
                <w:color w:val="auto"/>
              </w:rPr>
              <w:t>，水平衡见图2-</w:t>
            </w:r>
            <w:r>
              <w:rPr>
                <w:rFonts w:hint="eastAsia" w:ascii="Times New Roman" w:hAnsi="Times New Roman"/>
                <w:b w:val="0"/>
                <w:bCs/>
                <w:color w:val="auto"/>
                <w:lang w:val="en-US" w:eastAsia="zh-CN"/>
              </w:rPr>
              <w:t>1</w:t>
            </w:r>
            <w:r>
              <w:rPr>
                <w:rFonts w:ascii="Times New Roman" w:hAnsi="Times New Roman"/>
                <w:b w:val="0"/>
                <w:bCs/>
                <w:color w:val="auto"/>
              </w:rPr>
              <w:t>。</w:t>
            </w:r>
          </w:p>
          <w:p w14:paraId="35A10080">
            <w:pPr>
              <w:pStyle w:val="11"/>
              <w:keepNext w:val="0"/>
              <w:keepLines w:val="0"/>
              <w:pageBreakBefore w:val="0"/>
              <w:widowControl w:val="0"/>
              <w:kinsoku/>
              <w:wordWrap/>
              <w:overflowPunct/>
              <w:topLinePunct w:val="0"/>
              <w:bidi w:val="0"/>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本项目定员</w:t>
            </w:r>
            <w:r>
              <w:rPr>
                <w:rFonts w:hint="eastAsia" w:ascii="Times New Roman" w:hAnsi="Times New Roman"/>
                <w:color w:val="auto"/>
                <w:sz w:val="24"/>
                <w:lang w:val="en-US" w:eastAsia="zh-CN"/>
              </w:rPr>
              <w:t>16</w:t>
            </w:r>
            <w:r>
              <w:rPr>
                <w:rFonts w:ascii="Times New Roman" w:hAnsi="Times New Roman"/>
                <w:color w:val="auto"/>
                <w:sz w:val="24"/>
              </w:rPr>
              <w:t>人</w:t>
            </w:r>
            <w:r>
              <w:rPr>
                <w:rFonts w:hint="eastAsia" w:ascii="Times New Roman" w:hAnsi="Times New Roman"/>
                <w:color w:val="auto"/>
                <w:sz w:val="24"/>
              </w:rPr>
              <w:t>，</w:t>
            </w:r>
            <w:r>
              <w:rPr>
                <w:rFonts w:ascii="Times New Roman" w:hAnsi="Times New Roman"/>
                <w:color w:val="auto"/>
                <w:sz w:val="24"/>
              </w:rPr>
              <w:t>参照《建筑给水排水设计</w:t>
            </w:r>
            <w:r>
              <w:rPr>
                <w:rFonts w:hint="eastAsia" w:ascii="Times New Roman" w:hAnsi="Times New Roman"/>
                <w:color w:val="auto"/>
                <w:sz w:val="24"/>
                <w:lang w:val="en-US" w:eastAsia="zh-CN"/>
              </w:rPr>
              <w:t>标准</w:t>
            </w:r>
            <w:r>
              <w:rPr>
                <w:rFonts w:ascii="Times New Roman" w:hAnsi="Times New Roman"/>
                <w:color w:val="auto"/>
                <w:sz w:val="24"/>
              </w:rPr>
              <w:t>》</w:t>
            </w:r>
            <w:r>
              <w:rPr>
                <w:rFonts w:hint="eastAsia"/>
                <w:color w:val="auto"/>
                <w:lang w:eastAsia="zh-CN"/>
              </w:rPr>
              <w:t>（</w:t>
            </w:r>
            <w:r>
              <w:rPr>
                <w:rFonts w:hint="eastAsia" w:ascii="Times New Roman" w:hAnsi="Times New Roman"/>
                <w:color w:val="auto"/>
                <w:sz w:val="24"/>
                <w:lang w:val="en-US" w:eastAsia="zh-CN"/>
              </w:rPr>
              <w:t>GB50015-2019）</w:t>
            </w:r>
            <w:r>
              <w:rPr>
                <w:rFonts w:ascii="Times New Roman" w:hAnsi="Times New Roman"/>
                <w:color w:val="auto"/>
                <w:sz w:val="24"/>
              </w:rPr>
              <w:t>，生活用水按每人用水量50L/d计</w:t>
            </w:r>
            <w:r>
              <w:rPr>
                <w:rFonts w:hint="eastAsia" w:ascii="Times New Roman" w:hAnsi="Times New Roman"/>
                <w:color w:val="auto"/>
                <w:sz w:val="24"/>
              </w:rPr>
              <w:t>，</w:t>
            </w:r>
            <w:r>
              <w:rPr>
                <w:rFonts w:ascii="Times New Roman" w:hAnsi="Times New Roman"/>
                <w:color w:val="auto"/>
                <w:sz w:val="24"/>
              </w:rPr>
              <w:t>全年按</w:t>
            </w:r>
            <w:r>
              <w:rPr>
                <w:rFonts w:hint="eastAsia" w:ascii="Times New Roman" w:hAnsi="Times New Roman"/>
                <w:color w:val="auto"/>
                <w:sz w:val="24"/>
                <w:lang w:val="en-US" w:eastAsia="zh-CN"/>
              </w:rPr>
              <w:t>300</w:t>
            </w:r>
            <w:r>
              <w:rPr>
                <w:rFonts w:ascii="Times New Roman" w:hAnsi="Times New Roman"/>
                <w:color w:val="auto"/>
                <w:sz w:val="24"/>
              </w:rPr>
              <w:t>天计，则生活用水使用量为</w:t>
            </w:r>
            <w:r>
              <w:rPr>
                <w:rFonts w:hint="eastAsia" w:ascii="Times New Roman" w:hAnsi="Times New Roman"/>
                <w:color w:val="auto"/>
                <w:sz w:val="24"/>
                <w:lang w:val="en-US" w:eastAsia="zh-CN"/>
              </w:rPr>
              <w:t>240m</w:t>
            </w:r>
            <w:r>
              <w:rPr>
                <w:rFonts w:hint="eastAsia" w:ascii="Times New Roman" w:hAnsi="Times New Roman"/>
                <w:color w:val="auto"/>
                <w:sz w:val="24"/>
                <w:vertAlign w:val="superscript"/>
                <w:lang w:val="en-US" w:eastAsia="zh-CN"/>
              </w:rPr>
              <w:t>3</w:t>
            </w:r>
            <w:r>
              <w:rPr>
                <w:rFonts w:ascii="Times New Roman" w:hAnsi="Times New Roman"/>
                <w:color w:val="auto"/>
                <w:sz w:val="24"/>
              </w:rPr>
              <w:t>/a。</w:t>
            </w:r>
          </w:p>
          <w:p w14:paraId="63488415">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olor w:val="auto"/>
                <w:sz w:val="24"/>
                <w:vertAlign w:val="baseline"/>
                <w:lang w:val="en-US" w:eastAsia="zh-CN"/>
              </w:rPr>
            </w:pPr>
            <w:r>
              <w:rPr>
                <w:rFonts w:hint="eastAsia" w:ascii="Times New Roman" w:hAnsi="Times New Roman"/>
                <w:color w:val="auto"/>
                <w:sz w:val="24"/>
                <w:lang w:val="en-US" w:eastAsia="zh-CN"/>
              </w:rPr>
              <w:t>项目注塑过程需使用冷却水进行冷却，本项目冷却采取间接冷却的方式，冷却后温度较高的冷却水进入冷却水池自然冷却，冷却水循环使用，不外排，定期补充蒸发损耗。车间冷却水流量为1m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/h，每天循环8h，蒸发损耗按10%计，则每小时蒸发损耗量为0.1m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/h，则运营期间注塑区冷却补充水量为240m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/a</w:t>
            </w:r>
            <w:r>
              <w:rPr>
                <w:rFonts w:hint="eastAsia" w:ascii="Times New Roman" w:hAnsi="Times New Roman"/>
                <w:color w:val="auto"/>
                <w:sz w:val="24"/>
                <w:vertAlign w:val="baseline"/>
                <w:lang w:val="en-US" w:eastAsia="zh-CN"/>
              </w:rPr>
              <w:t>。</w:t>
            </w:r>
          </w:p>
          <w:p w14:paraId="7A5BD953">
            <w:pPr>
              <w:pStyle w:val="11"/>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总新鲜用水量=生活用水量+冷却补充水量=480</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rFonts w:hint="eastAsia" w:ascii="Times New Roman" w:hAnsi="Times New Roman" w:cs="Times New Roman"/>
                <w:color w:val="auto"/>
                <w:sz w:val="24"/>
                <w:lang w:val="en-US" w:eastAsia="zh-CN"/>
              </w:rPr>
              <w:t>/a。</w:t>
            </w:r>
          </w:p>
          <w:p w14:paraId="3061722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rPr>
            </w:pPr>
            <w:r>
              <w:rPr>
                <w:rFonts w:hint="eastAsia"/>
                <w:color w:val="auto"/>
                <w:sz w:val="24"/>
              </w:rPr>
              <w:t>本项目生活污水</w:t>
            </w:r>
            <w:r>
              <w:rPr>
                <w:rFonts w:hint="eastAsia"/>
                <w:color w:val="auto"/>
                <w:sz w:val="24"/>
                <w:lang w:val="en-US" w:eastAsia="zh-CN"/>
              </w:rPr>
              <w:t>依托租赁企业厂区内现有化粪池预处理后</w:t>
            </w:r>
            <w:r>
              <w:rPr>
                <w:rFonts w:hint="eastAsia"/>
                <w:color w:val="auto"/>
                <w:sz w:val="24"/>
              </w:rPr>
              <w:t>接管至涟水经济开发区西区污水处理厂</w:t>
            </w:r>
            <w:r>
              <w:rPr>
                <w:rFonts w:hint="eastAsia"/>
                <w:color w:val="auto"/>
                <w:sz w:val="24"/>
                <w:lang w:val="en-US" w:eastAsia="zh-CN"/>
              </w:rPr>
              <w:t>集中处置</w:t>
            </w:r>
            <w:r>
              <w:rPr>
                <w:color w:val="auto"/>
                <w:sz w:val="24"/>
              </w:rPr>
              <w:t>，生活用水</w:t>
            </w:r>
            <w:r>
              <w:rPr>
                <w:rFonts w:hint="eastAsia"/>
                <w:color w:val="auto"/>
                <w:sz w:val="24"/>
              </w:rPr>
              <w:t>产污系数</w:t>
            </w:r>
            <w:r>
              <w:rPr>
                <w:color w:val="auto"/>
                <w:sz w:val="24"/>
              </w:rPr>
              <w:t>为</w:t>
            </w:r>
            <w:r>
              <w:rPr>
                <w:rFonts w:hint="eastAsia"/>
                <w:color w:val="auto"/>
                <w:sz w:val="24"/>
              </w:rPr>
              <w:t>8</w:t>
            </w:r>
            <w:r>
              <w:rPr>
                <w:color w:val="auto"/>
                <w:sz w:val="24"/>
              </w:rPr>
              <w:t>0%，则生活</w:t>
            </w:r>
            <w:r>
              <w:rPr>
                <w:rFonts w:hint="eastAsia"/>
                <w:color w:val="auto"/>
                <w:sz w:val="24"/>
                <w:lang w:val="en-US" w:eastAsia="zh-CN"/>
              </w:rPr>
              <w:t>污</w:t>
            </w:r>
            <w:r>
              <w:rPr>
                <w:color w:val="auto"/>
                <w:sz w:val="24"/>
              </w:rPr>
              <w:t>水产生量为</w:t>
            </w:r>
            <w:r>
              <w:rPr>
                <w:rFonts w:hint="eastAsia"/>
                <w:color w:val="auto"/>
                <w:sz w:val="24"/>
                <w:lang w:val="en-US" w:eastAsia="zh-CN"/>
              </w:rPr>
              <w:t>192</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color w:val="auto"/>
                <w:sz w:val="24"/>
              </w:rPr>
              <w:t>/a</w:t>
            </w:r>
            <w:r>
              <w:rPr>
                <w:rFonts w:hint="eastAsia"/>
                <w:color w:val="auto"/>
                <w:sz w:val="24"/>
                <w:lang w:eastAsia="zh-CN"/>
              </w:rPr>
              <w:t>。</w:t>
            </w:r>
          </w:p>
          <w:p w14:paraId="2C225DB1">
            <w:pPr>
              <w:pStyle w:val="8"/>
              <w:widowControl w:val="0"/>
              <w:numPr>
                <w:ilvl w:val="0"/>
                <w:numId w:val="0"/>
              </w:numPr>
              <w:jc w:val="both"/>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object>
                <v:shape id="_x0000_i1025" o:spt="75" type="#_x0000_t75" style="height:235.8pt;width:396.9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14:paraId="34086A5C">
            <w:pPr>
              <w:adjustRightInd w:val="0"/>
              <w:snapToGrid w:val="0"/>
              <w:jc w:val="center"/>
              <w:rPr>
                <w:color w:val="auto"/>
              </w:rPr>
            </w:pPr>
            <w:r>
              <w:rPr>
                <w:rFonts w:hint="default" w:ascii="Times New Roman" w:hAnsi="Times New Roman" w:cs="Times New Roman"/>
                <w:b/>
                <w:bCs w:val="0"/>
                <w:color w:val="auto"/>
                <w:sz w:val="24"/>
                <w:szCs w:val="24"/>
                <w:lang w:val="en-US" w:eastAsia="zh-CN"/>
              </w:rPr>
              <w:t>图2-1项目水平衡单位：</w:t>
            </w:r>
            <w:r>
              <w:rPr>
                <w:rFonts w:hint="eastAsia" w:cs="Times New Roman"/>
                <w:b/>
                <w:bCs w:val="0"/>
                <w:color w:val="auto"/>
                <w:sz w:val="24"/>
                <w:szCs w:val="24"/>
                <w:lang w:val="en-US" w:eastAsia="zh-CN"/>
              </w:rPr>
              <w:t>m</w:t>
            </w:r>
            <w:r>
              <w:rPr>
                <w:rFonts w:hint="eastAsia" w:cs="Times New Roman"/>
                <w:b/>
                <w:bCs w:val="0"/>
                <w:color w:val="auto"/>
                <w:sz w:val="24"/>
                <w:szCs w:val="24"/>
                <w:vertAlign w:val="superscript"/>
                <w:lang w:val="en-US" w:eastAsia="zh-CN"/>
              </w:rPr>
              <w:t>3</w:t>
            </w:r>
            <w:r>
              <w:rPr>
                <w:rFonts w:hint="default" w:ascii="Times New Roman" w:hAnsi="Times New Roman" w:cs="Times New Roman"/>
                <w:b/>
                <w:bCs w:val="0"/>
                <w:color w:val="auto"/>
                <w:sz w:val="24"/>
                <w:szCs w:val="24"/>
                <w:lang w:val="en-US" w:eastAsia="zh-CN"/>
              </w:rPr>
              <w:t>/a</w:t>
            </w:r>
          </w:p>
          <w:p w14:paraId="2D9ED311">
            <w:pPr>
              <w:pStyle w:val="19"/>
              <w:rPr>
                <w:color w:val="auto"/>
              </w:rPr>
            </w:pPr>
          </w:p>
          <w:p w14:paraId="643506D6">
            <w:pPr>
              <w:adjustRightInd w:val="0"/>
              <w:snapToGrid w:val="0"/>
              <w:jc w:val="center"/>
              <w:rPr>
                <w:color w:val="auto"/>
              </w:rPr>
            </w:pPr>
          </w:p>
          <w:p w14:paraId="76D538AD">
            <w:pPr>
              <w:adjustRightInd w:val="0"/>
              <w:snapToGrid w:val="0"/>
              <w:jc w:val="center"/>
              <w:rPr>
                <w:color w:val="auto"/>
              </w:rPr>
            </w:pPr>
          </w:p>
          <w:p w14:paraId="74765B6F">
            <w:pPr>
              <w:adjustRightInd w:val="0"/>
              <w:snapToGrid w:val="0"/>
              <w:jc w:val="center"/>
              <w:rPr>
                <w:color w:val="auto"/>
              </w:rPr>
            </w:pPr>
          </w:p>
          <w:p w14:paraId="3C33346A">
            <w:pPr>
              <w:pStyle w:val="2"/>
              <w:rPr>
                <w:color w:val="auto"/>
              </w:rPr>
            </w:pPr>
          </w:p>
          <w:p w14:paraId="4F82EF92">
            <w:pPr>
              <w:rPr>
                <w:color w:val="auto"/>
              </w:rPr>
            </w:pPr>
          </w:p>
          <w:p w14:paraId="52B062C7">
            <w:pPr>
              <w:pStyle w:val="2"/>
              <w:rPr>
                <w:color w:val="auto"/>
              </w:rPr>
            </w:pPr>
          </w:p>
          <w:p w14:paraId="06F1DF3A">
            <w:pPr>
              <w:rPr>
                <w:color w:val="auto"/>
              </w:rPr>
            </w:pPr>
          </w:p>
          <w:p w14:paraId="2A2EF477">
            <w:pPr>
              <w:pStyle w:val="2"/>
              <w:rPr>
                <w:color w:val="auto"/>
              </w:rPr>
            </w:pPr>
          </w:p>
          <w:p w14:paraId="2D2C8505">
            <w:pPr>
              <w:rPr>
                <w:color w:val="auto"/>
              </w:rPr>
            </w:pPr>
          </w:p>
          <w:p w14:paraId="374F54FD">
            <w:pPr>
              <w:pStyle w:val="2"/>
              <w:rPr>
                <w:color w:val="auto"/>
              </w:rPr>
            </w:pPr>
          </w:p>
          <w:p w14:paraId="37F90309">
            <w:pPr>
              <w:rPr>
                <w:color w:val="auto"/>
              </w:rPr>
            </w:pPr>
          </w:p>
          <w:p w14:paraId="16912B47">
            <w:pPr>
              <w:pStyle w:val="2"/>
              <w:rPr>
                <w:color w:val="auto"/>
              </w:rPr>
            </w:pPr>
          </w:p>
          <w:p w14:paraId="73943CFD">
            <w:pPr>
              <w:rPr>
                <w:color w:val="auto"/>
              </w:rPr>
            </w:pPr>
          </w:p>
          <w:p w14:paraId="1C724462">
            <w:pPr>
              <w:pStyle w:val="2"/>
              <w:rPr>
                <w:color w:val="auto"/>
              </w:rPr>
            </w:pPr>
          </w:p>
          <w:p w14:paraId="5D78D963">
            <w:pPr>
              <w:rPr>
                <w:color w:val="auto"/>
              </w:rPr>
            </w:pPr>
          </w:p>
          <w:p w14:paraId="18628B70">
            <w:pPr>
              <w:pStyle w:val="2"/>
              <w:rPr>
                <w:color w:val="auto"/>
              </w:rPr>
            </w:pPr>
          </w:p>
          <w:p w14:paraId="47DA208C">
            <w:pPr>
              <w:rPr>
                <w:color w:val="auto"/>
              </w:rPr>
            </w:pPr>
          </w:p>
          <w:p w14:paraId="7900E4C6">
            <w:pPr>
              <w:pStyle w:val="2"/>
              <w:rPr>
                <w:color w:val="auto"/>
              </w:rPr>
            </w:pPr>
          </w:p>
          <w:p w14:paraId="55658AF3">
            <w:pPr>
              <w:rPr>
                <w:color w:val="auto"/>
              </w:rPr>
            </w:pPr>
          </w:p>
        </w:tc>
      </w:tr>
      <w:tr w14:paraId="644AF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3" w:hRule="atLeast"/>
          <w:jc w:val="center"/>
        </w:trPr>
        <w:tc>
          <w:tcPr>
            <w:tcW w:w="823" w:type="dxa"/>
            <w:noWrap w:val="0"/>
            <w:vAlign w:val="center"/>
          </w:tcPr>
          <w:p w14:paraId="748B8BC2">
            <w:pPr>
              <w:pStyle w:val="16"/>
              <w:adjustRightInd w:val="0"/>
              <w:snapToGrid w:val="0"/>
              <w:spacing w:before="0" w:beforeAutospacing="0" w:after="0" w:afterAutospacing="0"/>
              <w:jc w:val="center"/>
              <w:rPr>
                <w:rFonts w:hint="eastAsia" w:cs="宋体"/>
                <w:color w:val="auto"/>
                <w:sz w:val="21"/>
                <w:szCs w:val="21"/>
              </w:rPr>
            </w:pPr>
          </w:p>
          <w:p w14:paraId="2C8FC354">
            <w:pPr>
              <w:pStyle w:val="16"/>
              <w:adjustRightInd w:val="0"/>
              <w:snapToGrid w:val="0"/>
              <w:spacing w:before="0" w:beforeAutospacing="0" w:after="0" w:afterAutospacing="0"/>
              <w:jc w:val="center"/>
              <w:rPr>
                <w:rFonts w:hint="eastAsia" w:cs="宋体"/>
                <w:color w:val="auto"/>
                <w:sz w:val="21"/>
                <w:szCs w:val="21"/>
              </w:rPr>
            </w:pPr>
          </w:p>
          <w:p w14:paraId="03228E74">
            <w:pPr>
              <w:pStyle w:val="16"/>
              <w:adjustRightInd w:val="0"/>
              <w:snapToGrid w:val="0"/>
              <w:spacing w:before="0" w:beforeAutospacing="0" w:after="0" w:afterAutospacing="0"/>
              <w:jc w:val="center"/>
              <w:rPr>
                <w:rFonts w:hint="eastAsia" w:cs="宋体"/>
                <w:color w:val="auto"/>
                <w:sz w:val="21"/>
                <w:szCs w:val="21"/>
              </w:rPr>
            </w:pPr>
          </w:p>
          <w:p w14:paraId="0329EC76">
            <w:pPr>
              <w:pStyle w:val="16"/>
              <w:adjustRightInd w:val="0"/>
              <w:snapToGrid w:val="0"/>
              <w:spacing w:before="0" w:beforeAutospacing="0" w:after="0" w:afterAutospacing="0"/>
              <w:jc w:val="center"/>
              <w:rPr>
                <w:rFonts w:hint="eastAsia" w:cs="宋体"/>
                <w:color w:val="auto"/>
                <w:sz w:val="21"/>
                <w:szCs w:val="21"/>
              </w:rPr>
            </w:pPr>
          </w:p>
          <w:p w14:paraId="0F9A3044">
            <w:pPr>
              <w:pStyle w:val="16"/>
              <w:adjustRightInd w:val="0"/>
              <w:snapToGrid w:val="0"/>
              <w:spacing w:before="0" w:beforeAutospacing="0" w:after="0" w:afterAutospacing="0"/>
              <w:jc w:val="center"/>
              <w:rPr>
                <w:rFonts w:hint="eastAsia" w:cs="宋体"/>
                <w:color w:val="auto"/>
                <w:sz w:val="21"/>
                <w:szCs w:val="21"/>
              </w:rPr>
            </w:pPr>
          </w:p>
          <w:p w14:paraId="32627C93">
            <w:pPr>
              <w:pStyle w:val="16"/>
              <w:adjustRightInd w:val="0"/>
              <w:snapToGrid w:val="0"/>
              <w:spacing w:before="0" w:beforeAutospacing="0" w:after="0" w:afterAutospacing="0"/>
              <w:jc w:val="center"/>
              <w:rPr>
                <w:rFonts w:hint="eastAsia" w:cs="宋体"/>
                <w:color w:val="auto"/>
                <w:sz w:val="21"/>
                <w:szCs w:val="21"/>
              </w:rPr>
            </w:pPr>
          </w:p>
          <w:p w14:paraId="01B5911C">
            <w:pPr>
              <w:pStyle w:val="16"/>
              <w:adjustRightInd w:val="0"/>
              <w:snapToGrid w:val="0"/>
              <w:spacing w:before="0" w:beforeAutospacing="0" w:after="0" w:afterAutospacing="0"/>
              <w:jc w:val="center"/>
              <w:rPr>
                <w:rFonts w:hint="eastAsia" w:cs="宋体"/>
                <w:color w:val="auto"/>
                <w:sz w:val="21"/>
                <w:szCs w:val="21"/>
              </w:rPr>
            </w:pPr>
          </w:p>
          <w:p w14:paraId="4099B57C">
            <w:pPr>
              <w:pStyle w:val="16"/>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61" w:type="dxa"/>
            <w:noWrap w:val="0"/>
            <w:vAlign w:val="top"/>
          </w:tcPr>
          <w:p w14:paraId="399A0C6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b/>
                <w:bCs/>
                <w:color w:val="auto"/>
              </w:rPr>
            </w:pPr>
            <w:r>
              <w:rPr>
                <w:rFonts w:hint="eastAsia"/>
                <w:b/>
                <w:bCs/>
                <w:color w:val="auto"/>
              </w:rPr>
              <w:t>三、生产工艺流程</w:t>
            </w:r>
            <w:r>
              <w:rPr>
                <w:rFonts w:hint="eastAsia"/>
                <w:b/>
                <w:bCs/>
                <w:color w:val="auto"/>
                <w:lang w:eastAsia="zh-CN"/>
              </w:rPr>
              <w:t>及生</w:t>
            </w:r>
            <w:r>
              <w:rPr>
                <w:rFonts w:hint="eastAsia"/>
                <w:b/>
                <w:bCs/>
                <w:color w:val="auto"/>
              </w:rPr>
              <w:t>产排污环节</w:t>
            </w:r>
          </w:p>
          <w:p w14:paraId="697E0E5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s="Times New Roman"/>
                <w:color w:val="auto"/>
                <w:lang w:val="en-US" w:eastAsia="zh-CN"/>
              </w:rPr>
            </w:pPr>
            <w:r>
              <w:rPr>
                <w:color w:val="auto"/>
              </w:rPr>
              <w:pict>
                <v:shape id="_x0000_s2602" o:spid="_x0000_s2602" o:spt="75" type="#_x0000_t75" style="position:absolute;left:0pt;margin-left:2.6pt;margin-top:30.8pt;height:419.1pt;width:397.25pt;mso-wrap-distance-bottom:0pt;mso-wrap-distance-top:0pt;z-index:251660288;mso-width-relative:page;mso-height-relative:page;" o:ole="t" filled="f" o:preferrelative="t" stroked="f" coordsize="21600,21600">
                  <v:path/>
                  <v:fill on="f" focussize="0,0"/>
                  <v:stroke on="f"/>
                  <v:imagedata r:id="rId10" o:title=""/>
                  <o:lock v:ext="edit" aspectratio="f"/>
                  <w10:wrap type="topAndBottom"/>
                </v:shape>
                <o:OLEObject Type="Embed" ProgID="Visio.Drawing.15" ShapeID="_x0000_s2602" DrawAspect="Content" ObjectID="_1468075726" r:id="rId9">
                  <o:LockedField>false</o:LockedField>
                </o:OLEObject>
              </w:pict>
            </w:r>
            <w:r>
              <w:rPr>
                <w:rFonts w:hint="eastAsia" w:cs="宋体"/>
                <w:bCs/>
                <w:color w:val="auto"/>
                <w:kern w:val="2"/>
                <w:szCs w:val="24"/>
              </w:rPr>
              <w:t>1、</w:t>
            </w:r>
            <w:r>
              <w:rPr>
                <w:rFonts w:hint="eastAsia"/>
                <w:color w:val="auto"/>
              </w:rPr>
              <w:t>本项目生产工艺流程见图</w:t>
            </w:r>
            <w:r>
              <w:rPr>
                <w:rFonts w:hint="eastAsia" w:ascii="Times New Roman" w:hAnsi="Times New Roman" w:eastAsia="宋体" w:cs="Times New Roman"/>
                <w:color w:val="auto"/>
                <w:lang w:val="en-US" w:eastAsia="zh-CN"/>
              </w:rPr>
              <w:t>2</w:t>
            </w:r>
            <w:r>
              <w:rPr>
                <w:rFonts w:hint="eastAsia" w:cs="Times New Roman"/>
                <w:color w:val="auto"/>
                <w:lang w:val="en-US" w:eastAsia="zh-CN"/>
              </w:rPr>
              <w:t>-2：</w:t>
            </w:r>
          </w:p>
          <w:p w14:paraId="52C3FA18">
            <w:pPr>
              <w:pStyle w:val="19"/>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图2-2 塑料手柄工</w:t>
            </w:r>
            <w:r>
              <w:rPr>
                <w:rFonts w:hint="default" w:ascii="Times New Roman" w:hAnsi="Times New Roman" w:cs="Times New Roman"/>
                <w:color w:val="auto"/>
                <w:sz w:val="24"/>
                <w:szCs w:val="24"/>
              </w:rPr>
              <w:t>艺流程图</w:t>
            </w:r>
          </w:p>
          <w:p w14:paraId="0D97687A">
            <w:pPr>
              <w:pStyle w:val="18"/>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0D69C7EA">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裹树脂：将玻璃纤维放入拉挤机上配套的三角槽内，槽内装有不饱和聚酯树脂，使玻璃纤维上裹上不饱和聚酯树脂。该</w:t>
            </w:r>
            <w:r>
              <w:rPr>
                <w:rFonts w:hint="eastAsia" w:cs="宋体"/>
                <w:bCs/>
                <w:color w:val="auto"/>
                <w:kern w:val="2"/>
                <w:sz w:val="24"/>
                <w:szCs w:val="24"/>
                <w:lang w:val="en-US" w:eastAsia="zh-CN"/>
              </w:rPr>
              <w:t>工序</w:t>
            </w:r>
            <w:r>
              <w:rPr>
                <w:rFonts w:hint="eastAsia" w:ascii="Times New Roman" w:hAnsi="Times New Roman" w:cs="宋体"/>
                <w:bCs/>
                <w:color w:val="auto"/>
                <w:kern w:val="2"/>
                <w:sz w:val="24"/>
                <w:szCs w:val="24"/>
                <w:lang w:val="en-US" w:eastAsia="zh-CN"/>
              </w:rPr>
              <w:t>会产生有机废气G</w:t>
            </w:r>
            <w:r>
              <w:rPr>
                <w:rFonts w:hint="eastAsia" w:ascii="Times New Roman" w:hAnsi="Times New Roman" w:cs="宋体"/>
                <w:bCs/>
                <w:color w:val="auto"/>
                <w:kern w:val="2"/>
                <w:sz w:val="24"/>
                <w:szCs w:val="24"/>
                <w:vertAlign w:val="subscript"/>
                <w:lang w:val="en-US" w:eastAsia="zh-CN"/>
              </w:rPr>
              <w:t>1-1</w:t>
            </w:r>
            <w:r>
              <w:rPr>
                <w:rFonts w:hint="eastAsia" w:cs="宋体"/>
                <w:bCs/>
                <w:color w:val="auto"/>
                <w:kern w:val="2"/>
                <w:sz w:val="24"/>
                <w:szCs w:val="24"/>
                <w:lang w:val="en-US" w:eastAsia="zh-CN"/>
              </w:rPr>
              <w:t>；</w:t>
            </w:r>
          </w:p>
          <w:p w14:paraId="117EEB9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拉挤成型：裹上树脂的玻璃纤维经拉挤机上拉挤成型区拉挤成型，成为长的硬的</w:t>
            </w:r>
            <w:r>
              <w:rPr>
                <w:rFonts w:hint="eastAsia" w:cs="宋体"/>
                <w:bCs/>
                <w:color w:val="auto"/>
                <w:kern w:val="2"/>
                <w:sz w:val="24"/>
                <w:szCs w:val="24"/>
                <w:lang w:val="en-US" w:eastAsia="zh-CN"/>
              </w:rPr>
              <w:t>锤柄</w:t>
            </w:r>
            <w:r>
              <w:rPr>
                <w:rFonts w:hint="eastAsia" w:ascii="Times New Roman" w:hAnsi="Times New Roman" w:cs="宋体"/>
                <w:bCs/>
                <w:color w:val="auto"/>
                <w:kern w:val="2"/>
                <w:sz w:val="24"/>
                <w:szCs w:val="24"/>
                <w:lang w:val="en-US" w:eastAsia="zh-CN"/>
              </w:rPr>
              <w:t>芯半成品</w:t>
            </w:r>
            <w:r>
              <w:rPr>
                <w:rFonts w:hint="eastAsia" w:cs="宋体"/>
                <w:bCs/>
                <w:color w:val="auto"/>
                <w:kern w:val="2"/>
                <w:sz w:val="24"/>
                <w:szCs w:val="24"/>
                <w:lang w:val="en-US" w:eastAsia="zh-CN"/>
              </w:rPr>
              <w:t>（采用电加热方式，温度为150℃，时长为2—3min）</w:t>
            </w:r>
            <w:r>
              <w:rPr>
                <w:rFonts w:hint="eastAsia" w:ascii="Times New Roman" w:hAnsi="Times New Roman" w:cs="宋体"/>
                <w:bCs/>
                <w:color w:val="auto"/>
                <w:kern w:val="2"/>
                <w:sz w:val="24"/>
                <w:szCs w:val="24"/>
                <w:lang w:val="en-US" w:eastAsia="zh-CN"/>
              </w:rPr>
              <w:t>。该</w:t>
            </w:r>
            <w:r>
              <w:rPr>
                <w:rFonts w:hint="eastAsia" w:cs="宋体"/>
                <w:bCs/>
                <w:color w:val="auto"/>
                <w:kern w:val="2"/>
                <w:sz w:val="24"/>
                <w:szCs w:val="24"/>
                <w:lang w:val="en-US" w:eastAsia="zh-CN"/>
              </w:rPr>
              <w:t>工序</w:t>
            </w:r>
            <w:r>
              <w:rPr>
                <w:rFonts w:hint="eastAsia" w:ascii="Times New Roman" w:hAnsi="Times New Roman" w:cs="宋体"/>
                <w:bCs/>
                <w:color w:val="auto"/>
                <w:kern w:val="2"/>
                <w:sz w:val="24"/>
                <w:szCs w:val="24"/>
                <w:lang w:val="en-US" w:eastAsia="zh-CN"/>
              </w:rPr>
              <w:t>会产生</w:t>
            </w:r>
            <w:r>
              <w:rPr>
                <w:rFonts w:hint="eastAsia" w:cs="宋体"/>
                <w:bCs/>
                <w:color w:val="auto"/>
                <w:kern w:val="2"/>
                <w:sz w:val="24"/>
                <w:szCs w:val="24"/>
                <w:lang w:val="en-US" w:eastAsia="zh-CN"/>
              </w:rPr>
              <w:t>拉挤</w:t>
            </w:r>
            <w:r>
              <w:rPr>
                <w:rFonts w:hint="eastAsia" w:ascii="Times New Roman" w:hAnsi="Times New Roman" w:cs="宋体"/>
                <w:bCs/>
                <w:color w:val="auto"/>
                <w:kern w:val="2"/>
                <w:sz w:val="24"/>
                <w:szCs w:val="24"/>
                <w:lang w:val="en-US" w:eastAsia="zh-CN"/>
              </w:rPr>
              <w:t>废气G</w:t>
            </w:r>
            <w:r>
              <w:rPr>
                <w:rFonts w:hint="eastAsia" w:ascii="Times New Roman" w:hAnsi="Times New Roman" w:cs="宋体"/>
                <w:bCs/>
                <w:color w:val="auto"/>
                <w:kern w:val="2"/>
                <w:sz w:val="24"/>
                <w:szCs w:val="24"/>
                <w:vertAlign w:val="subscript"/>
                <w:lang w:val="en-US" w:eastAsia="zh-CN"/>
              </w:rPr>
              <w:t>1-2</w:t>
            </w:r>
            <w:r>
              <w:rPr>
                <w:rFonts w:hint="eastAsia" w:cs="宋体"/>
                <w:bCs/>
                <w:color w:val="auto"/>
                <w:kern w:val="2"/>
                <w:sz w:val="24"/>
                <w:szCs w:val="24"/>
                <w:vertAlign w:val="baseline"/>
                <w:lang w:val="en-US" w:eastAsia="zh-CN"/>
              </w:rPr>
              <w:t>、设备噪声N</w:t>
            </w:r>
            <w:r>
              <w:rPr>
                <w:rFonts w:hint="eastAsia" w:cs="宋体"/>
                <w:bCs/>
                <w:color w:val="auto"/>
                <w:kern w:val="2"/>
                <w:sz w:val="24"/>
                <w:szCs w:val="24"/>
                <w:lang w:val="en-US" w:eastAsia="zh-CN"/>
              </w:rPr>
              <w:t>；</w:t>
            </w:r>
          </w:p>
          <w:p w14:paraId="6E7BEFD6">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切割：</w:t>
            </w:r>
            <w:r>
              <w:rPr>
                <w:rFonts w:hint="eastAsia" w:cs="宋体"/>
                <w:bCs/>
                <w:color w:val="auto"/>
                <w:kern w:val="2"/>
                <w:sz w:val="24"/>
                <w:szCs w:val="24"/>
                <w:lang w:val="en-US" w:eastAsia="zh-CN"/>
              </w:rPr>
              <w:t>通过自动切割机</w:t>
            </w:r>
            <w:r>
              <w:rPr>
                <w:rFonts w:hint="eastAsia" w:ascii="Times New Roman" w:hAnsi="Times New Roman" w:cs="宋体"/>
                <w:bCs/>
                <w:color w:val="auto"/>
                <w:kern w:val="2"/>
                <w:sz w:val="24"/>
                <w:szCs w:val="24"/>
                <w:lang w:val="en-US" w:eastAsia="zh-CN"/>
              </w:rPr>
              <w:t>将半成品手柄芯切割成所需规格大小的手柄芯。该</w:t>
            </w:r>
            <w:r>
              <w:rPr>
                <w:rFonts w:hint="eastAsia" w:cs="宋体"/>
                <w:bCs/>
                <w:color w:val="auto"/>
                <w:kern w:val="2"/>
                <w:sz w:val="24"/>
                <w:szCs w:val="24"/>
                <w:lang w:val="en-US" w:eastAsia="zh-CN"/>
              </w:rPr>
              <w:t>工序</w:t>
            </w:r>
            <w:r>
              <w:rPr>
                <w:rFonts w:hint="eastAsia" w:ascii="Times New Roman" w:hAnsi="Times New Roman" w:cs="宋体"/>
                <w:bCs/>
                <w:color w:val="auto"/>
                <w:kern w:val="2"/>
                <w:sz w:val="24"/>
                <w:szCs w:val="24"/>
                <w:lang w:val="en-US" w:eastAsia="zh-CN"/>
              </w:rPr>
              <w:t>会产生</w:t>
            </w:r>
            <w:r>
              <w:rPr>
                <w:rFonts w:hint="eastAsia" w:cs="宋体"/>
                <w:bCs/>
                <w:color w:val="auto"/>
                <w:kern w:val="2"/>
                <w:sz w:val="24"/>
                <w:szCs w:val="24"/>
                <w:lang w:val="en-US" w:eastAsia="zh-CN"/>
              </w:rPr>
              <w:t>切割</w:t>
            </w:r>
            <w:r>
              <w:rPr>
                <w:rFonts w:hint="eastAsia" w:ascii="Times New Roman" w:hAnsi="Times New Roman" w:cs="宋体"/>
                <w:bCs/>
                <w:color w:val="auto"/>
                <w:kern w:val="2"/>
                <w:sz w:val="24"/>
                <w:szCs w:val="24"/>
                <w:lang w:val="en-US" w:eastAsia="zh-CN"/>
              </w:rPr>
              <w:t>粉尘G</w:t>
            </w:r>
            <w:r>
              <w:rPr>
                <w:rFonts w:hint="eastAsia" w:cs="宋体"/>
                <w:bCs/>
                <w:color w:val="auto"/>
                <w:kern w:val="2"/>
                <w:sz w:val="24"/>
                <w:szCs w:val="24"/>
                <w:vertAlign w:val="subscript"/>
                <w:lang w:val="en-US" w:eastAsia="zh-CN"/>
              </w:rPr>
              <w:t>1-3</w:t>
            </w:r>
            <w:r>
              <w:rPr>
                <w:rFonts w:hint="eastAsia" w:cs="宋体"/>
                <w:bCs/>
                <w:color w:val="auto"/>
                <w:kern w:val="2"/>
                <w:sz w:val="24"/>
                <w:szCs w:val="24"/>
                <w:lang w:val="en-US" w:eastAsia="zh-CN"/>
              </w:rPr>
              <w:t>、边角料</w:t>
            </w:r>
            <w:r>
              <w:rPr>
                <w:rFonts w:hint="eastAsia" w:ascii="Times New Roman" w:hAnsi="Times New Roman" w:cs="宋体"/>
                <w:bCs/>
                <w:color w:val="auto"/>
                <w:kern w:val="2"/>
                <w:sz w:val="24"/>
                <w:szCs w:val="24"/>
                <w:lang w:val="en-US" w:eastAsia="zh-CN"/>
              </w:rPr>
              <w:t>S</w:t>
            </w:r>
            <w:r>
              <w:rPr>
                <w:rFonts w:hint="eastAsia" w:ascii="Times New Roman" w:hAnsi="Times New Roman" w:cs="宋体"/>
                <w:bCs/>
                <w:color w:val="auto"/>
                <w:kern w:val="2"/>
                <w:sz w:val="24"/>
                <w:szCs w:val="24"/>
                <w:vertAlign w:val="subscript"/>
                <w:lang w:val="en-US" w:eastAsia="zh-CN"/>
              </w:rPr>
              <w:t>1</w:t>
            </w:r>
            <w:r>
              <w:rPr>
                <w:rFonts w:hint="eastAsia" w:cs="宋体"/>
                <w:bCs/>
                <w:color w:val="auto"/>
                <w:kern w:val="2"/>
                <w:sz w:val="24"/>
                <w:szCs w:val="24"/>
                <w:vertAlign w:val="subscript"/>
                <w:lang w:val="en-US" w:eastAsia="zh-CN"/>
              </w:rPr>
              <w:t>-1</w:t>
            </w:r>
            <w:r>
              <w:rPr>
                <w:rFonts w:hint="eastAsia" w:cs="宋体"/>
                <w:bCs/>
                <w:color w:val="auto"/>
                <w:kern w:val="2"/>
                <w:sz w:val="24"/>
                <w:szCs w:val="24"/>
                <w:lang w:val="en-US" w:eastAsia="zh-CN"/>
              </w:rPr>
              <w:t>和设备噪声N；</w:t>
            </w:r>
          </w:p>
          <w:p w14:paraId="3E117184">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b w:val="0"/>
                <w:color w:val="auto"/>
                <w:sz w:val="24"/>
                <w:lang w:val="en-US" w:eastAsia="zh-CN"/>
              </w:rPr>
            </w:pPr>
            <w:r>
              <w:rPr>
                <w:rFonts w:hint="eastAsia" w:ascii="Times New Roman" w:hAnsi="Times New Roman" w:cs="宋体"/>
                <w:b w:val="0"/>
                <w:bCs/>
                <w:color w:val="auto"/>
                <w:kern w:val="2"/>
                <w:sz w:val="24"/>
                <w:szCs w:val="24"/>
                <w:lang w:val="en-US" w:eastAsia="zh-CN"/>
              </w:rPr>
              <w:t>打磨：切割后的手柄芯通过1台自动打磨机和2台手工磨槽打磨出凹槽，以便手柄外壳更牢固地贴合手柄芯，该工序会产生打磨粉尘G</w:t>
            </w:r>
            <w:r>
              <w:rPr>
                <w:rFonts w:hint="eastAsia" w:ascii="Times New Roman" w:hAnsi="Times New Roman" w:cs="宋体"/>
                <w:b w:val="0"/>
                <w:bCs/>
                <w:color w:val="auto"/>
                <w:kern w:val="2"/>
                <w:sz w:val="24"/>
                <w:szCs w:val="24"/>
                <w:vertAlign w:val="subscript"/>
                <w:lang w:val="en-US" w:eastAsia="zh-CN"/>
              </w:rPr>
              <w:t>1-4</w:t>
            </w:r>
            <w:r>
              <w:rPr>
                <w:rFonts w:hint="eastAsia" w:ascii="Times New Roman" w:hAnsi="Times New Roman" w:cs="宋体"/>
                <w:b w:val="0"/>
                <w:bCs/>
                <w:color w:val="auto"/>
                <w:kern w:val="2"/>
                <w:sz w:val="24"/>
                <w:szCs w:val="24"/>
                <w:lang w:val="en-US" w:eastAsia="zh-CN"/>
              </w:rPr>
              <w:t>、设备噪声N；</w:t>
            </w:r>
          </w:p>
          <w:p w14:paraId="00E547B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cs="宋体"/>
                <w:bCs/>
                <w:color w:val="auto"/>
                <w:kern w:val="2"/>
                <w:sz w:val="24"/>
                <w:szCs w:val="24"/>
                <w:lang w:val="en-US" w:eastAsia="zh-CN"/>
              </w:rPr>
            </w:pPr>
            <w:r>
              <w:rPr>
                <w:rFonts w:hint="eastAsia" w:cs="宋体"/>
                <w:bCs/>
                <w:color w:val="auto"/>
                <w:kern w:val="2"/>
                <w:sz w:val="24"/>
                <w:szCs w:val="24"/>
                <w:lang w:val="en-US" w:eastAsia="zh-CN"/>
              </w:rPr>
              <w:t>打孔：使用自动打孔机在切割好的塑料手柄芯上开孔，以便后续注塑的手柄外壳可以更牢固地附着在手柄芯上，此工序会产生极少量的打孔粉尘G</w:t>
            </w:r>
            <w:r>
              <w:rPr>
                <w:rFonts w:hint="eastAsia" w:cs="宋体"/>
                <w:bCs/>
                <w:color w:val="auto"/>
                <w:kern w:val="2"/>
                <w:sz w:val="24"/>
                <w:szCs w:val="24"/>
                <w:vertAlign w:val="subscript"/>
                <w:lang w:val="en-US" w:eastAsia="zh-CN"/>
              </w:rPr>
              <w:t>1-5</w:t>
            </w:r>
            <w:r>
              <w:rPr>
                <w:rFonts w:hint="eastAsia" w:cs="宋体"/>
                <w:bCs/>
                <w:color w:val="auto"/>
                <w:kern w:val="2"/>
                <w:sz w:val="24"/>
                <w:szCs w:val="24"/>
                <w:lang w:val="en-US" w:eastAsia="zh-CN"/>
              </w:rPr>
              <w:t>，边角料S</w:t>
            </w:r>
            <w:r>
              <w:rPr>
                <w:rFonts w:hint="eastAsia" w:cs="宋体"/>
                <w:bCs/>
                <w:color w:val="auto"/>
                <w:kern w:val="2"/>
                <w:sz w:val="24"/>
                <w:szCs w:val="24"/>
                <w:vertAlign w:val="subscript"/>
                <w:lang w:val="en-US" w:eastAsia="zh-CN"/>
              </w:rPr>
              <w:t>1-2</w:t>
            </w:r>
            <w:r>
              <w:rPr>
                <w:rFonts w:hint="eastAsia" w:cs="宋体"/>
                <w:bCs/>
                <w:color w:val="auto"/>
                <w:kern w:val="2"/>
                <w:sz w:val="24"/>
                <w:szCs w:val="24"/>
                <w:lang w:val="en-US" w:eastAsia="zh-CN"/>
              </w:rPr>
              <w:t>、设备噪声N，打孔工序每天工作时间约1h，产生的粉尘量极少，无组织排放，不定量分析；</w:t>
            </w:r>
          </w:p>
          <w:p w14:paraId="01AD7F8E">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混合搅拌：根据产品需要，将PP颗粒</w:t>
            </w:r>
            <w:r>
              <w:rPr>
                <w:rFonts w:hint="eastAsia" w:cs="宋体"/>
                <w:bCs/>
                <w:color w:val="auto"/>
                <w:kern w:val="2"/>
                <w:sz w:val="24"/>
                <w:szCs w:val="24"/>
                <w:lang w:val="en-US" w:eastAsia="zh-CN"/>
              </w:rPr>
              <w:t>、PE</w:t>
            </w:r>
            <w:r>
              <w:rPr>
                <w:rFonts w:hint="eastAsia" w:ascii="Times New Roman" w:hAnsi="Times New Roman" w:cs="宋体"/>
                <w:bCs/>
                <w:color w:val="auto"/>
                <w:kern w:val="2"/>
                <w:sz w:val="24"/>
                <w:szCs w:val="24"/>
                <w:lang w:val="en-US" w:eastAsia="zh-CN"/>
              </w:rPr>
              <w:t>颗粒</w:t>
            </w:r>
            <w:r>
              <w:rPr>
                <w:rFonts w:hint="eastAsia" w:cs="宋体"/>
                <w:bCs/>
                <w:color w:val="auto"/>
                <w:kern w:val="2"/>
                <w:sz w:val="24"/>
                <w:szCs w:val="24"/>
                <w:lang w:val="en-US" w:eastAsia="zh-CN"/>
              </w:rPr>
              <w:t>、色拉油</w:t>
            </w:r>
            <w:r>
              <w:rPr>
                <w:rFonts w:hint="eastAsia" w:ascii="Times New Roman" w:hAnsi="Times New Roman" w:cs="宋体"/>
                <w:bCs/>
                <w:color w:val="auto"/>
                <w:kern w:val="2"/>
                <w:sz w:val="24"/>
                <w:szCs w:val="24"/>
                <w:lang w:val="en-US" w:eastAsia="zh-CN"/>
              </w:rPr>
              <w:t>与色母</w:t>
            </w:r>
            <w:r>
              <w:rPr>
                <w:rFonts w:hint="eastAsia" w:cs="宋体"/>
                <w:bCs/>
                <w:color w:val="auto"/>
                <w:kern w:val="2"/>
                <w:sz w:val="24"/>
                <w:szCs w:val="24"/>
                <w:lang w:val="en-US" w:eastAsia="zh-CN"/>
              </w:rPr>
              <w:t>粒</w:t>
            </w:r>
            <w:r>
              <w:rPr>
                <w:rFonts w:hint="eastAsia" w:ascii="Times New Roman" w:hAnsi="Times New Roman" w:cs="宋体"/>
                <w:bCs/>
                <w:color w:val="auto"/>
                <w:kern w:val="2"/>
                <w:sz w:val="24"/>
                <w:szCs w:val="24"/>
                <w:lang w:val="en-US" w:eastAsia="zh-CN"/>
              </w:rPr>
              <w:t>加到搅拌机中进行混合搅拌。因为混合搅拌</w:t>
            </w:r>
            <w:r>
              <w:rPr>
                <w:rFonts w:hint="eastAsia" w:cs="宋体"/>
                <w:bCs/>
                <w:color w:val="auto"/>
                <w:kern w:val="2"/>
                <w:sz w:val="24"/>
                <w:szCs w:val="24"/>
                <w:lang w:val="en-US" w:eastAsia="zh-CN"/>
              </w:rPr>
              <w:t>工序加入的PP、PE和色母均为颗粒状，色拉油为液态</w:t>
            </w:r>
            <w:r>
              <w:rPr>
                <w:rFonts w:hint="eastAsia" w:ascii="Times New Roman" w:hAnsi="Times New Roman" w:cs="宋体"/>
                <w:bCs/>
                <w:color w:val="auto"/>
                <w:kern w:val="2"/>
                <w:sz w:val="24"/>
                <w:szCs w:val="24"/>
                <w:lang w:val="en-US" w:eastAsia="zh-CN"/>
              </w:rPr>
              <w:t>，因此，该</w:t>
            </w:r>
            <w:r>
              <w:rPr>
                <w:rFonts w:hint="eastAsia" w:cs="宋体"/>
                <w:bCs/>
                <w:color w:val="auto"/>
                <w:kern w:val="2"/>
                <w:sz w:val="24"/>
                <w:szCs w:val="24"/>
                <w:lang w:val="en-US" w:eastAsia="zh-CN"/>
              </w:rPr>
              <w:t>工序</w:t>
            </w:r>
            <w:r>
              <w:rPr>
                <w:rFonts w:hint="eastAsia" w:ascii="Times New Roman" w:hAnsi="Times New Roman" w:cs="宋体"/>
                <w:bCs/>
                <w:color w:val="auto"/>
                <w:kern w:val="2"/>
                <w:sz w:val="24"/>
                <w:szCs w:val="24"/>
                <w:lang w:val="en-US" w:eastAsia="zh-CN"/>
              </w:rPr>
              <w:t>没有粉尘产生</w:t>
            </w:r>
            <w:r>
              <w:rPr>
                <w:rFonts w:hint="eastAsia" w:cs="宋体"/>
                <w:bCs/>
                <w:color w:val="auto"/>
                <w:kern w:val="2"/>
                <w:sz w:val="24"/>
                <w:szCs w:val="24"/>
                <w:lang w:val="en-US" w:eastAsia="zh-CN"/>
              </w:rPr>
              <w:t>，仅产生设备噪声N；</w:t>
            </w:r>
          </w:p>
          <w:p w14:paraId="787C5478">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注塑成型：将前期混合搅拌好的混合料</w:t>
            </w:r>
            <w:r>
              <w:rPr>
                <w:rFonts w:hint="eastAsia" w:cs="宋体"/>
                <w:bCs/>
                <w:color w:val="auto"/>
                <w:kern w:val="2"/>
                <w:sz w:val="24"/>
                <w:szCs w:val="24"/>
                <w:lang w:val="en-US" w:eastAsia="zh-CN"/>
              </w:rPr>
              <w:t>加入</w:t>
            </w:r>
            <w:r>
              <w:rPr>
                <w:rFonts w:hint="eastAsia" w:ascii="Times New Roman" w:hAnsi="Times New Roman" w:cs="宋体"/>
                <w:bCs/>
                <w:color w:val="auto"/>
                <w:kern w:val="2"/>
                <w:sz w:val="24"/>
                <w:szCs w:val="24"/>
                <w:lang w:val="en-US" w:eastAsia="zh-CN"/>
              </w:rPr>
              <w:t>注塑机上</w:t>
            </w:r>
            <w:r>
              <w:rPr>
                <w:rFonts w:hint="eastAsia" w:cs="宋体"/>
                <w:bCs/>
                <w:color w:val="auto"/>
                <w:kern w:val="2"/>
                <w:sz w:val="24"/>
                <w:szCs w:val="24"/>
                <w:lang w:val="en-US" w:eastAsia="zh-CN"/>
              </w:rPr>
              <w:t>料斗位置，经过注塑机高温熔融成液态（电加热，加热温度为180℃，加热时间为40S），此时，将半成品塑料手柄放入注塑机模具中，将熔融状态的混合料注塑成手柄外壳，形</w:t>
            </w:r>
            <w:r>
              <w:rPr>
                <w:rFonts w:hint="eastAsia" w:ascii="Times New Roman" w:hAnsi="Times New Roman" w:cs="宋体"/>
                <w:bCs/>
                <w:color w:val="auto"/>
                <w:kern w:val="2"/>
                <w:sz w:val="24"/>
                <w:szCs w:val="24"/>
                <w:lang w:val="en-US" w:eastAsia="zh-CN"/>
              </w:rPr>
              <w:t>成相应的</w:t>
            </w:r>
            <w:r>
              <w:rPr>
                <w:rFonts w:hint="eastAsia" w:cs="宋体"/>
                <w:bCs/>
                <w:color w:val="auto"/>
                <w:kern w:val="2"/>
                <w:sz w:val="24"/>
                <w:szCs w:val="24"/>
                <w:lang w:val="en-US" w:eastAsia="zh-CN"/>
              </w:rPr>
              <w:t>成品塑料手柄</w:t>
            </w:r>
            <w:r>
              <w:rPr>
                <w:rFonts w:hint="eastAsia" w:ascii="Times New Roman" w:hAnsi="Times New Roman" w:cs="宋体"/>
                <w:bCs/>
                <w:color w:val="auto"/>
                <w:kern w:val="2"/>
                <w:sz w:val="24"/>
                <w:szCs w:val="24"/>
                <w:lang w:val="en-US" w:eastAsia="zh-CN"/>
              </w:rPr>
              <w:t>。该</w:t>
            </w:r>
            <w:r>
              <w:rPr>
                <w:rFonts w:hint="eastAsia" w:cs="宋体"/>
                <w:bCs/>
                <w:color w:val="auto"/>
                <w:kern w:val="2"/>
                <w:sz w:val="24"/>
                <w:szCs w:val="24"/>
                <w:lang w:val="en-US" w:eastAsia="zh-CN"/>
              </w:rPr>
              <w:t>工序</w:t>
            </w:r>
            <w:r>
              <w:rPr>
                <w:rFonts w:hint="eastAsia" w:ascii="Times New Roman" w:hAnsi="Times New Roman" w:cs="宋体"/>
                <w:bCs/>
                <w:color w:val="auto"/>
                <w:kern w:val="2"/>
                <w:sz w:val="24"/>
                <w:szCs w:val="24"/>
                <w:lang w:val="en-US" w:eastAsia="zh-CN"/>
              </w:rPr>
              <w:t>会产生</w:t>
            </w:r>
            <w:r>
              <w:rPr>
                <w:rFonts w:hint="eastAsia" w:cs="宋体"/>
                <w:bCs/>
                <w:color w:val="auto"/>
                <w:kern w:val="2"/>
                <w:sz w:val="24"/>
                <w:szCs w:val="24"/>
                <w:lang w:val="en-US" w:eastAsia="zh-CN"/>
              </w:rPr>
              <w:t>注塑</w:t>
            </w:r>
            <w:r>
              <w:rPr>
                <w:rFonts w:hint="eastAsia" w:ascii="Times New Roman" w:hAnsi="Times New Roman" w:cs="宋体"/>
                <w:bCs/>
                <w:color w:val="auto"/>
                <w:kern w:val="2"/>
                <w:sz w:val="24"/>
                <w:szCs w:val="24"/>
                <w:lang w:val="en-US" w:eastAsia="zh-CN"/>
              </w:rPr>
              <w:t>废气G</w:t>
            </w:r>
            <w:r>
              <w:rPr>
                <w:rFonts w:hint="eastAsia" w:ascii="Times New Roman" w:hAnsi="Times New Roman" w:cs="宋体"/>
                <w:bCs/>
                <w:color w:val="auto"/>
                <w:kern w:val="2"/>
                <w:sz w:val="24"/>
                <w:szCs w:val="24"/>
                <w:vertAlign w:val="subscript"/>
                <w:lang w:val="en-US" w:eastAsia="zh-CN"/>
              </w:rPr>
              <w:t>1-</w:t>
            </w:r>
            <w:r>
              <w:rPr>
                <w:rFonts w:hint="eastAsia" w:cs="宋体"/>
                <w:bCs/>
                <w:color w:val="auto"/>
                <w:kern w:val="2"/>
                <w:sz w:val="24"/>
                <w:szCs w:val="24"/>
                <w:vertAlign w:val="subscript"/>
                <w:lang w:val="en-US" w:eastAsia="zh-CN"/>
              </w:rPr>
              <w:t>6</w:t>
            </w:r>
            <w:r>
              <w:rPr>
                <w:rFonts w:hint="eastAsia" w:cs="宋体"/>
                <w:bCs/>
                <w:color w:val="auto"/>
                <w:kern w:val="2"/>
                <w:sz w:val="24"/>
                <w:szCs w:val="24"/>
                <w:lang w:val="en-US" w:eastAsia="zh-CN"/>
              </w:rPr>
              <w:t>、设备噪声N；</w:t>
            </w:r>
          </w:p>
          <w:p w14:paraId="7DDD32DF">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冷却：注塑成型后的手柄</w:t>
            </w:r>
            <w:r>
              <w:rPr>
                <w:rFonts w:hint="eastAsia" w:cs="宋体"/>
                <w:bCs/>
                <w:color w:val="auto"/>
                <w:kern w:val="2"/>
                <w:sz w:val="24"/>
                <w:szCs w:val="24"/>
                <w:lang w:val="en-US" w:eastAsia="zh-CN"/>
              </w:rPr>
              <w:t>外壳</w:t>
            </w:r>
            <w:r>
              <w:rPr>
                <w:rFonts w:hint="eastAsia" w:ascii="Times New Roman" w:hAnsi="Times New Roman" w:cs="宋体"/>
                <w:bCs/>
                <w:color w:val="auto"/>
                <w:kern w:val="2"/>
                <w:sz w:val="24"/>
                <w:szCs w:val="24"/>
                <w:lang w:val="en-US" w:eastAsia="zh-CN"/>
              </w:rPr>
              <w:t>经注塑机上配套的冷却水装置进行</w:t>
            </w:r>
            <w:r>
              <w:rPr>
                <w:rFonts w:hint="eastAsia" w:cs="宋体"/>
                <w:bCs/>
                <w:color w:val="auto"/>
                <w:kern w:val="2"/>
                <w:sz w:val="24"/>
                <w:szCs w:val="24"/>
                <w:lang w:val="en-US" w:eastAsia="zh-CN"/>
              </w:rPr>
              <w:t>间接</w:t>
            </w:r>
            <w:r>
              <w:rPr>
                <w:rFonts w:hint="eastAsia" w:ascii="Times New Roman" w:hAnsi="Times New Roman" w:cs="宋体"/>
                <w:bCs/>
                <w:color w:val="auto"/>
                <w:kern w:val="2"/>
                <w:sz w:val="24"/>
                <w:szCs w:val="24"/>
                <w:lang w:val="en-US" w:eastAsia="zh-CN"/>
              </w:rPr>
              <w:t>冷却，冷却水循环使用，定期补充损耗</w:t>
            </w:r>
            <w:r>
              <w:rPr>
                <w:rFonts w:hint="eastAsia" w:cs="宋体"/>
                <w:bCs/>
                <w:color w:val="auto"/>
                <w:kern w:val="2"/>
                <w:sz w:val="24"/>
                <w:szCs w:val="24"/>
                <w:lang w:val="en-US" w:eastAsia="zh-CN"/>
              </w:rPr>
              <w:t>；</w:t>
            </w:r>
          </w:p>
          <w:p w14:paraId="0CCFAE3B">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检验</w:t>
            </w:r>
            <w:r>
              <w:rPr>
                <w:rFonts w:hint="eastAsia" w:cs="宋体"/>
                <w:bCs/>
                <w:color w:val="auto"/>
                <w:kern w:val="2"/>
                <w:sz w:val="24"/>
                <w:szCs w:val="24"/>
                <w:lang w:val="en-US" w:eastAsia="zh-CN"/>
              </w:rPr>
              <w:t>：通过人工方式检验塑料手柄是否合格，不合格品则进入破碎工序</w:t>
            </w:r>
            <w:r>
              <w:rPr>
                <w:rFonts w:hint="eastAsia" w:ascii="Times New Roman" w:hAnsi="Times New Roman" w:cs="宋体"/>
                <w:bCs/>
                <w:color w:val="auto"/>
                <w:kern w:val="2"/>
                <w:sz w:val="24"/>
                <w:szCs w:val="24"/>
                <w:lang w:val="en-US" w:eastAsia="zh-CN"/>
              </w:rPr>
              <w:t>；</w:t>
            </w:r>
          </w:p>
          <w:p w14:paraId="793425B0">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bCs/>
                <w:color w:val="auto"/>
                <w:kern w:val="2"/>
                <w:sz w:val="24"/>
                <w:szCs w:val="24"/>
                <w:lang w:val="en-US" w:eastAsia="zh-CN"/>
              </w:rPr>
            </w:pPr>
            <w:r>
              <w:rPr>
                <w:rFonts w:hint="eastAsia" w:ascii="Times New Roman" w:hAnsi="Times New Roman" w:cs="宋体"/>
                <w:bCs/>
                <w:color w:val="auto"/>
                <w:kern w:val="2"/>
                <w:sz w:val="24"/>
                <w:szCs w:val="24"/>
                <w:lang w:val="en-US" w:eastAsia="zh-CN"/>
              </w:rPr>
              <w:t>破碎：检验不合格的产品</w:t>
            </w:r>
            <w:r>
              <w:rPr>
                <w:rFonts w:hint="eastAsia" w:cs="宋体"/>
                <w:bCs/>
                <w:color w:val="auto"/>
                <w:kern w:val="2"/>
                <w:sz w:val="24"/>
                <w:szCs w:val="24"/>
                <w:lang w:val="en-US" w:eastAsia="zh-CN"/>
              </w:rPr>
              <w:t>通过人工方式</w:t>
            </w:r>
            <w:r>
              <w:rPr>
                <w:rFonts w:hint="eastAsia" w:ascii="Times New Roman" w:hAnsi="Times New Roman" w:cs="宋体"/>
                <w:bCs/>
                <w:color w:val="auto"/>
                <w:kern w:val="2"/>
                <w:sz w:val="24"/>
                <w:szCs w:val="24"/>
                <w:lang w:val="en-US" w:eastAsia="zh-CN"/>
              </w:rPr>
              <w:t>将手柄芯取出后，外层塑料部分使用</w:t>
            </w:r>
            <w:r>
              <w:rPr>
                <w:rFonts w:hint="eastAsia" w:cs="宋体"/>
                <w:bCs/>
                <w:color w:val="auto"/>
                <w:kern w:val="2"/>
                <w:sz w:val="24"/>
                <w:szCs w:val="24"/>
                <w:lang w:val="en-US" w:eastAsia="zh-CN"/>
              </w:rPr>
              <w:t>破碎</w:t>
            </w:r>
            <w:r>
              <w:rPr>
                <w:rFonts w:hint="eastAsia" w:ascii="Times New Roman" w:hAnsi="Times New Roman" w:cs="宋体"/>
                <w:bCs/>
                <w:color w:val="auto"/>
                <w:kern w:val="2"/>
                <w:sz w:val="24"/>
                <w:szCs w:val="24"/>
                <w:lang w:val="en-US" w:eastAsia="zh-CN"/>
              </w:rPr>
              <w:t>机破碎成小颗粒后回用于混合搅拌工序，取出的手柄芯继续使用</w:t>
            </w:r>
            <w:r>
              <w:rPr>
                <w:rFonts w:hint="eastAsia" w:ascii="Times New Roman" w:hAnsi="Times New Roman" w:eastAsia="宋体" w:cs="宋体"/>
                <w:bCs/>
                <w:color w:val="auto"/>
                <w:kern w:val="2"/>
                <w:sz w:val="24"/>
                <w:szCs w:val="24"/>
                <w:lang w:val="en-US" w:eastAsia="zh-CN"/>
              </w:rPr>
              <w:t>。该环节会产生极少量的粉尘G</w:t>
            </w:r>
            <w:r>
              <w:rPr>
                <w:rFonts w:hint="eastAsia" w:ascii="Times New Roman" w:hAnsi="Times New Roman" w:eastAsia="宋体" w:cs="宋体"/>
                <w:bCs/>
                <w:color w:val="auto"/>
                <w:kern w:val="2"/>
                <w:sz w:val="24"/>
                <w:szCs w:val="24"/>
                <w:vertAlign w:val="subscript"/>
                <w:lang w:val="en-US" w:eastAsia="zh-CN"/>
              </w:rPr>
              <w:t>1-</w:t>
            </w:r>
            <w:r>
              <w:rPr>
                <w:rFonts w:hint="eastAsia" w:cs="宋体"/>
                <w:bCs/>
                <w:color w:val="auto"/>
                <w:kern w:val="2"/>
                <w:sz w:val="24"/>
                <w:szCs w:val="24"/>
                <w:vertAlign w:val="subscript"/>
                <w:lang w:val="en-US" w:eastAsia="zh-CN"/>
              </w:rPr>
              <w:t>7</w:t>
            </w:r>
            <w:r>
              <w:rPr>
                <w:rFonts w:hint="eastAsia" w:ascii="Times New Roman" w:hAnsi="Times New Roman" w:eastAsia="宋体" w:cs="宋体"/>
                <w:bCs/>
                <w:color w:val="auto"/>
                <w:kern w:val="2"/>
                <w:sz w:val="24"/>
                <w:szCs w:val="24"/>
                <w:lang w:val="en-US" w:eastAsia="zh-CN"/>
              </w:rPr>
              <w:t>和设备噪声N，破碎粉尘以无组织形式排放；</w:t>
            </w:r>
          </w:p>
          <w:p w14:paraId="654D7418">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bCs/>
                <w:color w:val="auto"/>
                <w:kern w:val="2"/>
                <w:sz w:val="24"/>
                <w:szCs w:val="24"/>
                <w:lang w:val="en-US" w:eastAsia="zh-CN"/>
              </w:rPr>
            </w:pPr>
            <w:r>
              <w:rPr>
                <w:rFonts w:hint="eastAsia" w:ascii="Times New Roman" w:hAnsi="Times New Roman" w:eastAsia="宋体" w:cs="宋体"/>
                <w:bCs/>
                <w:color w:val="auto"/>
                <w:kern w:val="2"/>
                <w:sz w:val="24"/>
                <w:szCs w:val="24"/>
                <w:lang w:val="en-US" w:eastAsia="zh-CN"/>
              </w:rPr>
              <w:t>入库：检验合格的塑料手柄入库待售。</w:t>
            </w:r>
          </w:p>
          <w:p w14:paraId="7D372E6C">
            <w:pPr>
              <w:pStyle w:val="18"/>
              <w:keepNext w:val="0"/>
              <w:keepLines w:val="0"/>
              <w:pageBreakBefore w:val="0"/>
              <w:numPr>
                <w:ilvl w:val="0"/>
                <w:numId w:val="0"/>
              </w:numPr>
              <w:kinsoku/>
              <w:wordWrap/>
              <w:overflowPunct/>
              <w:topLinePunct w:val="0"/>
              <w:bidi w:val="0"/>
              <w:snapToGrid/>
              <w:spacing w:after="0" w:line="360" w:lineRule="auto"/>
              <w:ind w:leftChars="200"/>
              <w:textAlignment w:val="auto"/>
              <w:rPr>
                <w:color w:val="auto"/>
              </w:rPr>
            </w:pPr>
            <w:r>
              <w:rPr>
                <w:rFonts w:hint="eastAsia"/>
                <w:color w:val="auto"/>
              </w:rPr>
              <w:t>3、产排污环节</w:t>
            </w:r>
          </w:p>
          <w:p w14:paraId="041B6E73">
            <w:pPr>
              <w:pStyle w:val="18"/>
              <w:keepNext w:val="0"/>
              <w:keepLines w:val="0"/>
              <w:pageBreakBefore w:val="0"/>
              <w:kinsoku/>
              <w:wordWrap/>
              <w:overflowPunct/>
              <w:topLinePunct w:val="0"/>
              <w:bidi w:val="0"/>
              <w:snapToGrid/>
              <w:spacing w:after="0" w:line="360" w:lineRule="auto"/>
              <w:ind w:left="0" w:leftChars="0" w:firstLine="480"/>
              <w:textAlignment w:val="auto"/>
              <w:rPr>
                <w:rFonts w:hint="eastAsia"/>
                <w:b/>
                <w:bCs/>
                <w:color w:val="auto"/>
                <w:sz w:val="21"/>
                <w:szCs w:val="21"/>
              </w:rPr>
            </w:pPr>
            <w:r>
              <w:rPr>
                <w:rFonts w:hint="eastAsia"/>
                <w:color w:val="auto"/>
              </w:rPr>
              <w:t>经分析，本项目</w:t>
            </w:r>
            <w:r>
              <w:rPr>
                <w:rFonts w:hint="eastAsia"/>
                <w:color w:val="auto"/>
                <w:lang w:eastAsia="zh-CN"/>
              </w:rPr>
              <w:t>的生</w:t>
            </w:r>
            <w:r>
              <w:rPr>
                <w:rFonts w:hint="eastAsia"/>
                <w:color w:val="auto"/>
              </w:rPr>
              <w:t>产排污环节信息详见</w:t>
            </w:r>
            <w:r>
              <w:rPr>
                <w:rFonts w:hint="eastAsia"/>
                <w:color w:val="auto"/>
                <w:lang w:val="en-US" w:eastAsia="zh-CN"/>
              </w:rPr>
              <w:t>下表</w:t>
            </w:r>
            <w:r>
              <w:rPr>
                <w:rFonts w:hint="eastAsia"/>
                <w:color w:val="auto"/>
              </w:rPr>
              <w:t>。</w:t>
            </w:r>
          </w:p>
          <w:p w14:paraId="1E349F9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742AB2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C6FEE8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FBADE4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BF0B89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B594BF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BF898C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FD09E5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FF1363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9A16B6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7697F1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33E3C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6 </w:t>
            </w:r>
            <w:r>
              <w:rPr>
                <w:rFonts w:hint="eastAsia"/>
                <w:b/>
                <w:bCs/>
                <w:color w:val="auto"/>
                <w:sz w:val="21"/>
                <w:szCs w:val="21"/>
              </w:rPr>
              <w:t>项目产排污环节信息一览表</w:t>
            </w:r>
          </w:p>
          <w:tbl>
            <w:tblPr>
              <w:tblStyle w:val="23"/>
              <w:tblW w:w="796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5"/>
              <w:gridCol w:w="1346"/>
              <w:gridCol w:w="1577"/>
              <w:gridCol w:w="2050"/>
              <w:gridCol w:w="1040"/>
            </w:tblGrid>
            <w:tr w14:paraId="2858E0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66FD2B3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序号</w:t>
                  </w:r>
                </w:p>
              </w:tc>
              <w:tc>
                <w:tcPr>
                  <w:tcW w:w="1305" w:type="dxa"/>
                  <w:noWrap w:val="0"/>
                  <w:vAlign w:val="center"/>
                </w:tcPr>
                <w:p w14:paraId="7BB4992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污染物类别</w:t>
                  </w:r>
                </w:p>
              </w:tc>
              <w:tc>
                <w:tcPr>
                  <w:tcW w:w="1346" w:type="dxa"/>
                  <w:noWrap w:val="0"/>
                  <w:vAlign w:val="center"/>
                </w:tcPr>
                <w:p w14:paraId="434A3F5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污染物名称</w:t>
                  </w:r>
                </w:p>
              </w:tc>
              <w:tc>
                <w:tcPr>
                  <w:tcW w:w="1577" w:type="dxa"/>
                  <w:noWrap w:val="0"/>
                  <w:vAlign w:val="center"/>
                </w:tcPr>
                <w:p w14:paraId="2AF7BF5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产排污环节</w:t>
                  </w:r>
                </w:p>
              </w:tc>
              <w:tc>
                <w:tcPr>
                  <w:tcW w:w="2050" w:type="dxa"/>
                  <w:noWrap w:val="0"/>
                  <w:vAlign w:val="center"/>
                </w:tcPr>
                <w:p w14:paraId="0FE7A68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处理措施</w:t>
                  </w:r>
                </w:p>
              </w:tc>
              <w:tc>
                <w:tcPr>
                  <w:tcW w:w="1040" w:type="dxa"/>
                  <w:noWrap w:val="0"/>
                  <w:vAlign w:val="center"/>
                </w:tcPr>
                <w:p w14:paraId="182064F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备注</w:t>
                  </w:r>
                </w:p>
              </w:tc>
            </w:tr>
            <w:tr w14:paraId="11D2D8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restart"/>
                  <w:noWrap w:val="0"/>
                  <w:vAlign w:val="center"/>
                </w:tcPr>
                <w:p w14:paraId="40F5BA2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1</w:t>
                  </w:r>
                </w:p>
              </w:tc>
              <w:tc>
                <w:tcPr>
                  <w:tcW w:w="1305" w:type="dxa"/>
                  <w:vMerge w:val="restart"/>
                  <w:noWrap w:val="0"/>
                  <w:vAlign w:val="center"/>
                </w:tcPr>
                <w:p w14:paraId="2BEF76F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废气</w:t>
                  </w:r>
                </w:p>
              </w:tc>
              <w:tc>
                <w:tcPr>
                  <w:tcW w:w="1346" w:type="dxa"/>
                  <w:noWrap w:val="0"/>
                  <w:vAlign w:val="center"/>
                </w:tcPr>
                <w:p w14:paraId="72AAC7E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1"/>
                      <w:lang w:val="en-US" w:eastAsia="zh-CN" w:bidi="ar-SA"/>
                    </w:rPr>
                  </w:pPr>
                  <w:r>
                    <w:rPr>
                      <w:rFonts w:hint="eastAsia"/>
                      <w:color w:val="auto"/>
                      <w:sz w:val="21"/>
                      <w:szCs w:val="21"/>
                      <w:lang w:val="en-US" w:eastAsia="zh-CN"/>
                    </w:rPr>
                    <w:t>非甲烷总烃、苯乙烯、苯系物</w:t>
                  </w:r>
                </w:p>
              </w:tc>
              <w:tc>
                <w:tcPr>
                  <w:tcW w:w="1577" w:type="dxa"/>
                  <w:noWrap w:val="0"/>
                  <w:vAlign w:val="center"/>
                </w:tcPr>
                <w:p w14:paraId="540F005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kern w:val="0"/>
                      <w:sz w:val="21"/>
                      <w:szCs w:val="21"/>
                      <w:lang w:val="en-US" w:eastAsia="zh-CN" w:bidi="ar-SA"/>
                    </w:rPr>
                  </w:pPr>
                  <w:r>
                    <w:rPr>
                      <w:rFonts w:hint="eastAsia"/>
                      <w:color w:val="auto"/>
                      <w:sz w:val="21"/>
                      <w:szCs w:val="21"/>
                      <w:lang w:val="en-US" w:eastAsia="zh-CN"/>
                    </w:rPr>
                    <w:t>裹树脂、拉挤</w:t>
                  </w:r>
                </w:p>
              </w:tc>
              <w:tc>
                <w:tcPr>
                  <w:tcW w:w="2050" w:type="dxa"/>
                  <w:noWrap w:val="0"/>
                  <w:vAlign w:val="center"/>
                </w:tcPr>
                <w:p w14:paraId="682DCF0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1"/>
                      <w:lang w:val="en-US" w:eastAsia="zh-CN" w:bidi="ar-SA"/>
                    </w:rPr>
                  </w:pPr>
                  <w:r>
                    <w:rPr>
                      <w:rFonts w:hint="eastAsia"/>
                      <w:color w:val="auto"/>
                      <w:sz w:val="21"/>
                      <w:szCs w:val="21"/>
                    </w:rPr>
                    <w:t>集气罩+二级活性炭吸附装置</w:t>
                  </w:r>
                  <w:r>
                    <w:rPr>
                      <w:rFonts w:hint="eastAsia"/>
                      <w:color w:val="auto"/>
                      <w:sz w:val="21"/>
                      <w:szCs w:val="21"/>
                      <w:lang w:eastAsia="zh-CN"/>
                    </w:rPr>
                    <w:t>（</w:t>
                  </w:r>
                  <w:r>
                    <w:rPr>
                      <w:rFonts w:hint="eastAsia"/>
                      <w:color w:val="auto"/>
                      <w:sz w:val="21"/>
                      <w:szCs w:val="21"/>
                      <w:lang w:val="en-US" w:eastAsia="zh-CN"/>
                    </w:rPr>
                    <w:t>TA001</w:t>
                  </w:r>
                  <w:r>
                    <w:rPr>
                      <w:rFonts w:hint="eastAsia"/>
                      <w:color w:val="auto"/>
                      <w:sz w:val="21"/>
                      <w:szCs w:val="21"/>
                      <w:lang w:eastAsia="zh-CN"/>
                    </w:rPr>
                    <w:t>）</w:t>
                  </w:r>
                  <w:r>
                    <w:rPr>
                      <w:rFonts w:hint="eastAsia"/>
                      <w:color w:val="auto"/>
                      <w:sz w:val="21"/>
                      <w:szCs w:val="21"/>
                      <w:lang w:val="en-US" w:eastAsia="zh-CN"/>
                    </w:rPr>
                    <w:t>+</w:t>
                  </w:r>
                  <w:r>
                    <w:rPr>
                      <w:rFonts w:hint="eastAsia"/>
                      <w:color w:val="auto"/>
                      <w:sz w:val="21"/>
                      <w:szCs w:val="21"/>
                    </w:rPr>
                    <w:t>15m排气筒</w:t>
                  </w:r>
                  <w:r>
                    <w:rPr>
                      <w:rFonts w:hint="eastAsia"/>
                      <w:color w:val="auto"/>
                      <w:sz w:val="21"/>
                      <w:szCs w:val="21"/>
                      <w:lang w:val="en-US" w:eastAsia="zh-CN"/>
                    </w:rPr>
                    <w:t>DA001</w:t>
                  </w:r>
                  <w:r>
                    <w:rPr>
                      <w:rFonts w:hint="eastAsia"/>
                      <w:color w:val="auto"/>
                      <w:sz w:val="21"/>
                      <w:szCs w:val="21"/>
                    </w:rPr>
                    <w:t>排放</w:t>
                  </w:r>
                </w:p>
              </w:tc>
              <w:tc>
                <w:tcPr>
                  <w:tcW w:w="1040" w:type="dxa"/>
                  <w:noWrap w:val="0"/>
                  <w:vAlign w:val="center"/>
                </w:tcPr>
                <w:p w14:paraId="3C5211B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val="en-US" w:eastAsia="zh-CN"/>
                    </w:rPr>
                    <w:t>G</w:t>
                  </w:r>
                  <w:r>
                    <w:rPr>
                      <w:rFonts w:hint="eastAsia"/>
                      <w:color w:val="auto"/>
                      <w:sz w:val="21"/>
                      <w:vertAlign w:val="subscript"/>
                      <w:lang w:val="en-US" w:eastAsia="zh-CN"/>
                    </w:rPr>
                    <w:t>1-1</w:t>
                  </w:r>
                  <w:r>
                    <w:rPr>
                      <w:rFonts w:hint="eastAsia"/>
                      <w:color w:val="auto"/>
                      <w:sz w:val="21"/>
                      <w:vertAlign w:val="baseline"/>
                      <w:lang w:val="en-US" w:eastAsia="zh-CN"/>
                    </w:rPr>
                    <w:t>、</w:t>
                  </w:r>
                  <w:r>
                    <w:rPr>
                      <w:rFonts w:hint="eastAsia"/>
                      <w:color w:val="auto"/>
                      <w:sz w:val="21"/>
                    </w:rPr>
                    <w:t>G</w:t>
                  </w:r>
                  <w:r>
                    <w:rPr>
                      <w:rFonts w:hint="eastAsia"/>
                      <w:color w:val="auto"/>
                      <w:sz w:val="21"/>
                      <w:vertAlign w:val="subscript"/>
                      <w:lang w:val="en-US" w:eastAsia="zh-CN"/>
                    </w:rPr>
                    <w:t>1-2</w:t>
                  </w:r>
                </w:p>
              </w:tc>
            </w:tr>
            <w:tr w14:paraId="7DD0C1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continue"/>
                  <w:noWrap w:val="0"/>
                  <w:vAlign w:val="center"/>
                </w:tcPr>
                <w:p w14:paraId="1650453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3174089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071E39E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颗粒物</w:t>
                  </w:r>
                </w:p>
              </w:tc>
              <w:tc>
                <w:tcPr>
                  <w:tcW w:w="1577" w:type="dxa"/>
                  <w:noWrap w:val="0"/>
                  <w:vAlign w:val="center"/>
                </w:tcPr>
                <w:p w14:paraId="3478605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切割、打磨</w:t>
                  </w:r>
                </w:p>
              </w:tc>
              <w:tc>
                <w:tcPr>
                  <w:tcW w:w="2050" w:type="dxa"/>
                  <w:noWrap w:val="0"/>
                  <w:vAlign w:val="center"/>
                </w:tcPr>
                <w:p w14:paraId="018E4AC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szCs w:val="21"/>
                    </w:rPr>
                  </w:pPr>
                  <w:r>
                    <w:rPr>
                      <w:rFonts w:hint="eastAsia"/>
                      <w:color w:val="auto"/>
                      <w:sz w:val="21"/>
                      <w:szCs w:val="21"/>
                    </w:rPr>
                    <w:t>集气罩+</w:t>
                  </w:r>
                  <w:r>
                    <w:rPr>
                      <w:rFonts w:hint="eastAsia"/>
                      <w:color w:val="auto"/>
                      <w:sz w:val="21"/>
                      <w:szCs w:val="21"/>
                      <w:lang w:val="en-US" w:eastAsia="zh-CN"/>
                    </w:rPr>
                    <w:t>布袋除尘器（TA002）+</w:t>
                  </w:r>
                  <w:r>
                    <w:rPr>
                      <w:rFonts w:hint="eastAsia"/>
                      <w:color w:val="auto"/>
                      <w:sz w:val="21"/>
                      <w:szCs w:val="21"/>
                    </w:rPr>
                    <w:t>15m排气筒</w:t>
                  </w:r>
                  <w:r>
                    <w:rPr>
                      <w:rFonts w:hint="eastAsia"/>
                      <w:color w:val="auto"/>
                      <w:sz w:val="21"/>
                      <w:szCs w:val="21"/>
                      <w:lang w:val="en-US" w:eastAsia="zh-CN"/>
                    </w:rPr>
                    <w:t>DA002</w:t>
                  </w:r>
                  <w:r>
                    <w:rPr>
                      <w:rFonts w:hint="eastAsia"/>
                      <w:color w:val="auto"/>
                      <w:sz w:val="21"/>
                      <w:szCs w:val="21"/>
                    </w:rPr>
                    <w:t>排放</w:t>
                  </w:r>
                </w:p>
              </w:tc>
              <w:tc>
                <w:tcPr>
                  <w:tcW w:w="1040" w:type="dxa"/>
                  <w:noWrap w:val="0"/>
                  <w:vAlign w:val="center"/>
                </w:tcPr>
                <w:p w14:paraId="7067560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lang w:val="en-US" w:eastAsia="zh-CN"/>
                    </w:rPr>
                    <w:t>G</w:t>
                  </w:r>
                  <w:r>
                    <w:rPr>
                      <w:rFonts w:hint="eastAsia"/>
                      <w:color w:val="auto"/>
                      <w:sz w:val="21"/>
                      <w:vertAlign w:val="subscript"/>
                      <w:lang w:val="en-US" w:eastAsia="zh-CN"/>
                    </w:rPr>
                    <w:t>1-3</w:t>
                  </w:r>
                  <w:r>
                    <w:rPr>
                      <w:rFonts w:hint="eastAsia"/>
                      <w:color w:val="auto"/>
                      <w:sz w:val="21"/>
                      <w:vertAlign w:val="baseline"/>
                      <w:lang w:val="en-US" w:eastAsia="zh-CN"/>
                    </w:rPr>
                    <w:t>、</w:t>
                  </w:r>
                  <w:r>
                    <w:rPr>
                      <w:rFonts w:hint="eastAsia"/>
                      <w:color w:val="auto"/>
                      <w:sz w:val="21"/>
                    </w:rPr>
                    <w:t>G</w:t>
                  </w:r>
                  <w:r>
                    <w:rPr>
                      <w:rFonts w:hint="eastAsia"/>
                      <w:color w:val="auto"/>
                      <w:sz w:val="21"/>
                      <w:vertAlign w:val="subscript"/>
                      <w:lang w:val="en-US" w:eastAsia="zh-CN"/>
                    </w:rPr>
                    <w:t>1-4</w:t>
                  </w:r>
                </w:p>
              </w:tc>
            </w:tr>
            <w:tr w14:paraId="71E10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continue"/>
                  <w:noWrap w:val="0"/>
                  <w:vAlign w:val="center"/>
                </w:tcPr>
                <w:p w14:paraId="4BA60B5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7FCD4C8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5C64DA1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颗粒物</w:t>
                  </w:r>
                </w:p>
              </w:tc>
              <w:tc>
                <w:tcPr>
                  <w:tcW w:w="1577" w:type="dxa"/>
                  <w:noWrap w:val="0"/>
                  <w:vAlign w:val="center"/>
                </w:tcPr>
                <w:p w14:paraId="424A74F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打孔</w:t>
                  </w:r>
                </w:p>
              </w:tc>
              <w:tc>
                <w:tcPr>
                  <w:tcW w:w="2050" w:type="dxa"/>
                  <w:noWrap w:val="0"/>
                  <w:vAlign w:val="center"/>
                </w:tcPr>
                <w:p w14:paraId="4C8A26D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无组织排放</w:t>
                  </w:r>
                </w:p>
              </w:tc>
              <w:tc>
                <w:tcPr>
                  <w:tcW w:w="1040" w:type="dxa"/>
                  <w:noWrap w:val="0"/>
                  <w:vAlign w:val="center"/>
                </w:tcPr>
                <w:p w14:paraId="26C7ABE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G</w:t>
                  </w:r>
                  <w:r>
                    <w:rPr>
                      <w:rFonts w:hint="eastAsia"/>
                      <w:color w:val="auto"/>
                      <w:sz w:val="21"/>
                      <w:vertAlign w:val="subscript"/>
                      <w:lang w:val="en-US" w:eastAsia="zh-CN"/>
                    </w:rPr>
                    <w:t>1-5</w:t>
                  </w:r>
                </w:p>
              </w:tc>
            </w:tr>
            <w:tr w14:paraId="0E3A8C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continue"/>
                  <w:noWrap w:val="0"/>
                  <w:vAlign w:val="center"/>
                </w:tcPr>
                <w:p w14:paraId="7FB21AC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22B493F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7454626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非甲烷总烃</w:t>
                  </w:r>
                </w:p>
              </w:tc>
              <w:tc>
                <w:tcPr>
                  <w:tcW w:w="1577" w:type="dxa"/>
                  <w:noWrap w:val="0"/>
                  <w:vAlign w:val="center"/>
                </w:tcPr>
                <w:p w14:paraId="5CFC8B2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注塑</w:t>
                  </w:r>
                </w:p>
              </w:tc>
              <w:tc>
                <w:tcPr>
                  <w:tcW w:w="2050" w:type="dxa"/>
                  <w:noWrap w:val="0"/>
                  <w:vAlign w:val="center"/>
                </w:tcPr>
                <w:p w14:paraId="0AF1C10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szCs w:val="21"/>
                    </w:rPr>
                  </w:pPr>
                  <w:r>
                    <w:rPr>
                      <w:rFonts w:hint="eastAsia"/>
                      <w:color w:val="auto"/>
                      <w:sz w:val="21"/>
                      <w:szCs w:val="21"/>
                    </w:rPr>
                    <w:t>集气罩+二级活性炭吸附装置</w:t>
                  </w:r>
                  <w:r>
                    <w:rPr>
                      <w:rFonts w:hint="eastAsia"/>
                      <w:color w:val="auto"/>
                      <w:sz w:val="21"/>
                      <w:szCs w:val="21"/>
                      <w:lang w:eastAsia="zh-CN"/>
                    </w:rPr>
                    <w:t>（</w:t>
                  </w:r>
                  <w:r>
                    <w:rPr>
                      <w:rFonts w:hint="eastAsia"/>
                      <w:color w:val="auto"/>
                      <w:sz w:val="21"/>
                      <w:szCs w:val="21"/>
                      <w:lang w:val="en-US" w:eastAsia="zh-CN"/>
                    </w:rPr>
                    <w:t>TA001</w:t>
                  </w:r>
                  <w:r>
                    <w:rPr>
                      <w:rFonts w:hint="eastAsia"/>
                      <w:color w:val="auto"/>
                      <w:sz w:val="21"/>
                      <w:szCs w:val="21"/>
                      <w:lang w:eastAsia="zh-CN"/>
                    </w:rPr>
                    <w:t>）</w:t>
                  </w:r>
                  <w:r>
                    <w:rPr>
                      <w:rFonts w:hint="eastAsia"/>
                      <w:color w:val="auto"/>
                      <w:sz w:val="21"/>
                      <w:szCs w:val="21"/>
                      <w:lang w:val="en-US" w:eastAsia="zh-CN"/>
                    </w:rPr>
                    <w:t>+</w:t>
                  </w:r>
                  <w:r>
                    <w:rPr>
                      <w:rFonts w:hint="eastAsia"/>
                      <w:color w:val="auto"/>
                      <w:sz w:val="21"/>
                      <w:szCs w:val="21"/>
                    </w:rPr>
                    <w:t>15m排气筒</w:t>
                  </w:r>
                  <w:r>
                    <w:rPr>
                      <w:rFonts w:hint="eastAsia"/>
                      <w:color w:val="auto"/>
                      <w:sz w:val="21"/>
                      <w:szCs w:val="21"/>
                      <w:lang w:val="en-US" w:eastAsia="zh-CN"/>
                    </w:rPr>
                    <w:t>DA001</w:t>
                  </w:r>
                  <w:r>
                    <w:rPr>
                      <w:rFonts w:hint="eastAsia"/>
                      <w:color w:val="auto"/>
                      <w:sz w:val="21"/>
                      <w:szCs w:val="21"/>
                    </w:rPr>
                    <w:t>排放</w:t>
                  </w:r>
                </w:p>
              </w:tc>
              <w:tc>
                <w:tcPr>
                  <w:tcW w:w="1040" w:type="dxa"/>
                  <w:noWrap w:val="0"/>
                  <w:vAlign w:val="center"/>
                </w:tcPr>
                <w:p w14:paraId="50305B8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lang w:val="en-US" w:eastAsia="zh-CN"/>
                    </w:rPr>
                    <w:t>G</w:t>
                  </w:r>
                  <w:r>
                    <w:rPr>
                      <w:rFonts w:hint="eastAsia"/>
                      <w:color w:val="auto"/>
                      <w:sz w:val="21"/>
                      <w:vertAlign w:val="subscript"/>
                      <w:lang w:val="en-US" w:eastAsia="zh-CN"/>
                    </w:rPr>
                    <w:t>1-6</w:t>
                  </w:r>
                </w:p>
              </w:tc>
            </w:tr>
            <w:tr w14:paraId="7B364F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continue"/>
                  <w:noWrap w:val="0"/>
                  <w:vAlign w:val="center"/>
                </w:tcPr>
                <w:p w14:paraId="5E32160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672512C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7997106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颗粒物</w:t>
                  </w:r>
                </w:p>
              </w:tc>
              <w:tc>
                <w:tcPr>
                  <w:tcW w:w="1577" w:type="dxa"/>
                  <w:noWrap w:val="0"/>
                  <w:vAlign w:val="center"/>
                </w:tcPr>
                <w:p w14:paraId="168FE22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破碎</w:t>
                  </w:r>
                </w:p>
              </w:tc>
              <w:tc>
                <w:tcPr>
                  <w:tcW w:w="2050" w:type="dxa"/>
                  <w:noWrap w:val="0"/>
                  <w:vAlign w:val="center"/>
                </w:tcPr>
                <w:p w14:paraId="45F2796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无组织排放</w:t>
                  </w:r>
                </w:p>
              </w:tc>
              <w:tc>
                <w:tcPr>
                  <w:tcW w:w="1040" w:type="dxa"/>
                  <w:noWrap w:val="0"/>
                  <w:vAlign w:val="center"/>
                </w:tcPr>
                <w:p w14:paraId="065D474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G</w:t>
                  </w:r>
                  <w:r>
                    <w:rPr>
                      <w:rFonts w:hint="eastAsia"/>
                      <w:color w:val="auto"/>
                      <w:sz w:val="21"/>
                      <w:vertAlign w:val="subscript"/>
                      <w:lang w:val="en-US" w:eastAsia="zh-CN"/>
                    </w:rPr>
                    <w:t>1-7</w:t>
                  </w:r>
                </w:p>
              </w:tc>
            </w:tr>
            <w:tr w14:paraId="3DA954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48" w:type="dxa"/>
                  <w:noWrap w:val="0"/>
                  <w:vAlign w:val="center"/>
                </w:tcPr>
                <w:p w14:paraId="5284575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2</w:t>
                  </w:r>
                </w:p>
              </w:tc>
              <w:tc>
                <w:tcPr>
                  <w:tcW w:w="1305" w:type="dxa"/>
                  <w:noWrap w:val="0"/>
                  <w:vAlign w:val="center"/>
                </w:tcPr>
                <w:p w14:paraId="335A0DD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废水</w:t>
                  </w:r>
                </w:p>
              </w:tc>
              <w:tc>
                <w:tcPr>
                  <w:tcW w:w="1346" w:type="dxa"/>
                  <w:noWrap w:val="0"/>
                  <w:vAlign w:val="center"/>
                </w:tcPr>
                <w:p w14:paraId="5318D63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生活污水</w:t>
                  </w:r>
                </w:p>
              </w:tc>
              <w:tc>
                <w:tcPr>
                  <w:tcW w:w="1577" w:type="dxa"/>
                  <w:noWrap w:val="0"/>
                  <w:vAlign w:val="center"/>
                </w:tcPr>
                <w:p w14:paraId="678619B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eastAsia="zh-CN"/>
                    </w:rPr>
                  </w:pPr>
                  <w:r>
                    <w:rPr>
                      <w:rFonts w:hint="eastAsia"/>
                      <w:color w:val="auto"/>
                      <w:sz w:val="21"/>
                    </w:rPr>
                    <w:t>员工日常生活工作</w:t>
                  </w:r>
                </w:p>
              </w:tc>
              <w:tc>
                <w:tcPr>
                  <w:tcW w:w="2050" w:type="dxa"/>
                  <w:noWrap w:val="0"/>
                  <w:vAlign w:val="center"/>
                </w:tcPr>
                <w:p w14:paraId="3C59EA7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经</w:t>
                  </w:r>
                  <w:r>
                    <w:rPr>
                      <w:rFonts w:hint="eastAsia"/>
                      <w:color w:val="auto"/>
                      <w:sz w:val="21"/>
                    </w:rPr>
                    <w:t>化粪池预处理后</w:t>
                  </w:r>
                  <w:r>
                    <w:rPr>
                      <w:rFonts w:hint="eastAsia"/>
                      <w:color w:val="auto"/>
                      <w:sz w:val="21"/>
                      <w:lang w:val="en-US" w:eastAsia="zh-CN"/>
                    </w:rPr>
                    <w:t>接管至涟水经济开发区西区污水处理厂</w:t>
                  </w:r>
                </w:p>
              </w:tc>
              <w:tc>
                <w:tcPr>
                  <w:tcW w:w="1040" w:type="dxa"/>
                  <w:noWrap w:val="0"/>
                  <w:vAlign w:val="center"/>
                </w:tcPr>
                <w:p w14:paraId="4B8CD08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rPr>
                    <w:t>W</w:t>
                  </w:r>
                </w:p>
              </w:tc>
            </w:tr>
            <w:tr w14:paraId="009190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3C8DC9B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3</w:t>
                  </w:r>
                </w:p>
              </w:tc>
              <w:tc>
                <w:tcPr>
                  <w:tcW w:w="1305" w:type="dxa"/>
                  <w:noWrap w:val="0"/>
                  <w:vAlign w:val="center"/>
                </w:tcPr>
                <w:p w14:paraId="379F9D8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噪声</w:t>
                  </w:r>
                </w:p>
              </w:tc>
              <w:tc>
                <w:tcPr>
                  <w:tcW w:w="1346" w:type="dxa"/>
                  <w:noWrap w:val="0"/>
                  <w:vAlign w:val="center"/>
                </w:tcPr>
                <w:p w14:paraId="0B984C4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设备噪声</w:t>
                  </w:r>
                </w:p>
              </w:tc>
              <w:tc>
                <w:tcPr>
                  <w:tcW w:w="1577" w:type="dxa"/>
                  <w:noWrap w:val="0"/>
                  <w:vAlign w:val="center"/>
                </w:tcPr>
                <w:p w14:paraId="00D4776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生产设备运行过程</w:t>
                  </w:r>
                </w:p>
              </w:tc>
              <w:tc>
                <w:tcPr>
                  <w:tcW w:w="2050" w:type="dxa"/>
                  <w:noWrap w:val="0"/>
                  <w:vAlign w:val="center"/>
                </w:tcPr>
                <w:p w14:paraId="5EC055C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低噪声设备、厂房隔声、距离衰减、合理布局</w:t>
                  </w:r>
                </w:p>
              </w:tc>
              <w:tc>
                <w:tcPr>
                  <w:tcW w:w="1040" w:type="dxa"/>
                  <w:noWrap w:val="0"/>
                  <w:vAlign w:val="center"/>
                </w:tcPr>
                <w:p w14:paraId="1FB6E21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N</w:t>
                  </w:r>
                </w:p>
              </w:tc>
            </w:tr>
            <w:tr w14:paraId="1D462F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48" w:type="dxa"/>
                  <w:vMerge w:val="restart"/>
                  <w:noWrap w:val="0"/>
                  <w:vAlign w:val="center"/>
                </w:tcPr>
                <w:p w14:paraId="02FC8E2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4</w:t>
                  </w:r>
                </w:p>
              </w:tc>
              <w:tc>
                <w:tcPr>
                  <w:tcW w:w="1305" w:type="dxa"/>
                  <w:vMerge w:val="restart"/>
                  <w:noWrap w:val="0"/>
                  <w:vAlign w:val="center"/>
                </w:tcPr>
                <w:p w14:paraId="74855B4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w:t>
                  </w:r>
                </w:p>
              </w:tc>
              <w:tc>
                <w:tcPr>
                  <w:tcW w:w="1346" w:type="dxa"/>
                  <w:noWrap w:val="0"/>
                  <w:vAlign w:val="center"/>
                </w:tcPr>
                <w:p w14:paraId="2CB61A6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r>
                    <w:rPr>
                      <w:rFonts w:hint="eastAsia"/>
                      <w:color w:val="auto"/>
                      <w:sz w:val="21"/>
                      <w:lang w:val="en-US" w:eastAsia="zh-CN"/>
                    </w:rPr>
                    <w:t>边角料</w:t>
                  </w:r>
                </w:p>
              </w:tc>
              <w:tc>
                <w:tcPr>
                  <w:tcW w:w="1577" w:type="dxa"/>
                  <w:noWrap w:val="0"/>
                  <w:vAlign w:val="center"/>
                </w:tcPr>
                <w:p w14:paraId="422139A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kern w:val="0"/>
                      <w:sz w:val="21"/>
                      <w:szCs w:val="20"/>
                      <w:lang w:val="en-US" w:eastAsia="zh-CN" w:bidi="ar-SA"/>
                    </w:rPr>
                  </w:pPr>
                  <w:r>
                    <w:rPr>
                      <w:rFonts w:hint="eastAsia"/>
                      <w:color w:val="auto"/>
                      <w:sz w:val="21"/>
                      <w:lang w:val="en-US" w:eastAsia="zh-CN"/>
                    </w:rPr>
                    <w:t>切割、打孔</w:t>
                  </w:r>
                </w:p>
              </w:tc>
              <w:tc>
                <w:tcPr>
                  <w:tcW w:w="2050" w:type="dxa"/>
                  <w:vMerge w:val="restart"/>
                  <w:noWrap w:val="0"/>
                  <w:vAlign w:val="center"/>
                </w:tcPr>
                <w:p w14:paraId="6006704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rPr>
                    <w:t>统一收集后外售给废旧资源回收公司利用</w:t>
                  </w:r>
                </w:p>
              </w:tc>
              <w:tc>
                <w:tcPr>
                  <w:tcW w:w="1040" w:type="dxa"/>
                  <w:noWrap w:val="0"/>
                  <w:vAlign w:val="center"/>
                </w:tcPr>
                <w:p w14:paraId="20127E8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kern w:val="0"/>
                      <w:sz w:val="21"/>
                      <w:szCs w:val="20"/>
                      <w:lang w:val="en-US" w:eastAsia="zh-CN" w:bidi="ar-SA"/>
                    </w:rPr>
                  </w:pPr>
                  <w:r>
                    <w:rPr>
                      <w:rFonts w:hint="eastAsia"/>
                      <w:color w:val="auto"/>
                      <w:sz w:val="21"/>
                      <w:lang w:val="en-US" w:eastAsia="zh-CN"/>
                    </w:rPr>
                    <w:t>S</w:t>
                  </w:r>
                  <w:r>
                    <w:rPr>
                      <w:rFonts w:hint="eastAsia"/>
                      <w:color w:val="auto"/>
                      <w:sz w:val="21"/>
                      <w:vertAlign w:val="subscript"/>
                      <w:lang w:val="en-US" w:eastAsia="zh-CN"/>
                    </w:rPr>
                    <w:t>1-1</w:t>
                  </w:r>
                  <w:r>
                    <w:rPr>
                      <w:rFonts w:hint="eastAsia"/>
                      <w:color w:val="auto"/>
                      <w:sz w:val="21"/>
                      <w:vertAlign w:val="baseline"/>
                      <w:lang w:val="en-US" w:eastAsia="zh-CN"/>
                    </w:rPr>
                    <w:t>、S</w:t>
                  </w:r>
                  <w:r>
                    <w:rPr>
                      <w:rFonts w:hint="eastAsia"/>
                      <w:color w:val="auto"/>
                      <w:sz w:val="21"/>
                      <w:vertAlign w:val="subscript"/>
                      <w:lang w:val="en-US" w:eastAsia="zh-CN"/>
                    </w:rPr>
                    <w:t>1-2</w:t>
                  </w:r>
                </w:p>
              </w:tc>
            </w:tr>
            <w:tr w14:paraId="3F073A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648" w:type="dxa"/>
                  <w:vMerge w:val="continue"/>
                  <w:noWrap w:val="0"/>
                  <w:vAlign w:val="center"/>
                </w:tcPr>
                <w:p w14:paraId="18EC61E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3435E78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noWrap w:val="0"/>
                  <w:vAlign w:val="center"/>
                </w:tcPr>
                <w:p w14:paraId="454D869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废包装袋</w:t>
                  </w:r>
                </w:p>
              </w:tc>
              <w:tc>
                <w:tcPr>
                  <w:tcW w:w="1577" w:type="dxa"/>
                  <w:noWrap w:val="0"/>
                  <w:vAlign w:val="center"/>
                </w:tcPr>
                <w:p w14:paraId="1F27A94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原辅料包装</w:t>
                  </w:r>
                </w:p>
              </w:tc>
              <w:tc>
                <w:tcPr>
                  <w:tcW w:w="2050" w:type="dxa"/>
                  <w:vMerge w:val="continue"/>
                  <w:noWrap w:val="0"/>
                  <w:vAlign w:val="center"/>
                </w:tcPr>
                <w:p w14:paraId="04B46B7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25AB779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lang w:val="en-US" w:eastAsia="zh-CN"/>
                    </w:rPr>
                    <w:t>S</w:t>
                  </w:r>
                  <w:r>
                    <w:rPr>
                      <w:rFonts w:hint="eastAsia"/>
                      <w:color w:val="auto"/>
                      <w:sz w:val="21"/>
                      <w:vertAlign w:val="subscript"/>
                      <w:lang w:val="en-US" w:eastAsia="zh-CN"/>
                    </w:rPr>
                    <w:t>2</w:t>
                  </w:r>
                </w:p>
              </w:tc>
            </w:tr>
            <w:tr w14:paraId="7A86A4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48" w:type="dxa"/>
                  <w:vMerge w:val="continue"/>
                  <w:noWrap w:val="0"/>
                  <w:vAlign w:val="center"/>
                </w:tcPr>
                <w:p w14:paraId="35161D7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5E189F1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noWrap w:val="0"/>
                  <w:vAlign w:val="center"/>
                </w:tcPr>
                <w:p w14:paraId="3EBC328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收集粉尘</w:t>
                  </w:r>
                </w:p>
              </w:tc>
              <w:tc>
                <w:tcPr>
                  <w:tcW w:w="1577" w:type="dxa"/>
                  <w:noWrap w:val="0"/>
                  <w:vAlign w:val="center"/>
                </w:tcPr>
                <w:p w14:paraId="69213B1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颗粒物治理</w:t>
                  </w:r>
                </w:p>
              </w:tc>
              <w:tc>
                <w:tcPr>
                  <w:tcW w:w="2050" w:type="dxa"/>
                  <w:vMerge w:val="continue"/>
                  <w:noWrap w:val="0"/>
                  <w:vAlign w:val="center"/>
                </w:tcPr>
                <w:p w14:paraId="3BCEA4E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2FE930A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3</w:t>
                  </w:r>
                </w:p>
              </w:tc>
            </w:tr>
            <w:tr w14:paraId="385E2E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48" w:type="dxa"/>
                  <w:vMerge w:val="continue"/>
                  <w:noWrap w:val="0"/>
                  <w:vAlign w:val="center"/>
                </w:tcPr>
                <w:p w14:paraId="175FF64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47DD7E6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noWrap w:val="0"/>
                  <w:vAlign w:val="center"/>
                </w:tcPr>
                <w:p w14:paraId="415396B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不合格品</w:t>
                  </w:r>
                </w:p>
              </w:tc>
              <w:tc>
                <w:tcPr>
                  <w:tcW w:w="1577" w:type="dxa"/>
                  <w:noWrap w:val="0"/>
                  <w:vAlign w:val="center"/>
                </w:tcPr>
                <w:p w14:paraId="092E013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检验</w:t>
                  </w:r>
                </w:p>
              </w:tc>
              <w:tc>
                <w:tcPr>
                  <w:tcW w:w="2050" w:type="dxa"/>
                  <w:noWrap w:val="0"/>
                  <w:vAlign w:val="center"/>
                </w:tcPr>
                <w:p w14:paraId="79D69CB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回用</w:t>
                  </w:r>
                </w:p>
              </w:tc>
              <w:tc>
                <w:tcPr>
                  <w:tcW w:w="1040" w:type="dxa"/>
                  <w:noWrap w:val="0"/>
                  <w:vAlign w:val="center"/>
                </w:tcPr>
                <w:p w14:paraId="52FE627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4</w:t>
                  </w:r>
                </w:p>
              </w:tc>
            </w:tr>
            <w:tr w14:paraId="07DA78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7955C31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2FEDC3A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7738A0B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rPr>
                    <w:t>废活性炭</w:t>
                  </w:r>
                </w:p>
              </w:tc>
              <w:tc>
                <w:tcPr>
                  <w:tcW w:w="1577" w:type="dxa"/>
                  <w:noWrap w:val="0"/>
                  <w:vAlign w:val="center"/>
                </w:tcPr>
                <w:p w14:paraId="3564B01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有机废气治理</w:t>
                  </w:r>
                </w:p>
              </w:tc>
              <w:tc>
                <w:tcPr>
                  <w:tcW w:w="2050" w:type="dxa"/>
                  <w:vMerge w:val="restart"/>
                  <w:noWrap w:val="0"/>
                  <w:vAlign w:val="center"/>
                </w:tcPr>
                <w:p w14:paraId="5F263E2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委托有危废处置资质单位处置</w:t>
                  </w:r>
                </w:p>
              </w:tc>
              <w:tc>
                <w:tcPr>
                  <w:tcW w:w="1040" w:type="dxa"/>
                  <w:noWrap w:val="0"/>
                  <w:vAlign w:val="center"/>
                </w:tcPr>
                <w:p w14:paraId="303B04B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5</w:t>
                  </w:r>
                </w:p>
              </w:tc>
            </w:tr>
            <w:tr w14:paraId="16F184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789A61A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6459E1F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214E2F3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废液压油</w:t>
                  </w:r>
                </w:p>
              </w:tc>
              <w:tc>
                <w:tcPr>
                  <w:tcW w:w="1577" w:type="dxa"/>
                  <w:noWrap w:val="0"/>
                  <w:vAlign w:val="center"/>
                </w:tcPr>
                <w:p w14:paraId="1022971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设备维护</w:t>
                  </w:r>
                </w:p>
              </w:tc>
              <w:tc>
                <w:tcPr>
                  <w:tcW w:w="2050" w:type="dxa"/>
                  <w:vMerge w:val="continue"/>
                  <w:noWrap w:val="0"/>
                  <w:vAlign w:val="center"/>
                </w:tcPr>
                <w:p w14:paraId="2F64B61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76CC82D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6</w:t>
                  </w:r>
                </w:p>
              </w:tc>
            </w:tr>
            <w:tr w14:paraId="18219E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0ECC815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6DB2443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6500688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废劳保用品</w:t>
                  </w:r>
                </w:p>
              </w:tc>
              <w:tc>
                <w:tcPr>
                  <w:tcW w:w="1577" w:type="dxa"/>
                  <w:noWrap w:val="0"/>
                  <w:vAlign w:val="center"/>
                </w:tcPr>
                <w:p w14:paraId="60C7097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设备维护</w:t>
                  </w:r>
                </w:p>
              </w:tc>
              <w:tc>
                <w:tcPr>
                  <w:tcW w:w="2050" w:type="dxa"/>
                  <w:vMerge w:val="continue"/>
                  <w:noWrap w:val="0"/>
                  <w:vAlign w:val="center"/>
                </w:tcPr>
                <w:p w14:paraId="60EBFF7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1C88FAA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7</w:t>
                  </w:r>
                </w:p>
              </w:tc>
            </w:tr>
            <w:tr w14:paraId="370141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648" w:type="dxa"/>
                  <w:vMerge w:val="continue"/>
                  <w:noWrap w:val="0"/>
                  <w:vAlign w:val="center"/>
                </w:tcPr>
                <w:p w14:paraId="618223D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7474C03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3C62A0B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废包装桶</w:t>
                  </w:r>
                </w:p>
              </w:tc>
              <w:tc>
                <w:tcPr>
                  <w:tcW w:w="1577" w:type="dxa"/>
                  <w:noWrap w:val="0"/>
                  <w:vAlign w:val="center"/>
                </w:tcPr>
                <w:p w14:paraId="40F0C4F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不饱和聚酯树脂、固化剂、液压油、色拉油包装</w:t>
                  </w:r>
                </w:p>
              </w:tc>
              <w:tc>
                <w:tcPr>
                  <w:tcW w:w="2050" w:type="dxa"/>
                  <w:vMerge w:val="continue"/>
                  <w:noWrap w:val="0"/>
                  <w:vAlign w:val="center"/>
                </w:tcPr>
                <w:p w14:paraId="05973BC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p>
              </w:tc>
              <w:tc>
                <w:tcPr>
                  <w:tcW w:w="1040" w:type="dxa"/>
                  <w:noWrap w:val="0"/>
                  <w:vAlign w:val="center"/>
                </w:tcPr>
                <w:p w14:paraId="6EF4F8B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8</w:t>
                  </w:r>
                </w:p>
              </w:tc>
            </w:tr>
            <w:tr w14:paraId="28FF4A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648" w:type="dxa"/>
                  <w:vMerge w:val="continue"/>
                  <w:noWrap w:val="0"/>
                  <w:vAlign w:val="center"/>
                </w:tcPr>
                <w:p w14:paraId="277185A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1F15524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66C4682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生活垃圾</w:t>
                  </w:r>
                </w:p>
              </w:tc>
              <w:tc>
                <w:tcPr>
                  <w:tcW w:w="1577" w:type="dxa"/>
                  <w:noWrap w:val="0"/>
                  <w:vAlign w:val="center"/>
                </w:tcPr>
                <w:p w14:paraId="75B5AAF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员工工作生活</w:t>
                  </w:r>
                </w:p>
              </w:tc>
              <w:tc>
                <w:tcPr>
                  <w:tcW w:w="2050" w:type="dxa"/>
                  <w:noWrap w:val="0"/>
                  <w:vAlign w:val="center"/>
                </w:tcPr>
                <w:p w14:paraId="42EAAAA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环卫部门统一清运</w:t>
                  </w:r>
                </w:p>
              </w:tc>
              <w:tc>
                <w:tcPr>
                  <w:tcW w:w="1040" w:type="dxa"/>
                  <w:noWrap w:val="0"/>
                  <w:vAlign w:val="center"/>
                </w:tcPr>
                <w:p w14:paraId="7BB82EA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vertAlign w:val="subscript"/>
                      <w:lang w:val="en-US" w:eastAsia="zh-CN"/>
                    </w:rPr>
                  </w:pPr>
                  <w:r>
                    <w:rPr>
                      <w:rFonts w:hint="eastAsia"/>
                      <w:color w:val="auto"/>
                      <w:sz w:val="21"/>
                      <w:lang w:val="en-US" w:eastAsia="zh-CN"/>
                    </w:rPr>
                    <w:t>S</w:t>
                  </w:r>
                  <w:r>
                    <w:rPr>
                      <w:rFonts w:hint="eastAsia"/>
                      <w:color w:val="auto"/>
                      <w:sz w:val="21"/>
                      <w:vertAlign w:val="subscript"/>
                      <w:lang w:val="en-US" w:eastAsia="zh-CN"/>
                    </w:rPr>
                    <w:t>9</w:t>
                  </w:r>
                </w:p>
              </w:tc>
            </w:tr>
          </w:tbl>
          <w:p w14:paraId="21C54403">
            <w:pPr>
              <w:adjustRightInd w:val="0"/>
              <w:snapToGrid w:val="0"/>
              <w:rPr>
                <w:rFonts w:ascii="宋体" w:hAnsi="宋体"/>
                <w:bCs/>
                <w:color w:val="auto"/>
                <w:szCs w:val="21"/>
              </w:rPr>
            </w:pPr>
          </w:p>
        </w:tc>
      </w:tr>
      <w:tr w14:paraId="3DA1B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29" w:hRule="atLeast"/>
          <w:jc w:val="center"/>
        </w:trPr>
        <w:tc>
          <w:tcPr>
            <w:tcW w:w="823" w:type="dxa"/>
            <w:noWrap w:val="0"/>
            <w:vAlign w:val="center"/>
          </w:tcPr>
          <w:p w14:paraId="1DDDCB40">
            <w:pPr>
              <w:pStyle w:val="16"/>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161" w:type="dxa"/>
            <w:noWrap w:val="0"/>
            <w:vAlign w:val="top"/>
          </w:tcPr>
          <w:p w14:paraId="2FF85D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Cs w:val="21"/>
              </w:rPr>
            </w:pPr>
            <w:r>
              <w:rPr>
                <w:rFonts w:hint="eastAsia"/>
                <w:color w:val="auto"/>
                <w:sz w:val="24"/>
                <w:lang w:val="en-US" w:eastAsia="zh-CN"/>
              </w:rPr>
              <w:t>涟水呈颖模塑有限公司租赁江苏涟水经济开发区炎黄大道99号上水创业园28号厂房进行塑料手柄生产</w:t>
            </w:r>
            <w:r>
              <w:rPr>
                <w:rFonts w:hint="eastAsia"/>
                <w:color w:val="auto"/>
                <w:sz w:val="24"/>
              </w:rPr>
              <w:t>，</w:t>
            </w:r>
            <w:r>
              <w:rPr>
                <w:rFonts w:hint="eastAsia"/>
                <w:color w:val="auto"/>
                <w:sz w:val="24"/>
                <w:lang w:val="en-US" w:eastAsia="zh-CN"/>
              </w:rPr>
              <w:t>项目</w:t>
            </w:r>
            <w:r>
              <w:rPr>
                <w:rFonts w:hint="eastAsia"/>
                <w:color w:val="auto"/>
                <w:sz w:val="24"/>
              </w:rPr>
              <w:t>占地面积</w:t>
            </w:r>
            <w:r>
              <w:rPr>
                <w:rFonts w:hint="eastAsia"/>
                <w:color w:val="auto"/>
                <w:sz w:val="24"/>
                <w:lang w:val="en-US" w:eastAsia="zh-CN"/>
              </w:rPr>
              <w:t>1951</w:t>
            </w:r>
            <w:r>
              <w:rPr>
                <w:rFonts w:hint="eastAsia"/>
                <w:color w:val="auto"/>
                <w:sz w:val="24"/>
              </w:rPr>
              <w:t>m</w:t>
            </w:r>
            <w:r>
              <w:rPr>
                <w:rFonts w:hint="eastAsia"/>
                <w:color w:val="auto"/>
                <w:sz w:val="24"/>
                <w:vertAlign w:val="superscript"/>
              </w:rPr>
              <w:t>2</w:t>
            </w:r>
            <w:r>
              <w:rPr>
                <w:rFonts w:hint="eastAsia"/>
                <w:color w:val="auto"/>
                <w:sz w:val="24"/>
                <w:lang w:val="en-US" w:eastAsia="zh-CN"/>
              </w:rPr>
              <w:t>，总建筑面积1364.21m</w:t>
            </w:r>
            <w:r>
              <w:rPr>
                <w:rFonts w:hint="eastAsia"/>
                <w:color w:val="auto"/>
                <w:sz w:val="24"/>
                <w:vertAlign w:val="superscript"/>
                <w:lang w:val="en-US" w:eastAsia="zh-CN"/>
              </w:rPr>
              <w:t>2</w:t>
            </w:r>
            <w:r>
              <w:rPr>
                <w:rFonts w:hint="eastAsia"/>
                <w:color w:val="auto"/>
                <w:sz w:val="24"/>
                <w:lang w:val="en-US" w:eastAsia="zh-CN"/>
              </w:rPr>
              <w:t>，租赁厂房无历史污染问题</w:t>
            </w:r>
            <w:r>
              <w:rPr>
                <w:rFonts w:hint="eastAsia"/>
                <w:color w:val="auto"/>
                <w:sz w:val="24"/>
              </w:rPr>
              <w:t>。</w:t>
            </w:r>
          </w:p>
        </w:tc>
      </w:tr>
    </w:tbl>
    <w:p w14:paraId="46849D2C">
      <w:pPr>
        <w:pStyle w:val="16"/>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4EF68F5">
      <w:pPr>
        <w:pStyle w:val="16"/>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14:paraId="614B15DC">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8614"/>
      </w:tblGrid>
      <w:tr w14:paraId="2AE06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0" w:type="dxa"/>
            <w:noWrap w:val="0"/>
            <w:vAlign w:val="center"/>
          </w:tcPr>
          <w:p w14:paraId="64D68AC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14:paraId="5B870F8E">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6B0228C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14:paraId="6B5965E8">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noWrap w:val="0"/>
            <w:vAlign w:val="center"/>
          </w:tcPr>
          <w:p w14:paraId="7246C92F">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b w:val="0"/>
                <w:bCs w:val="0"/>
                <w:color w:val="auto"/>
                <w:sz w:val="24"/>
              </w:rPr>
            </w:pPr>
            <w:r>
              <w:rPr>
                <w:rFonts w:ascii="Times New Roman" w:hAnsi="Times New Roman" w:eastAsia="宋体" w:cs="Times New Roman"/>
                <w:b w:val="0"/>
                <w:bCs w:val="0"/>
                <w:color w:val="auto"/>
                <w:kern w:val="2"/>
                <w:sz w:val="24"/>
                <w:szCs w:val="24"/>
                <w:lang w:val="en-US" w:eastAsia="zh-CN" w:bidi="ar-SA"/>
              </w:rPr>
              <w:t>1、</w:t>
            </w:r>
            <w:r>
              <w:rPr>
                <w:b w:val="0"/>
                <w:bCs w:val="0"/>
                <w:color w:val="auto"/>
                <w:sz w:val="24"/>
              </w:rPr>
              <w:t>大气环境</w:t>
            </w:r>
            <w:r>
              <w:rPr>
                <w:rFonts w:hint="eastAsia"/>
                <w:b w:val="0"/>
                <w:bCs w:val="0"/>
                <w:color w:val="auto"/>
                <w:sz w:val="24"/>
              </w:rPr>
              <w:t>质量</w:t>
            </w:r>
            <w:r>
              <w:rPr>
                <w:b w:val="0"/>
                <w:bCs w:val="0"/>
                <w:color w:val="auto"/>
                <w:sz w:val="24"/>
              </w:rPr>
              <w:t>现状</w:t>
            </w:r>
          </w:p>
          <w:p w14:paraId="713922AD">
            <w:pPr>
              <w:keepNext w:val="0"/>
              <w:keepLines w:val="0"/>
              <w:pageBreakBefore w:val="0"/>
              <w:kinsoku/>
              <w:wordWrap/>
              <w:overflowPunct/>
              <w:topLinePunct w:val="0"/>
              <w:bidi w:val="0"/>
              <w:spacing w:line="360" w:lineRule="auto"/>
              <w:ind w:firstLine="480" w:firstLineChars="200"/>
              <w:textAlignment w:val="auto"/>
              <w:rPr>
                <w:color w:val="auto"/>
                <w:sz w:val="24"/>
              </w:rPr>
            </w:pPr>
            <w:r>
              <w:rPr>
                <w:rFonts w:hint="eastAsia"/>
                <w:color w:val="auto"/>
                <w:sz w:val="24"/>
              </w:rPr>
              <w:t>（1）环境空气达标判定</w:t>
            </w:r>
          </w:p>
          <w:p w14:paraId="4931717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rPr>
            </w:pPr>
            <w:r>
              <w:rPr>
                <w:color w:val="auto"/>
                <w:sz w:val="24"/>
              </w:rPr>
              <w:t>本项目位于</w:t>
            </w:r>
            <w:r>
              <w:rPr>
                <w:rFonts w:hint="eastAsia"/>
                <w:color w:val="auto"/>
                <w:sz w:val="24"/>
              </w:rPr>
              <w:t>淮安市</w:t>
            </w:r>
            <w:r>
              <w:rPr>
                <w:rFonts w:hint="eastAsia"/>
                <w:color w:val="auto"/>
                <w:sz w:val="24"/>
                <w:lang w:eastAsia="zh-CN"/>
              </w:rPr>
              <w:t>涟水县</w:t>
            </w:r>
            <w:r>
              <w:rPr>
                <w:rFonts w:hint="eastAsia"/>
                <w:color w:val="auto"/>
                <w:sz w:val="24"/>
                <w:lang w:val="en-US" w:eastAsia="zh-CN"/>
              </w:rPr>
              <w:t>经济开发区</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r>
              <w:rPr>
                <w:rFonts w:hint="eastAsia"/>
                <w:color w:val="auto"/>
                <w:sz w:val="24"/>
                <w:szCs w:val="24"/>
              </w:rPr>
              <w:t>根据《202</w:t>
            </w:r>
            <w:r>
              <w:rPr>
                <w:rFonts w:hint="eastAsia"/>
                <w:color w:val="auto"/>
                <w:sz w:val="24"/>
                <w:szCs w:val="24"/>
                <w:lang w:val="en-US" w:eastAsia="zh-CN"/>
              </w:rPr>
              <w:t>3</w:t>
            </w:r>
            <w:r>
              <w:rPr>
                <w:rFonts w:hint="eastAsia"/>
                <w:color w:val="auto"/>
                <w:sz w:val="24"/>
                <w:szCs w:val="24"/>
              </w:rPr>
              <w:t>年淮安市生态环境状况公报》，2023年，全市细颗粒物（PM</w:t>
            </w:r>
            <w:r>
              <w:rPr>
                <w:rFonts w:hint="eastAsia"/>
                <w:color w:val="auto"/>
                <w:sz w:val="24"/>
                <w:szCs w:val="24"/>
                <w:vertAlign w:val="subscript"/>
              </w:rPr>
              <w:t>2.</w:t>
            </w:r>
            <w:r>
              <w:rPr>
                <w:rFonts w:hint="eastAsia"/>
                <w:color w:val="auto"/>
                <w:sz w:val="24"/>
                <w:szCs w:val="24"/>
                <w:vertAlign w:val="subscript"/>
                <w:lang w:eastAsia="zh-CN"/>
              </w:rPr>
              <w:t>5）</w:t>
            </w:r>
            <w:r>
              <w:rPr>
                <w:rFonts w:hint="eastAsia"/>
                <w:color w:val="auto"/>
                <w:sz w:val="24"/>
                <w:szCs w:val="24"/>
              </w:rPr>
              <w:t>可吸入颗粒物（PM</w:t>
            </w:r>
            <w:r>
              <w:rPr>
                <w:rFonts w:hint="eastAsia"/>
                <w:color w:val="auto"/>
                <w:sz w:val="24"/>
                <w:szCs w:val="24"/>
                <w:vertAlign w:val="subscript"/>
              </w:rPr>
              <w:t>10</w:t>
            </w:r>
            <w:r>
              <w:rPr>
                <w:rFonts w:hint="eastAsia"/>
                <w:color w:val="auto"/>
                <w:sz w:val="24"/>
                <w:szCs w:val="24"/>
              </w:rPr>
              <w:t>）、二氧化硫（SO</w:t>
            </w:r>
            <w:r>
              <w:rPr>
                <w:rFonts w:hint="eastAsia"/>
                <w:color w:val="auto"/>
                <w:sz w:val="24"/>
                <w:szCs w:val="24"/>
                <w:vertAlign w:val="subscript"/>
              </w:rPr>
              <w:t>2</w:t>
            </w:r>
            <w:r>
              <w:rPr>
                <w:rFonts w:hint="eastAsia"/>
                <w:color w:val="auto"/>
                <w:sz w:val="24"/>
                <w:szCs w:val="24"/>
              </w:rPr>
              <w:t>）、二氧化氮（NO</w:t>
            </w:r>
            <w:r>
              <w:rPr>
                <w:rFonts w:hint="eastAsia"/>
                <w:color w:val="auto"/>
                <w:sz w:val="24"/>
                <w:szCs w:val="24"/>
                <w:vertAlign w:val="subscript"/>
              </w:rPr>
              <w:t>2</w:t>
            </w:r>
            <w:r>
              <w:rPr>
                <w:rFonts w:hint="eastAsia"/>
                <w:color w:val="auto"/>
                <w:sz w:val="24"/>
                <w:szCs w:val="24"/>
              </w:rPr>
              <w:t>）、一氧化碳（CO）和臭氧（O</w:t>
            </w:r>
            <w:r>
              <w:rPr>
                <w:rFonts w:hint="eastAsia"/>
                <w:color w:val="auto"/>
                <w:sz w:val="24"/>
                <w:szCs w:val="24"/>
                <w:vertAlign w:val="subscript"/>
              </w:rPr>
              <w:t>3</w:t>
            </w:r>
            <w:r>
              <w:rPr>
                <w:rFonts w:hint="eastAsia"/>
                <w:color w:val="auto"/>
                <w:sz w:val="24"/>
                <w:szCs w:val="24"/>
              </w:rPr>
              <w:t>）年均浓度分别为36微克/立方米、58微克/立方米、8微克/立方米、25微克/立方米、1.0毫克/立方米、158微克/立方米。与2022年相比，O</w:t>
            </w:r>
            <w:r>
              <w:rPr>
                <w:rFonts w:hint="eastAsia"/>
                <w:color w:val="auto"/>
                <w:sz w:val="24"/>
                <w:szCs w:val="24"/>
                <w:vertAlign w:val="subscript"/>
              </w:rPr>
              <w:t>3</w:t>
            </w:r>
            <w:r>
              <w:rPr>
                <w:rFonts w:hint="eastAsia"/>
                <w:color w:val="auto"/>
                <w:sz w:val="24"/>
                <w:szCs w:val="24"/>
              </w:rPr>
              <w:t>污染有所改善，O</w:t>
            </w:r>
            <w:r>
              <w:rPr>
                <w:rFonts w:hint="eastAsia"/>
                <w:color w:val="auto"/>
                <w:sz w:val="24"/>
                <w:szCs w:val="24"/>
                <w:vertAlign w:val="subscript"/>
              </w:rPr>
              <w:t>3</w:t>
            </w:r>
            <w:r>
              <w:rPr>
                <w:rFonts w:hint="eastAsia"/>
                <w:color w:val="auto"/>
                <w:sz w:val="24"/>
                <w:szCs w:val="24"/>
              </w:rPr>
              <w:t>为首要污染物的超标天减少3天，PM</w:t>
            </w:r>
            <w:r>
              <w:rPr>
                <w:rFonts w:hint="eastAsia"/>
                <w:color w:val="auto"/>
                <w:sz w:val="24"/>
                <w:szCs w:val="24"/>
                <w:vertAlign w:val="subscript"/>
              </w:rPr>
              <w:t>2.5</w:t>
            </w:r>
            <w:r>
              <w:rPr>
                <w:rFonts w:hint="eastAsia"/>
                <w:color w:val="auto"/>
                <w:sz w:val="24"/>
                <w:szCs w:val="24"/>
              </w:rPr>
              <w:t>浓度有所反弹，PM</w:t>
            </w:r>
            <w:r>
              <w:rPr>
                <w:rFonts w:hint="eastAsia"/>
                <w:color w:val="auto"/>
                <w:sz w:val="24"/>
                <w:szCs w:val="24"/>
                <w:vertAlign w:val="subscript"/>
              </w:rPr>
              <w:t>2.5</w:t>
            </w:r>
            <w:r>
              <w:rPr>
                <w:rFonts w:hint="eastAsia"/>
                <w:color w:val="auto"/>
                <w:sz w:val="24"/>
                <w:szCs w:val="24"/>
              </w:rPr>
              <w:t>为首要污染物的超标天增加7天。PM</w:t>
            </w:r>
            <w:r>
              <w:rPr>
                <w:rFonts w:hint="eastAsia"/>
                <w:color w:val="auto"/>
                <w:sz w:val="24"/>
                <w:szCs w:val="24"/>
                <w:vertAlign w:val="subscript"/>
              </w:rPr>
              <w:t>10</w:t>
            </w:r>
            <w:r>
              <w:rPr>
                <w:rFonts w:hint="eastAsia"/>
                <w:color w:val="auto"/>
                <w:sz w:val="24"/>
                <w:szCs w:val="24"/>
              </w:rPr>
              <w:t>、SO</w:t>
            </w:r>
            <w:r>
              <w:rPr>
                <w:rFonts w:hint="eastAsia"/>
                <w:color w:val="auto"/>
                <w:sz w:val="24"/>
                <w:szCs w:val="24"/>
                <w:vertAlign w:val="subscript"/>
              </w:rPr>
              <w:t>2</w:t>
            </w:r>
            <w:r>
              <w:rPr>
                <w:rFonts w:hint="eastAsia"/>
                <w:color w:val="auto"/>
                <w:sz w:val="24"/>
                <w:szCs w:val="24"/>
              </w:rPr>
              <w:t>、O</w:t>
            </w:r>
            <w:r>
              <w:rPr>
                <w:rFonts w:hint="eastAsia"/>
                <w:color w:val="auto"/>
                <w:sz w:val="24"/>
                <w:szCs w:val="24"/>
                <w:vertAlign w:val="subscript"/>
              </w:rPr>
              <w:t>3</w:t>
            </w:r>
            <w:r>
              <w:rPr>
                <w:rFonts w:hint="eastAsia"/>
                <w:color w:val="auto"/>
                <w:sz w:val="24"/>
                <w:szCs w:val="24"/>
              </w:rPr>
              <w:t>降幅分别为3.3%、11.1%、0.6%。</w:t>
            </w:r>
            <w:r>
              <w:rPr>
                <w:rFonts w:hint="default" w:ascii="Times New Roman" w:hAnsi="Times New Roman" w:eastAsia="宋体" w:cs="Times New Roman"/>
                <w:color w:val="auto"/>
                <w:sz w:val="24"/>
              </w:rPr>
              <w:t>可吸入颗粒物（PM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）、二氧化硫（SO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）、二氧化氮（NO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一氧化碳（CO）和臭氧（O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kern w:val="0"/>
                <w:sz w:val="24"/>
                <w:szCs w:val="24"/>
                <w:lang w:val="en-US" w:eastAsia="zh-CN" w:bidi="ar"/>
              </w:rPr>
              <w:t>浓度均达到国家二级标准限值，</w:t>
            </w:r>
            <w:r>
              <w:rPr>
                <w:rFonts w:hint="default" w:ascii="Times New Roman" w:hAnsi="Times New Roman" w:eastAsia="宋体" w:cs="Times New Roman"/>
                <w:color w:val="auto"/>
                <w:sz w:val="24"/>
              </w:rPr>
              <w:t>细颗粒物（PM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年均浓度超标。因此，2023年本项目所在区域环境空气质量为不达标区。</w:t>
            </w:r>
          </w:p>
          <w:p w14:paraId="1A6B18F9">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市委、市政府高度重视组织召开全市生态环境保护大会，动员部署市、县(区)镇(街)三级全覆盖，出台《淮安市推进生态文明建设实施方案》。市委、市政府主要领导全面加强工作部署、指挥调度，多次召开市委常委会、市政府常务会、市政府专题会议研究生态环境保护工作，多次深入国省考断面、大气国控站点、突出环境问题整改点位进行督办会办，推动工作落实。优化市对县区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浓度、优良天数比率考核细则。持续开展空气质量改善行动以及</w:t>
            </w:r>
            <w:r>
              <w:rPr>
                <w:rFonts w:hint="eastAsia" w:cs="Times New Roman"/>
                <w:color w:val="auto"/>
                <w:sz w:val="24"/>
                <w:lang w:eastAsia="zh-CN"/>
              </w:rPr>
              <w:t>“</w:t>
            </w:r>
            <w:r>
              <w:rPr>
                <w:rFonts w:hint="default" w:ascii="Times New Roman" w:hAnsi="Times New Roman" w:cs="Times New Roman"/>
                <w:color w:val="auto"/>
                <w:sz w:val="24"/>
              </w:rPr>
              <w:t>开展三源整治、留住蓝天白云</w:t>
            </w:r>
            <w:r>
              <w:rPr>
                <w:rFonts w:hint="eastAsia" w:cs="Times New Roman"/>
                <w:color w:val="auto"/>
                <w:sz w:val="24"/>
                <w:lang w:eastAsia="zh-CN"/>
              </w:rPr>
              <w:t>”</w:t>
            </w:r>
            <w:r>
              <w:rPr>
                <w:rFonts w:hint="default" w:ascii="Times New Roman" w:hAnsi="Times New Roman" w:cs="Times New Roman"/>
                <w:color w:val="auto"/>
                <w:sz w:val="24"/>
              </w:rPr>
              <w:t>扬尘管控集中整治行动，深入推进</w:t>
            </w:r>
            <w:r>
              <w:rPr>
                <w:rFonts w:hint="eastAsia" w:cs="Times New Roman"/>
                <w:color w:val="auto"/>
                <w:sz w:val="24"/>
                <w:lang w:eastAsia="zh-CN"/>
              </w:rPr>
              <w:t>“</w:t>
            </w:r>
            <w:r>
              <w:rPr>
                <w:rFonts w:hint="default" w:ascii="Times New Roman" w:hAnsi="Times New Roman" w:cs="Times New Roman"/>
                <w:color w:val="auto"/>
                <w:sz w:val="24"/>
              </w:rPr>
              <w:t>48小时+12天</w:t>
            </w:r>
            <w:r>
              <w:rPr>
                <w:rFonts w:hint="eastAsia" w:cs="Times New Roman"/>
                <w:color w:val="auto"/>
                <w:sz w:val="24"/>
                <w:lang w:eastAsia="zh-CN"/>
              </w:rPr>
              <w:t>”</w:t>
            </w:r>
            <w:r>
              <w:rPr>
                <w:rFonts w:hint="default" w:ascii="Times New Roman" w:hAnsi="Times New Roman" w:cs="Times New Roman"/>
                <w:color w:val="auto"/>
                <w:sz w:val="24"/>
              </w:rPr>
              <w:t>大气环境质量改善专项攻坚。实施重点治气工程，淘汰国三及以下排放标准柴油货车。同时，《淮安市2024年大气污染防治工作计划》（淮污防攻坚指办〔2024〕50 号）整治计划的落实，环境空气质量将逐渐改善，能够满足区域环境质量改善目标管理的要求。</w:t>
            </w:r>
          </w:p>
          <w:p w14:paraId="0F3848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《工作计划》明确了工作目标：全市PM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35微克/立方米左右，优良天数比率达到81.2%左右，臭氧浓度增长趋势得到有效遏制。完成省下达的氮氧化物4340吨、挥发性有机物3466吨的重点工程减排量目标。并提出以下重点任务：（一）优化产业结构，促进产业产品绿色升级；（二）优化能源结构，加速能源清洁低碳高效发展；（三）优化交通结构，大力发展绿色运输体系；（四）聚焦重点行业，推进大气污染综合治理；（五）开展 VOCs 大会战，持续压降 VOCs 浓度；（六）强化面源污染治理，提升精细化管理水平；（七）强化执法检查和监督帮扶，加强污染过程应对；（八）加强能力建设，健全标准体系。</w:t>
            </w:r>
          </w:p>
          <w:p w14:paraId="057D2FE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随着《淮安市2024年大气污染防治工作计划》（淮污防攻坚指办〔2024〕50 号）的逐步落实，淮安市环境空气质量将逐渐得到改善，能够满足区域环境质量改善目标管理的要求。</w:t>
            </w:r>
          </w:p>
          <w:p w14:paraId="00B794A8">
            <w:pPr>
              <w:keepNext w:val="0"/>
              <w:keepLines w:val="0"/>
              <w:pageBreakBefore w:val="0"/>
              <w:kinsoku/>
              <w:wordWrap/>
              <w:overflowPunct/>
              <w:topLinePunct w:val="0"/>
              <w:bidi w:val="0"/>
              <w:adjustRightInd w:val="0"/>
              <w:spacing w:line="360" w:lineRule="auto"/>
              <w:ind w:firstLine="480" w:firstLineChars="200"/>
              <w:textAlignment w:val="auto"/>
              <w:rPr>
                <w:b w:val="0"/>
                <w:bCs w:val="0"/>
                <w:color w:val="auto"/>
                <w:sz w:val="24"/>
              </w:rPr>
            </w:pPr>
            <w:r>
              <w:rPr>
                <w:b w:val="0"/>
                <w:bCs w:val="0"/>
                <w:color w:val="auto"/>
                <w:sz w:val="24"/>
              </w:rPr>
              <w:t>2、地表水环境质量现状</w:t>
            </w:r>
          </w:p>
          <w:p w14:paraId="06DA3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根据《2023年淮安市生态环境状况公报》：2023年淮安市水环境质量总体较好，优I比例超过省定考核指标，27条主要河流水质状况达优良，湖泊水质保持稳定，饮用水源地水质稳定达标，地下水水质稳中趋好。纳入</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十四五</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国家地表水环境质量考核的11个国考断面中，年均水质达到或好于Ⅲ类标准的断面9个(Ⅱ类断面4个)，优Ⅲ比例81.8%，达标率100%，无V类和劣V类断面。纳入江苏省</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十四五</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水环境质量目标考核的57个断面中水质达到或好于</w:t>
            </w:r>
            <w:r>
              <w:rPr>
                <w:rFonts w:hint="eastAsia" w:cs="Times New Roman"/>
                <w:color w:val="auto"/>
                <w:kern w:val="0"/>
                <w:sz w:val="24"/>
                <w:szCs w:val="20"/>
                <w:lang w:val="en-US" w:eastAsia="zh-CN" w:bidi="ar-SA"/>
              </w:rPr>
              <w:t>Ⅲ</w:t>
            </w:r>
            <w:r>
              <w:rPr>
                <w:rFonts w:hint="default" w:ascii="Times New Roman" w:hAnsi="Times New Roman" w:eastAsia="宋体" w:cs="Times New Roman"/>
                <w:color w:val="auto"/>
                <w:kern w:val="0"/>
                <w:sz w:val="24"/>
                <w:szCs w:val="20"/>
                <w:lang w:val="en-US" w:eastAsia="zh-CN" w:bidi="ar-SA"/>
              </w:rPr>
              <w:t>类标准的断面有53个，优Ⅲ比例93%，达标率100%，无V类和劣V类断面。</w:t>
            </w:r>
          </w:p>
          <w:p w14:paraId="4A9F4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kern w:val="0"/>
                <w:sz w:val="24"/>
                <w:szCs w:val="20"/>
                <w:lang w:val="en-US" w:eastAsia="zh-CN" w:bidi="ar-SA"/>
              </w:rPr>
              <w:t>2023年，淮河、京杭大运河、苏北灌溉总渠、盐河、淮河入江水道、分淮入沂水道水质状况为优；入海水道南偏泓浔河、黄河故道、金宝航道、维桥河、利农河、南淮泗河张福河、团结河、高桥河、南六塘河、跃进河、汪木排河草泽河、唐响河、头溪河、运西河-新河、周桥灌区总干渠一帆河、铜龙河、池河水质状况为良好；入海水道北偏泓、赵公河、公兴河水质状况为轻度污染。</w:t>
            </w:r>
          </w:p>
          <w:p w14:paraId="32373BB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针对水环境保护，淮安市深入打好污染防治攻坚战指挥部办公室印发了</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eastAsia" w:ascii="Times New Roman" w:hAnsi="Times New Roman" w:eastAsia="宋体" w:cs="Times New Roman"/>
                <w:color w:val="auto"/>
                <w:sz w:val="24"/>
                <w:szCs w:val="24"/>
                <w:lang w:val="en-US" w:eastAsia="zh-CN"/>
              </w:rPr>
              <w:t>（以下简称《工作计划》）。</w:t>
            </w:r>
          </w:p>
          <w:p w14:paraId="324CBCA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《工作计划》明确了工作目标：（一）国省考断面优</w:t>
            </w:r>
            <w:r>
              <w:rPr>
                <w:rFonts w:hint="default" w:ascii="Times New Roman" w:hAnsi="Times New Roman" w:eastAsia="宋体" w:cs="Times New Roman"/>
                <w:color w:val="auto"/>
                <w:sz w:val="24"/>
                <w:szCs w:val="24"/>
                <w:lang w:val="en-US" w:eastAsia="zh-CN"/>
              </w:rPr>
              <w:t>Ⅲ</w:t>
            </w:r>
            <w:r>
              <w:rPr>
                <w:rFonts w:hint="eastAsia" w:ascii="Times New Roman" w:hAnsi="Times New Roman" w:eastAsia="宋体" w:cs="Times New Roman"/>
                <w:color w:val="auto"/>
                <w:sz w:val="24"/>
                <w:szCs w:val="24"/>
                <w:lang w:val="en-US" w:eastAsia="zh-CN"/>
              </w:rPr>
              <w:t>比例目标；（二）城镇生活污水集中收集处理率目标；（三）南水北调东线重要湖泊水环境质量目标；（四）主要水污染物总量减排目标。并提出以下主要任务：（一）强化重点水体保护；（二）加强工业污染防治；（三）深化城镇生活污染防治；（四）推进农业农村污染防治；（五）加强船舶港口污染监管；（六）推进水生态保护修复；（七）加强水资源保护利用；（八）促进</w:t>
            </w:r>
            <w:r>
              <w:rPr>
                <w:rFonts w:hint="eastAsia" w:cs="Times New Roman"/>
                <w:color w:val="auto"/>
                <w:sz w:val="24"/>
                <w:szCs w:val="24"/>
                <w:lang w:val="en-US" w:eastAsia="zh-CN"/>
              </w:rPr>
              <w:t>治理体系和治理能力现代化</w:t>
            </w:r>
            <w:r>
              <w:rPr>
                <w:rFonts w:hint="eastAsia" w:ascii="Times New Roman" w:hAnsi="Times New Roman" w:eastAsia="宋体" w:cs="Times New Roman"/>
                <w:color w:val="auto"/>
                <w:sz w:val="24"/>
                <w:szCs w:val="24"/>
                <w:lang w:val="en-US" w:eastAsia="zh-CN"/>
              </w:rPr>
              <w:t>。</w:t>
            </w:r>
          </w:p>
          <w:p w14:paraId="3C4068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kern w:val="0"/>
                <w:sz w:val="24"/>
                <w:szCs w:val="24"/>
                <w:lang w:val="en-US" w:eastAsia="zh-CN" w:bidi="ar"/>
              </w:rPr>
              <w:t>随着</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逐步</w:t>
            </w:r>
            <w:r>
              <w:rPr>
                <w:rFonts w:hint="default" w:ascii="Times New Roman" w:hAnsi="Times New Roman" w:eastAsia="宋体" w:cs="Times New Roman"/>
                <w:color w:val="auto"/>
                <w:kern w:val="0"/>
                <w:sz w:val="24"/>
                <w:szCs w:val="24"/>
                <w:lang w:val="en-US" w:eastAsia="zh-CN" w:bidi="ar"/>
              </w:rPr>
              <w:t>落实，</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2C1744A1">
            <w:pPr>
              <w:keepNext w:val="0"/>
              <w:keepLines w:val="0"/>
              <w:pageBreakBefore w:val="0"/>
              <w:kinsoku/>
              <w:wordWrap/>
              <w:overflowPunct/>
              <w:topLinePunct w:val="0"/>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3、声环境质量现状</w:t>
            </w:r>
          </w:p>
          <w:p w14:paraId="5F20B866">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auto"/>
                <w:sz w:val="24"/>
              </w:rPr>
            </w:pPr>
            <w:r>
              <w:rPr>
                <w:rFonts w:hint="eastAsia"/>
                <w:color w:val="auto"/>
                <w:sz w:val="24"/>
              </w:rPr>
              <w:t>根据《2023年淮安市生态环境状况公报》显示，2023年，淮安市声环境总体较好，全市各功能区昼夜噪声均达标。全市区域环境昼间噪声均值为55.1dB(A)，夜间均值为45.3dB(A)，同比均有所改善；全市昼间交通噪声均值为65.4dB(A)，夜间交通噪声均值为55.4dB(A)，均保持稳定，处于“好”水平。</w:t>
            </w:r>
          </w:p>
          <w:p w14:paraId="66AFB1A4">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auto"/>
              </w:rPr>
            </w:pPr>
            <w:r>
              <w:rPr>
                <w:rFonts w:hint="eastAsia"/>
                <w:color w:val="auto"/>
                <w:sz w:val="24"/>
              </w:rPr>
              <w:t>本项目厂界外50米范围内无声环境保护目标，无需开展声环境质量现状监测。</w:t>
            </w:r>
          </w:p>
          <w:p w14:paraId="0B1AB4F7">
            <w:pPr>
              <w:pStyle w:val="18"/>
              <w:keepNext w:val="0"/>
              <w:keepLines w:val="0"/>
              <w:pageBreakBefore w:val="0"/>
              <w:kinsoku/>
              <w:wordWrap/>
              <w:overflowPunct/>
              <w:topLinePunct w:val="0"/>
              <w:bidi w:val="0"/>
              <w:spacing w:after="0" w:line="360" w:lineRule="auto"/>
              <w:ind w:left="0" w:leftChars="0" w:firstLine="482"/>
              <w:textAlignment w:val="auto"/>
              <w:rPr>
                <w:b w:val="0"/>
                <w:bCs w:val="0"/>
                <w:color w:val="auto"/>
                <w:szCs w:val="24"/>
              </w:rPr>
            </w:pPr>
            <w:r>
              <w:rPr>
                <w:rFonts w:hint="eastAsia"/>
                <w:b w:val="0"/>
                <w:bCs w:val="0"/>
                <w:color w:val="auto"/>
                <w:szCs w:val="24"/>
              </w:rPr>
              <w:t>4、生态环境</w:t>
            </w:r>
          </w:p>
          <w:p w14:paraId="09774A7F">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auto"/>
                <w:szCs w:val="24"/>
              </w:rPr>
            </w:pPr>
            <w:r>
              <w:rPr>
                <w:rFonts w:hint="eastAsia"/>
                <w:color w:val="auto"/>
              </w:rPr>
              <w:t>根据《建设项目环境影响报告表编制技术指南》（污染影响类）中规定</w:t>
            </w:r>
            <w:r>
              <w:rPr>
                <w:rFonts w:hint="eastAsia"/>
                <w:color w:val="auto"/>
                <w:lang w:eastAsia="zh-CN"/>
              </w:rPr>
              <w:t>：</w:t>
            </w:r>
            <w:r>
              <w:rPr>
                <w:rFonts w:hint="eastAsia"/>
                <w:color w:val="auto"/>
                <w:szCs w:val="24"/>
              </w:rPr>
              <w:t>产业园区外建设项目新增用地且用地范围内含有生态环境保护目标时，应进行生态现状调查。</w:t>
            </w:r>
          </w:p>
          <w:p w14:paraId="06D4C7DF">
            <w:pPr>
              <w:pStyle w:val="18"/>
              <w:keepNext w:val="0"/>
              <w:keepLines w:val="0"/>
              <w:pageBreakBefore w:val="0"/>
              <w:kinsoku/>
              <w:wordWrap/>
              <w:overflowPunct/>
              <w:topLinePunct w:val="0"/>
              <w:bidi w:val="0"/>
              <w:spacing w:after="0" w:line="360" w:lineRule="auto"/>
              <w:ind w:left="0" w:leftChars="0" w:firstLine="480"/>
              <w:textAlignment w:val="auto"/>
              <w:rPr>
                <w:color w:val="auto"/>
                <w:szCs w:val="24"/>
              </w:rPr>
            </w:pPr>
            <w:r>
              <w:rPr>
                <w:rFonts w:hint="eastAsia"/>
                <w:color w:val="auto"/>
                <w:szCs w:val="24"/>
              </w:rPr>
              <w:t>本项目</w:t>
            </w:r>
            <w:r>
              <w:rPr>
                <w:rFonts w:hint="eastAsia"/>
                <w:color w:val="auto"/>
                <w:szCs w:val="24"/>
                <w:lang w:val="en-US" w:eastAsia="zh-CN"/>
              </w:rPr>
              <w:t>属于江苏涟水经济开发区，项目不新增用地且</w:t>
            </w:r>
            <w:r>
              <w:rPr>
                <w:rFonts w:hint="eastAsia"/>
                <w:color w:val="auto"/>
                <w:szCs w:val="24"/>
              </w:rPr>
              <w:t>用地范围内不存在生态环境保护目标，因此不需要进行生态现状调查。</w:t>
            </w:r>
          </w:p>
          <w:p w14:paraId="71EB2C4C">
            <w:pPr>
              <w:pStyle w:val="18"/>
              <w:keepNext w:val="0"/>
              <w:keepLines w:val="0"/>
              <w:pageBreakBefore w:val="0"/>
              <w:widowControl w:val="0"/>
              <w:kinsoku/>
              <w:wordWrap/>
              <w:overflowPunct/>
              <w:topLinePunct w:val="0"/>
              <w:bidi w:val="0"/>
              <w:snapToGrid/>
              <w:spacing w:after="0" w:line="360" w:lineRule="auto"/>
              <w:ind w:left="0" w:leftChars="0" w:firstLine="482"/>
              <w:textAlignment w:val="auto"/>
              <w:rPr>
                <w:b w:val="0"/>
                <w:bCs w:val="0"/>
                <w:color w:val="auto"/>
                <w:szCs w:val="24"/>
              </w:rPr>
            </w:pPr>
            <w:r>
              <w:rPr>
                <w:rFonts w:hint="eastAsia"/>
                <w:b w:val="0"/>
                <w:bCs w:val="0"/>
                <w:color w:val="auto"/>
                <w:szCs w:val="24"/>
              </w:rPr>
              <w:t>5、电磁辐射</w:t>
            </w:r>
          </w:p>
          <w:p w14:paraId="52186E78">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auto"/>
              </w:rPr>
            </w:pPr>
            <w:r>
              <w:rPr>
                <w:rFonts w:hint="eastAsia"/>
                <w:b w:val="0"/>
                <w:bCs/>
                <w:color w:val="auto"/>
              </w:rPr>
              <w:t>根据《建设项目环境影响报告表编制技术指南》（污染影响类）中规定</w:t>
            </w:r>
            <w:r>
              <w:rPr>
                <w:rFonts w:hint="eastAsia"/>
                <w:b w:val="0"/>
                <w:bCs/>
                <w:color w:val="auto"/>
                <w:lang w:eastAsia="zh-CN"/>
              </w:rPr>
              <w:t>：</w:t>
            </w:r>
            <w:r>
              <w:rPr>
                <w:rFonts w:hint="eastAsia"/>
                <w:b w:val="0"/>
                <w:bCs w:val="0"/>
                <w:color w:val="auto"/>
              </w:rPr>
              <w:t>新建或改建、扩建广播电台、差转台、电视塔台、卫星地球上行站、雷达等电磁辐射类项目，应根据相关技术导则对项目电磁辐射现状开展监测与评价。</w:t>
            </w:r>
          </w:p>
          <w:p w14:paraId="731500C0">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auto"/>
              </w:rPr>
            </w:pPr>
            <w:r>
              <w:rPr>
                <w:rFonts w:hint="eastAsia"/>
                <w:b w:val="0"/>
                <w:bCs w:val="0"/>
                <w:color w:val="auto"/>
              </w:rPr>
              <w:t>本项目</w:t>
            </w:r>
            <w:r>
              <w:rPr>
                <w:rFonts w:hint="eastAsia"/>
                <w:b w:val="0"/>
                <w:bCs w:val="0"/>
                <w:color w:val="auto"/>
                <w:lang w:val="en-US" w:eastAsia="zh-CN"/>
              </w:rPr>
              <w:t>是涟水呈颖模塑有限公司</w:t>
            </w:r>
            <w:r>
              <w:rPr>
                <w:rFonts w:hint="eastAsia" w:ascii="Times New Roman" w:hAnsi="Times New Roman"/>
                <w:b w:val="0"/>
                <w:bCs w:val="0"/>
                <w:color w:val="auto"/>
                <w:sz w:val="24"/>
                <w:lang w:val="en-US" w:eastAsia="zh-CN"/>
              </w:rPr>
              <w:t>年产50万件塑</w:t>
            </w:r>
            <w:r>
              <w:rPr>
                <w:rFonts w:hint="eastAsia"/>
                <w:b w:val="0"/>
                <w:bCs w:val="0"/>
                <w:color w:val="auto"/>
                <w:lang w:val="en-US" w:eastAsia="zh-CN"/>
              </w:rPr>
              <w:t>料手柄加工项目</w:t>
            </w:r>
            <w:r>
              <w:rPr>
                <w:rFonts w:hint="eastAsia"/>
                <w:b w:val="0"/>
                <w:bCs w:val="0"/>
                <w:color w:val="auto"/>
              </w:rPr>
              <w:t>，不属于电磁辐射类项目，不需要开展电磁辐射现状监测和评价。</w:t>
            </w:r>
          </w:p>
          <w:p w14:paraId="3B9B9892">
            <w:pPr>
              <w:pStyle w:val="18"/>
              <w:keepNext w:val="0"/>
              <w:keepLines w:val="0"/>
              <w:pageBreakBefore w:val="0"/>
              <w:widowControl w:val="0"/>
              <w:kinsoku/>
              <w:wordWrap/>
              <w:overflowPunct/>
              <w:topLinePunct w:val="0"/>
              <w:bidi w:val="0"/>
              <w:snapToGrid/>
              <w:spacing w:after="0" w:line="360" w:lineRule="auto"/>
              <w:ind w:left="0" w:leftChars="0" w:firstLine="482"/>
              <w:textAlignment w:val="auto"/>
              <w:rPr>
                <w:rFonts w:hint="eastAsia"/>
                <w:b w:val="0"/>
                <w:bCs w:val="0"/>
                <w:color w:val="auto"/>
                <w:szCs w:val="24"/>
              </w:rPr>
            </w:pPr>
            <w:r>
              <w:rPr>
                <w:rFonts w:hint="eastAsia"/>
                <w:b w:val="0"/>
                <w:bCs w:val="0"/>
                <w:color w:val="auto"/>
                <w:szCs w:val="24"/>
              </w:rPr>
              <w:t>6、地下水、土壤环境</w:t>
            </w:r>
          </w:p>
          <w:p w14:paraId="3394AE5B">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auto"/>
              </w:rPr>
            </w:pPr>
            <w:r>
              <w:rPr>
                <w:rFonts w:hint="eastAsia"/>
                <w:b w:val="0"/>
                <w:bCs/>
                <w:color w:val="auto"/>
              </w:rPr>
              <w:t>根据《建设项目环境影响报告表编制技术指南》（污染影响类）中规定</w:t>
            </w:r>
            <w:r>
              <w:rPr>
                <w:rFonts w:hint="eastAsia"/>
                <w:b w:val="0"/>
                <w:bCs/>
                <w:color w:val="auto"/>
                <w:lang w:eastAsia="zh-CN"/>
              </w:rPr>
              <w:t>：</w:t>
            </w:r>
            <w:r>
              <w:rPr>
                <w:rFonts w:hint="eastAsia"/>
                <w:b w:val="0"/>
                <w:bCs w:val="0"/>
                <w:color w:val="auto"/>
              </w:rPr>
              <w:t>原则上不开展环境质量现状调查。建设项目存在土壤、地下水环境污染途径的，应结合污染源、保护目标分布情况开展现状调查以留作背景值。</w:t>
            </w:r>
          </w:p>
          <w:p w14:paraId="51CC3C6F">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Ansi="宋体"/>
                <w:color w:val="auto"/>
                <w:kern w:val="0"/>
                <w:szCs w:val="21"/>
              </w:rPr>
            </w:pPr>
            <w:r>
              <w:rPr>
                <w:rFonts w:hint="eastAsia"/>
                <w:b w:val="0"/>
                <w:bCs w:val="0"/>
                <w:color w:val="auto"/>
              </w:rPr>
              <w:t>本项目不涉及地下水、土壤环境污染，因此不需要开展地下水、土壤环境现状监测和评价</w:t>
            </w:r>
            <w:r>
              <w:rPr>
                <w:rFonts w:hint="eastAsia"/>
                <w:b w:val="0"/>
                <w:bCs w:val="0"/>
                <w:color w:val="auto"/>
                <w:lang w:eastAsia="zh-CN"/>
              </w:rPr>
              <w:t>。</w:t>
            </w:r>
          </w:p>
        </w:tc>
      </w:tr>
      <w:tr w14:paraId="28778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800" w:type="dxa"/>
            <w:noWrap w:val="0"/>
            <w:vAlign w:val="center"/>
          </w:tcPr>
          <w:p w14:paraId="2D8AD6C0">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69BD1CA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14:paraId="580011E2">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noWrap w:val="0"/>
            <w:vAlign w:val="center"/>
          </w:tcPr>
          <w:p w14:paraId="783F4E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本项目为新建项目，选址于</w:t>
            </w:r>
            <w:r>
              <w:rPr>
                <w:rFonts w:hint="eastAsia"/>
                <w:color w:val="auto"/>
                <w:sz w:val="24"/>
                <w:szCs w:val="24"/>
                <w:lang w:val="en-US" w:eastAsia="zh-CN"/>
              </w:rPr>
              <w:t>江苏涟水经济开发区炎黄大道99号上水创业园28号厂房</w:t>
            </w:r>
            <w:r>
              <w:rPr>
                <w:rFonts w:hint="eastAsia"/>
                <w:color w:val="auto"/>
                <w:sz w:val="24"/>
                <w:szCs w:val="24"/>
              </w:rPr>
              <w:t>，根据本次环评现场踏勘可知，项目周围主要环境保护目标详情见下表。</w:t>
            </w:r>
          </w:p>
          <w:p w14:paraId="08228A66">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 xml:space="preserve">1 </w:t>
            </w:r>
            <w:r>
              <w:rPr>
                <w:rFonts w:hint="default" w:ascii="Times New Roman" w:hAnsi="Times New Roman" w:cs="Times New Roman"/>
                <w:b/>
                <w:bCs/>
                <w:color w:val="auto"/>
                <w:sz w:val="21"/>
                <w:szCs w:val="21"/>
              </w:rPr>
              <w:t>项目附近主要环境保护目标一览表</w:t>
            </w:r>
          </w:p>
          <w:tbl>
            <w:tblPr>
              <w:tblStyle w:val="22"/>
              <w:tblW w:w="83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549"/>
              <w:gridCol w:w="1214"/>
              <w:gridCol w:w="899"/>
              <w:gridCol w:w="1838"/>
              <w:gridCol w:w="896"/>
              <w:gridCol w:w="797"/>
            </w:tblGrid>
            <w:tr w14:paraId="03D8D2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03" w:type="dxa"/>
                  <w:noWrap w:val="0"/>
                  <w:vAlign w:val="center"/>
                </w:tcPr>
                <w:p w14:paraId="56E85B8B">
                  <w:pPr>
                    <w:jc w:val="center"/>
                    <w:rPr>
                      <w:color w:val="auto"/>
                    </w:rPr>
                  </w:pPr>
                  <w:r>
                    <w:rPr>
                      <w:color w:val="auto"/>
                    </w:rPr>
                    <w:t>环境要素</w:t>
                  </w:r>
                </w:p>
              </w:tc>
              <w:tc>
                <w:tcPr>
                  <w:tcW w:w="1549" w:type="dxa"/>
                  <w:noWrap w:val="0"/>
                  <w:vAlign w:val="center"/>
                </w:tcPr>
                <w:p w14:paraId="7A62C684">
                  <w:pPr>
                    <w:jc w:val="center"/>
                    <w:rPr>
                      <w:color w:val="auto"/>
                    </w:rPr>
                  </w:pPr>
                  <w:r>
                    <w:rPr>
                      <w:color w:val="auto"/>
                    </w:rPr>
                    <w:t>名称</w:t>
                  </w:r>
                </w:p>
              </w:tc>
              <w:tc>
                <w:tcPr>
                  <w:tcW w:w="1214" w:type="dxa"/>
                  <w:noWrap w:val="0"/>
                  <w:vAlign w:val="center"/>
                </w:tcPr>
                <w:p w14:paraId="27F3B50C">
                  <w:pPr>
                    <w:jc w:val="center"/>
                    <w:rPr>
                      <w:color w:val="auto"/>
                    </w:rPr>
                  </w:pPr>
                  <w:r>
                    <w:rPr>
                      <w:color w:val="auto"/>
                    </w:rPr>
                    <w:t>保护对象</w:t>
                  </w:r>
                </w:p>
              </w:tc>
              <w:tc>
                <w:tcPr>
                  <w:tcW w:w="899" w:type="dxa"/>
                  <w:noWrap w:val="0"/>
                  <w:vAlign w:val="center"/>
                </w:tcPr>
                <w:p w14:paraId="2557CCC4">
                  <w:pPr>
                    <w:jc w:val="center"/>
                    <w:rPr>
                      <w:color w:val="auto"/>
                    </w:rPr>
                  </w:pPr>
                  <w:r>
                    <w:rPr>
                      <w:color w:val="auto"/>
                    </w:rPr>
                    <w:t>保护</w:t>
                  </w:r>
                </w:p>
                <w:p w14:paraId="33ECE136">
                  <w:pPr>
                    <w:jc w:val="center"/>
                    <w:rPr>
                      <w:color w:val="auto"/>
                    </w:rPr>
                  </w:pPr>
                  <w:r>
                    <w:rPr>
                      <w:color w:val="auto"/>
                    </w:rPr>
                    <w:t>内容</w:t>
                  </w:r>
                </w:p>
              </w:tc>
              <w:tc>
                <w:tcPr>
                  <w:tcW w:w="1838" w:type="dxa"/>
                  <w:noWrap w:val="0"/>
                  <w:vAlign w:val="center"/>
                </w:tcPr>
                <w:p w14:paraId="120BA8E7">
                  <w:pPr>
                    <w:jc w:val="center"/>
                    <w:rPr>
                      <w:color w:val="auto"/>
                    </w:rPr>
                  </w:pPr>
                  <w:r>
                    <w:rPr>
                      <w:color w:val="auto"/>
                    </w:rPr>
                    <w:t>环境</w:t>
                  </w:r>
                </w:p>
                <w:p w14:paraId="281A01C7">
                  <w:pPr>
                    <w:jc w:val="center"/>
                    <w:rPr>
                      <w:color w:val="auto"/>
                    </w:rPr>
                  </w:pPr>
                  <w:r>
                    <w:rPr>
                      <w:color w:val="auto"/>
                    </w:rPr>
                    <w:t>功能区</w:t>
                  </w:r>
                </w:p>
              </w:tc>
              <w:tc>
                <w:tcPr>
                  <w:tcW w:w="896" w:type="dxa"/>
                  <w:noWrap w:val="0"/>
                  <w:vAlign w:val="center"/>
                </w:tcPr>
                <w:p w14:paraId="4F272A77">
                  <w:pPr>
                    <w:jc w:val="center"/>
                    <w:rPr>
                      <w:color w:val="auto"/>
                    </w:rPr>
                  </w:pPr>
                  <w:r>
                    <w:rPr>
                      <w:color w:val="auto"/>
                    </w:rPr>
                    <w:t>相对</w:t>
                  </w:r>
                </w:p>
                <w:p w14:paraId="0B3F5BD2">
                  <w:pPr>
                    <w:jc w:val="center"/>
                    <w:rPr>
                      <w:color w:val="auto"/>
                    </w:rPr>
                  </w:pPr>
                  <w:r>
                    <w:rPr>
                      <w:color w:val="auto"/>
                    </w:rPr>
                    <w:t>方位</w:t>
                  </w:r>
                </w:p>
              </w:tc>
              <w:tc>
                <w:tcPr>
                  <w:tcW w:w="797" w:type="dxa"/>
                  <w:noWrap w:val="0"/>
                  <w:vAlign w:val="center"/>
                </w:tcPr>
                <w:p w14:paraId="5B9A4142">
                  <w:pPr>
                    <w:jc w:val="center"/>
                    <w:rPr>
                      <w:color w:val="auto"/>
                    </w:rPr>
                  </w:pPr>
                  <w:r>
                    <w:rPr>
                      <w:color w:val="auto"/>
                    </w:rPr>
                    <w:t>相对距离/m</w:t>
                  </w:r>
                </w:p>
              </w:tc>
            </w:tr>
            <w:tr w14:paraId="6FD941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3" w:type="dxa"/>
                  <w:vMerge w:val="restart"/>
                  <w:noWrap w:val="0"/>
                  <w:vAlign w:val="center"/>
                </w:tcPr>
                <w:p w14:paraId="12C24560">
                  <w:pPr>
                    <w:jc w:val="center"/>
                    <w:rPr>
                      <w:rFonts w:hint="eastAsia" w:eastAsia="宋体"/>
                      <w:color w:val="auto"/>
                      <w:lang w:val="en-US" w:eastAsia="zh-CN"/>
                    </w:rPr>
                  </w:pPr>
                  <w:r>
                    <w:rPr>
                      <w:rFonts w:hint="eastAsia"/>
                      <w:color w:val="auto"/>
                      <w:lang w:val="en-US" w:eastAsia="zh-CN"/>
                    </w:rPr>
                    <w:t>大气环境</w:t>
                  </w:r>
                </w:p>
              </w:tc>
              <w:tc>
                <w:tcPr>
                  <w:tcW w:w="1549" w:type="dxa"/>
                  <w:noWrap w:val="0"/>
                  <w:vAlign w:val="center"/>
                </w:tcPr>
                <w:p w14:paraId="1D89022C">
                  <w:pPr>
                    <w:jc w:val="center"/>
                    <w:rPr>
                      <w:rFonts w:hint="default" w:eastAsia="宋体"/>
                      <w:color w:val="auto"/>
                      <w:lang w:val="en-US" w:eastAsia="zh-CN"/>
                    </w:rPr>
                  </w:pPr>
                  <w:r>
                    <w:rPr>
                      <w:rFonts w:hint="eastAsia"/>
                      <w:color w:val="auto"/>
                      <w:lang w:val="en-US" w:eastAsia="zh-CN"/>
                    </w:rPr>
                    <w:t>桃柳佳苑</w:t>
                  </w:r>
                </w:p>
              </w:tc>
              <w:tc>
                <w:tcPr>
                  <w:tcW w:w="1214" w:type="dxa"/>
                  <w:noWrap w:val="0"/>
                  <w:vAlign w:val="center"/>
                </w:tcPr>
                <w:p w14:paraId="142CB6FC">
                  <w:pPr>
                    <w:jc w:val="center"/>
                    <w:rPr>
                      <w:rFonts w:hint="eastAsia" w:eastAsia="宋体"/>
                      <w:color w:val="auto"/>
                      <w:lang w:val="en-US" w:eastAsia="zh-CN"/>
                    </w:rPr>
                  </w:pPr>
                  <w:r>
                    <w:rPr>
                      <w:rFonts w:hint="eastAsia"/>
                      <w:color w:val="auto"/>
                      <w:lang w:val="en-US" w:eastAsia="zh-CN"/>
                    </w:rPr>
                    <w:t>居住区</w:t>
                  </w:r>
                </w:p>
              </w:tc>
              <w:tc>
                <w:tcPr>
                  <w:tcW w:w="899" w:type="dxa"/>
                  <w:noWrap w:val="0"/>
                  <w:vAlign w:val="center"/>
                </w:tcPr>
                <w:p w14:paraId="67D4B1C4">
                  <w:pPr>
                    <w:jc w:val="center"/>
                    <w:rPr>
                      <w:rFonts w:hint="eastAsia" w:eastAsia="宋体"/>
                      <w:color w:val="auto"/>
                      <w:lang w:val="en-US" w:eastAsia="zh-CN"/>
                    </w:rPr>
                  </w:pPr>
                  <w:r>
                    <w:rPr>
                      <w:rFonts w:hint="eastAsia"/>
                      <w:color w:val="auto"/>
                      <w:lang w:val="en-US" w:eastAsia="zh-CN"/>
                    </w:rPr>
                    <w:t>人群</w:t>
                  </w:r>
                </w:p>
              </w:tc>
              <w:tc>
                <w:tcPr>
                  <w:tcW w:w="1838" w:type="dxa"/>
                  <w:vMerge w:val="restart"/>
                  <w:noWrap w:val="0"/>
                  <w:vAlign w:val="center"/>
                </w:tcPr>
                <w:p w14:paraId="09A8B6C3">
                  <w:pPr>
                    <w:jc w:val="center"/>
                    <w:rPr>
                      <w:color w:val="auto"/>
                    </w:rPr>
                  </w:pPr>
                  <w:r>
                    <w:rPr>
                      <w:rFonts w:hint="eastAsia"/>
                      <w:color w:val="auto"/>
                      <w:lang w:val="en-US" w:eastAsia="zh-CN"/>
                    </w:rPr>
                    <w:t>《环境空气质量标准》（GB3095-2012）二类区</w:t>
                  </w:r>
                </w:p>
              </w:tc>
              <w:tc>
                <w:tcPr>
                  <w:tcW w:w="896" w:type="dxa"/>
                  <w:noWrap w:val="0"/>
                  <w:vAlign w:val="center"/>
                </w:tcPr>
                <w:p w14:paraId="2E6982FB">
                  <w:pPr>
                    <w:jc w:val="center"/>
                    <w:rPr>
                      <w:rFonts w:hint="eastAsia" w:eastAsia="宋体"/>
                      <w:color w:val="auto"/>
                      <w:lang w:val="en-US" w:eastAsia="zh-CN"/>
                    </w:rPr>
                  </w:pPr>
                  <w:r>
                    <w:rPr>
                      <w:rFonts w:hint="eastAsia"/>
                      <w:color w:val="auto"/>
                      <w:lang w:val="en-US" w:eastAsia="zh-CN"/>
                    </w:rPr>
                    <w:t>E</w:t>
                  </w:r>
                </w:p>
              </w:tc>
              <w:tc>
                <w:tcPr>
                  <w:tcW w:w="797" w:type="dxa"/>
                  <w:noWrap w:val="0"/>
                  <w:vAlign w:val="center"/>
                </w:tcPr>
                <w:p w14:paraId="22F6C610">
                  <w:pPr>
                    <w:jc w:val="center"/>
                    <w:rPr>
                      <w:rFonts w:hint="default" w:eastAsia="宋体"/>
                      <w:color w:val="auto"/>
                      <w:lang w:val="en-US" w:eastAsia="zh-CN"/>
                    </w:rPr>
                  </w:pPr>
                  <w:r>
                    <w:rPr>
                      <w:rFonts w:hint="eastAsia"/>
                      <w:color w:val="auto"/>
                      <w:lang w:val="en-US" w:eastAsia="zh-CN"/>
                    </w:rPr>
                    <w:t>234</w:t>
                  </w:r>
                </w:p>
              </w:tc>
            </w:tr>
            <w:tr w14:paraId="276CFA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3" w:type="dxa"/>
                  <w:vMerge w:val="continue"/>
                  <w:noWrap w:val="0"/>
                  <w:vAlign w:val="center"/>
                </w:tcPr>
                <w:p w14:paraId="028E751C">
                  <w:pPr>
                    <w:jc w:val="center"/>
                    <w:rPr>
                      <w:rFonts w:hint="eastAsia"/>
                      <w:color w:val="auto"/>
                      <w:lang w:val="en-US" w:eastAsia="zh-CN"/>
                    </w:rPr>
                  </w:pPr>
                </w:p>
              </w:tc>
              <w:tc>
                <w:tcPr>
                  <w:tcW w:w="1549" w:type="dxa"/>
                  <w:noWrap w:val="0"/>
                  <w:vAlign w:val="center"/>
                </w:tcPr>
                <w:p w14:paraId="3727B329">
                  <w:pPr>
                    <w:jc w:val="center"/>
                    <w:rPr>
                      <w:rFonts w:hint="default"/>
                      <w:color w:val="auto"/>
                      <w:lang w:val="en-US" w:eastAsia="zh-CN"/>
                    </w:rPr>
                  </w:pPr>
                  <w:r>
                    <w:rPr>
                      <w:rFonts w:hint="eastAsia"/>
                      <w:color w:val="auto"/>
                      <w:lang w:val="en-US" w:eastAsia="zh-CN"/>
                    </w:rPr>
                    <w:t>上水小区</w:t>
                  </w:r>
                </w:p>
              </w:tc>
              <w:tc>
                <w:tcPr>
                  <w:tcW w:w="1214" w:type="dxa"/>
                  <w:noWrap w:val="0"/>
                  <w:vAlign w:val="center"/>
                </w:tcPr>
                <w:p w14:paraId="66507B8E">
                  <w:pPr>
                    <w:jc w:val="center"/>
                    <w:rPr>
                      <w:rFonts w:hint="default"/>
                      <w:color w:val="auto"/>
                      <w:lang w:val="en-US" w:eastAsia="zh-CN"/>
                    </w:rPr>
                  </w:pPr>
                  <w:r>
                    <w:rPr>
                      <w:rFonts w:hint="eastAsia"/>
                      <w:color w:val="auto"/>
                      <w:lang w:val="en-US" w:eastAsia="zh-CN"/>
                    </w:rPr>
                    <w:t>居住区</w:t>
                  </w:r>
                </w:p>
              </w:tc>
              <w:tc>
                <w:tcPr>
                  <w:tcW w:w="899" w:type="dxa"/>
                  <w:noWrap w:val="0"/>
                  <w:vAlign w:val="center"/>
                </w:tcPr>
                <w:p w14:paraId="45416790">
                  <w:pPr>
                    <w:jc w:val="center"/>
                    <w:rPr>
                      <w:rFonts w:hint="default"/>
                      <w:color w:val="auto"/>
                      <w:lang w:val="en-US" w:eastAsia="zh-CN"/>
                    </w:rPr>
                  </w:pPr>
                  <w:r>
                    <w:rPr>
                      <w:rFonts w:hint="eastAsia"/>
                      <w:color w:val="auto"/>
                      <w:lang w:val="en-US" w:eastAsia="zh-CN"/>
                    </w:rPr>
                    <w:t>人群</w:t>
                  </w:r>
                </w:p>
              </w:tc>
              <w:tc>
                <w:tcPr>
                  <w:tcW w:w="1838" w:type="dxa"/>
                  <w:vMerge w:val="continue"/>
                  <w:noWrap w:val="0"/>
                  <w:vAlign w:val="center"/>
                </w:tcPr>
                <w:p w14:paraId="616B6C8D">
                  <w:pPr>
                    <w:jc w:val="center"/>
                    <w:rPr>
                      <w:rFonts w:hint="eastAsia"/>
                      <w:color w:val="auto"/>
                      <w:lang w:val="en-US" w:eastAsia="zh-CN"/>
                    </w:rPr>
                  </w:pPr>
                </w:p>
              </w:tc>
              <w:tc>
                <w:tcPr>
                  <w:tcW w:w="896" w:type="dxa"/>
                  <w:noWrap w:val="0"/>
                  <w:vAlign w:val="center"/>
                </w:tcPr>
                <w:p w14:paraId="58FFD3F4">
                  <w:pPr>
                    <w:jc w:val="center"/>
                    <w:rPr>
                      <w:rFonts w:hint="default"/>
                      <w:color w:val="auto"/>
                      <w:lang w:val="en-US" w:eastAsia="zh-CN"/>
                    </w:rPr>
                  </w:pPr>
                  <w:r>
                    <w:rPr>
                      <w:rFonts w:hint="eastAsia"/>
                      <w:color w:val="auto"/>
                      <w:lang w:val="en-US" w:eastAsia="zh-CN"/>
                    </w:rPr>
                    <w:t>S</w:t>
                  </w:r>
                </w:p>
              </w:tc>
              <w:tc>
                <w:tcPr>
                  <w:tcW w:w="797" w:type="dxa"/>
                  <w:noWrap w:val="0"/>
                  <w:vAlign w:val="center"/>
                </w:tcPr>
                <w:p w14:paraId="0E6F757B">
                  <w:pPr>
                    <w:jc w:val="center"/>
                    <w:rPr>
                      <w:rFonts w:hint="default"/>
                      <w:color w:val="auto"/>
                      <w:lang w:val="en-US" w:eastAsia="zh-CN"/>
                    </w:rPr>
                  </w:pPr>
                  <w:r>
                    <w:rPr>
                      <w:rFonts w:hint="eastAsia"/>
                      <w:color w:val="auto"/>
                      <w:lang w:val="en-US" w:eastAsia="zh-CN"/>
                    </w:rPr>
                    <w:t>269</w:t>
                  </w:r>
                </w:p>
              </w:tc>
            </w:tr>
            <w:tr w14:paraId="6A854C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03" w:type="dxa"/>
                  <w:vMerge w:val="continue"/>
                  <w:noWrap w:val="0"/>
                  <w:vAlign w:val="center"/>
                </w:tcPr>
                <w:p w14:paraId="60A8C874">
                  <w:pPr>
                    <w:jc w:val="center"/>
                    <w:rPr>
                      <w:color w:val="auto"/>
                    </w:rPr>
                  </w:pPr>
                </w:p>
              </w:tc>
              <w:tc>
                <w:tcPr>
                  <w:tcW w:w="1549" w:type="dxa"/>
                  <w:noWrap w:val="0"/>
                  <w:vAlign w:val="center"/>
                </w:tcPr>
                <w:p w14:paraId="09CADE4B">
                  <w:pPr>
                    <w:jc w:val="center"/>
                    <w:rPr>
                      <w:rFonts w:hint="eastAsia" w:eastAsia="宋体"/>
                      <w:color w:val="auto"/>
                      <w:lang w:val="en-US" w:eastAsia="zh-CN"/>
                    </w:rPr>
                  </w:pPr>
                  <w:r>
                    <w:rPr>
                      <w:rFonts w:hint="eastAsia"/>
                      <w:color w:val="auto"/>
                      <w:lang w:val="en-US" w:eastAsia="zh-CN"/>
                    </w:rPr>
                    <w:t>大名城</w:t>
                  </w:r>
                </w:p>
              </w:tc>
              <w:tc>
                <w:tcPr>
                  <w:tcW w:w="1214" w:type="dxa"/>
                  <w:noWrap w:val="0"/>
                  <w:vAlign w:val="center"/>
                </w:tcPr>
                <w:p w14:paraId="7F4BCDBD">
                  <w:pPr>
                    <w:jc w:val="center"/>
                    <w:rPr>
                      <w:rFonts w:hint="eastAsia" w:eastAsia="宋体"/>
                      <w:color w:val="auto"/>
                      <w:lang w:val="en-US" w:eastAsia="zh-CN"/>
                    </w:rPr>
                  </w:pPr>
                  <w:r>
                    <w:rPr>
                      <w:rFonts w:hint="eastAsia"/>
                      <w:color w:val="auto"/>
                      <w:lang w:val="en-US" w:eastAsia="zh-CN"/>
                    </w:rPr>
                    <w:t>居住区</w:t>
                  </w:r>
                </w:p>
              </w:tc>
              <w:tc>
                <w:tcPr>
                  <w:tcW w:w="899" w:type="dxa"/>
                  <w:noWrap w:val="0"/>
                  <w:vAlign w:val="center"/>
                </w:tcPr>
                <w:p w14:paraId="0C0B6F47">
                  <w:pPr>
                    <w:jc w:val="center"/>
                    <w:rPr>
                      <w:rFonts w:hint="eastAsia" w:eastAsia="宋体"/>
                      <w:color w:val="auto"/>
                      <w:lang w:val="en-US" w:eastAsia="zh-CN"/>
                    </w:rPr>
                  </w:pPr>
                  <w:r>
                    <w:rPr>
                      <w:rFonts w:hint="eastAsia"/>
                      <w:color w:val="auto"/>
                      <w:lang w:val="en-US" w:eastAsia="zh-CN"/>
                    </w:rPr>
                    <w:t>人群</w:t>
                  </w:r>
                </w:p>
              </w:tc>
              <w:tc>
                <w:tcPr>
                  <w:tcW w:w="1838" w:type="dxa"/>
                  <w:vMerge w:val="continue"/>
                  <w:noWrap w:val="0"/>
                  <w:vAlign w:val="center"/>
                </w:tcPr>
                <w:p w14:paraId="5168064E">
                  <w:pPr>
                    <w:jc w:val="center"/>
                    <w:rPr>
                      <w:color w:val="auto"/>
                    </w:rPr>
                  </w:pPr>
                </w:p>
              </w:tc>
              <w:tc>
                <w:tcPr>
                  <w:tcW w:w="896" w:type="dxa"/>
                  <w:noWrap w:val="0"/>
                  <w:vAlign w:val="center"/>
                </w:tcPr>
                <w:p w14:paraId="4F7418D6">
                  <w:pPr>
                    <w:jc w:val="center"/>
                    <w:rPr>
                      <w:rFonts w:hint="eastAsia" w:eastAsia="宋体"/>
                      <w:color w:val="auto"/>
                      <w:lang w:val="en-US" w:eastAsia="zh-CN"/>
                    </w:rPr>
                  </w:pPr>
                  <w:r>
                    <w:rPr>
                      <w:rFonts w:hint="eastAsia"/>
                      <w:color w:val="auto"/>
                      <w:lang w:val="en-US" w:eastAsia="zh-CN"/>
                    </w:rPr>
                    <w:t>W</w:t>
                  </w:r>
                </w:p>
              </w:tc>
              <w:tc>
                <w:tcPr>
                  <w:tcW w:w="797" w:type="dxa"/>
                  <w:noWrap w:val="0"/>
                  <w:vAlign w:val="center"/>
                </w:tcPr>
                <w:p w14:paraId="59E129A1">
                  <w:pPr>
                    <w:jc w:val="center"/>
                    <w:rPr>
                      <w:rFonts w:hint="default" w:eastAsia="宋体"/>
                      <w:color w:val="auto"/>
                      <w:lang w:val="en-US" w:eastAsia="zh-CN"/>
                    </w:rPr>
                  </w:pPr>
                  <w:r>
                    <w:rPr>
                      <w:rFonts w:hint="eastAsia"/>
                      <w:color w:val="auto"/>
                      <w:lang w:val="en-US" w:eastAsia="zh-CN"/>
                    </w:rPr>
                    <w:t>205</w:t>
                  </w:r>
                </w:p>
              </w:tc>
            </w:tr>
            <w:tr w14:paraId="1099F5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03" w:type="dxa"/>
                  <w:noWrap w:val="0"/>
                  <w:vAlign w:val="center"/>
                </w:tcPr>
                <w:p w14:paraId="057EA58C">
                  <w:pPr>
                    <w:jc w:val="center"/>
                    <w:rPr>
                      <w:color w:val="auto"/>
                    </w:rPr>
                  </w:pPr>
                  <w:r>
                    <w:rPr>
                      <w:color w:val="auto"/>
                    </w:rPr>
                    <w:t>声环境</w:t>
                  </w:r>
                </w:p>
              </w:tc>
              <w:tc>
                <w:tcPr>
                  <w:tcW w:w="7193" w:type="dxa"/>
                  <w:gridSpan w:val="6"/>
                  <w:noWrap w:val="0"/>
                  <w:vAlign w:val="center"/>
                </w:tcPr>
                <w:p w14:paraId="2444B8C2">
                  <w:pPr>
                    <w:jc w:val="center"/>
                    <w:rPr>
                      <w:color w:val="auto"/>
                    </w:rPr>
                  </w:pPr>
                  <w:r>
                    <w:rPr>
                      <w:rFonts w:hint="eastAsia"/>
                      <w:color w:val="auto"/>
                    </w:rPr>
                    <w:t>本项目</w:t>
                  </w:r>
                  <w:r>
                    <w:rPr>
                      <w:color w:val="auto"/>
                    </w:rPr>
                    <w:t>厂界外50米范围内无声环境保护目标</w:t>
                  </w:r>
                </w:p>
              </w:tc>
            </w:tr>
            <w:tr w14:paraId="17851A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03" w:type="dxa"/>
                  <w:noWrap w:val="0"/>
                  <w:vAlign w:val="center"/>
                </w:tcPr>
                <w:p w14:paraId="23A3099C">
                  <w:pPr>
                    <w:jc w:val="center"/>
                    <w:rPr>
                      <w:rFonts w:hint="eastAsia" w:eastAsia="宋体"/>
                      <w:color w:val="auto"/>
                      <w:lang w:val="en-US" w:eastAsia="zh-CN"/>
                    </w:rPr>
                  </w:pPr>
                  <w:r>
                    <w:rPr>
                      <w:rFonts w:hint="eastAsia"/>
                      <w:color w:val="auto"/>
                      <w:lang w:val="en-US" w:eastAsia="zh-CN"/>
                    </w:rPr>
                    <w:t>地表水</w:t>
                  </w:r>
                </w:p>
              </w:tc>
              <w:tc>
                <w:tcPr>
                  <w:tcW w:w="7193" w:type="dxa"/>
                  <w:gridSpan w:val="6"/>
                  <w:noWrap w:val="0"/>
                  <w:vAlign w:val="center"/>
                </w:tcPr>
                <w:p w14:paraId="5A8F7856">
                  <w:pPr>
                    <w:jc w:val="center"/>
                    <w:rPr>
                      <w:rFonts w:hint="eastAsia"/>
                      <w:color w:val="auto"/>
                    </w:rPr>
                  </w:pPr>
                  <w:r>
                    <w:rPr>
                      <w:rFonts w:hint="default" w:ascii="Times New Roman" w:hAnsi="Times New Roman" w:eastAsia="宋体"/>
                      <w:color w:val="auto"/>
                      <w:sz w:val="21"/>
                    </w:rPr>
                    <w:t>本项目不涉及饮用水水源保护区、饮用水取水口，涉水的自然保护区、风景名胜区，重要湿地、重点保护与珍稀水生生物的栖息地、重要水生生物的自然产卵场及索饵场、越冬场和洄游通道，天然渔场等渔业水体</w:t>
                  </w:r>
                  <w:r>
                    <w:rPr>
                      <w:rFonts w:hint="eastAsia" w:ascii="Times New Roman"/>
                      <w:color w:val="auto"/>
                      <w:sz w:val="21"/>
                      <w:lang w:eastAsia="zh-CN"/>
                    </w:rPr>
                    <w:t>，</w:t>
                  </w:r>
                  <w:r>
                    <w:rPr>
                      <w:rFonts w:hint="default" w:ascii="Times New Roman" w:hAnsi="Times New Roman" w:eastAsia="宋体"/>
                      <w:color w:val="auto"/>
                      <w:sz w:val="21"/>
                    </w:rPr>
                    <w:t>以及水产种质资源保护区上述地表水环境保护目标</w:t>
                  </w:r>
                </w:p>
              </w:tc>
            </w:tr>
            <w:tr w14:paraId="6DAB7B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03" w:type="dxa"/>
                  <w:noWrap w:val="0"/>
                  <w:vAlign w:val="center"/>
                </w:tcPr>
                <w:p w14:paraId="45E780FC">
                  <w:pPr>
                    <w:jc w:val="center"/>
                    <w:rPr>
                      <w:color w:val="auto"/>
                    </w:rPr>
                  </w:pPr>
                  <w:r>
                    <w:rPr>
                      <w:color w:val="auto"/>
                    </w:rPr>
                    <w:t>地下水环境</w:t>
                  </w:r>
                </w:p>
              </w:tc>
              <w:tc>
                <w:tcPr>
                  <w:tcW w:w="7193" w:type="dxa"/>
                  <w:gridSpan w:val="6"/>
                  <w:noWrap w:val="0"/>
                  <w:vAlign w:val="center"/>
                </w:tcPr>
                <w:p w14:paraId="259F94D2">
                  <w:pPr>
                    <w:jc w:val="center"/>
                    <w:rPr>
                      <w:color w:val="auto"/>
                    </w:rPr>
                  </w:pPr>
                  <w:r>
                    <w:rPr>
                      <w:rFonts w:hint="eastAsia"/>
                      <w:color w:val="auto"/>
                    </w:rPr>
                    <w:t>本项目</w:t>
                  </w:r>
                  <w:r>
                    <w:rPr>
                      <w:color w:val="auto"/>
                    </w:rPr>
                    <w:t>厂界外500米范围内无地下水集中式饮用水水源和热水、矿泉水、温泉等特殊地下水资源</w:t>
                  </w:r>
                </w:p>
              </w:tc>
            </w:tr>
            <w:tr w14:paraId="02C02D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03" w:type="dxa"/>
                  <w:noWrap w:val="0"/>
                  <w:vAlign w:val="center"/>
                </w:tcPr>
                <w:p w14:paraId="6E1289E2">
                  <w:pPr>
                    <w:jc w:val="center"/>
                    <w:rPr>
                      <w:color w:val="auto"/>
                    </w:rPr>
                  </w:pPr>
                  <w:r>
                    <w:rPr>
                      <w:color w:val="auto"/>
                    </w:rPr>
                    <w:t>生态环境</w:t>
                  </w:r>
                </w:p>
              </w:tc>
              <w:tc>
                <w:tcPr>
                  <w:tcW w:w="7193" w:type="dxa"/>
                  <w:gridSpan w:val="6"/>
                  <w:noWrap w:val="0"/>
                  <w:vAlign w:val="center"/>
                </w:tcPr>
                <w:p w14:paraId="0448CDF7">
                  <w:pPr>
                    <w:jc w:val="center"/>
                    <w:rPr>
                      <w:color w:val="auto"/>
                    </w:rPr>
                  </w:pPr>
                  <w:r>
                    <w:rPr>
                      <w:rFonts w:hint="default" w:ascii="Times New Roman" w:hAnsi="Times New Roman" w:eastAsia="宋体"/>
                      <w:color w:val="auto"/>
                      <w:sz w:val="21"/>
                    </w:rPr>
                    <w:t>本项目位于</w:t>
                  </w:r>
                  <w:r>
                    <w:rPr>
                      <w:rFonts w:hint="eastAsia" w:ascii="Times New Roman" w:hAnsi="Times New Roman"/>
                      <w:color w:val="auto"/>
                      <w:sz w:val="21"/>
                      <w:lang w:val="en-US" w:eastAsia="zh-CN"/>
                    </w:rPr>
                    <w:t>涟水县经济开发区</w:t>
                  </w:r>
                  <w:r>
                    <w:rPr>
                      <w:rFonts w:hint="default" w:ascii="Times New Roman" w:hAnsi="Times New Roman" w:eastAsia="宋体"/>
                      <w:color w:val="auto"/>
                      <w:sz w:val="21"/>
                    </w:rPr>
                    <w:t>，</w:t>
                  </w:r>
                  <w:r>
                    <w:rPr>
                      <w:rFonts w:ascii="Times New Roman" w:hAnsi="Times New Roman" w:eastAsia="宋体"/>
                      <w:color w:val="auto"/>
                      <w:sz w:val="21"/>
                    </w:rPr>
                    <w:t>用地性质为工业用地，</w:t>
                  </w:r>
                  <w:r>
                    <w:rPr>
                      <w:rFonts w:hint="default" w:ascii="Times New Roman" w:hAnsi="Times New Roman" w:eastAsia="宋体"/>
                      <w:color w:val="auto"/>
                      <w:sz w:val="21"/>
                    </w:rPr>
                    <w:t>且用地范围内无生态环境保护目标</w:t>
                  </w:r>
                </w:p>
              </w:tc>
            </w:tr>
            <w:tr w14:paraId="75E817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03" w:type="dxa"/>
                  <w:noWrap w:val="0"/>
                  <w:vAlign w:val="center"/>
                </w:tcPr>
                <w:p w14:paraId="702D18B4">
                  <w:pPr>
                    <w:jc w:val="center"/>
                    <w:rPr>
                      <w:color w:val="auto"/>
                    </w:rPr>
                  </w:pPr>
                  <w:r>
                    <w:rPr>
                      <w:rFonts w:hint="eastAsia"/>
                      <w:color w:val="auto"/>
                      <w:lang w:val="en-US" w:eastAsia="zh-CN"/>
                    </w:rPr>
                    <w:t>电磁辐射</w:t>
                  </w:r>
                </w:p>
              </w:tc>
              <w:tc>
                <w:tcPr>
                  <w:tcW w:w="7193" w:type="dxa"/>
                  <w:gridSpan w:val="6"/>
                  <w:noWrap w:val="0"/>
                  <w:vAlign w:val="center"/>
                </w:tcPr>
                <w:p w14:paraId="744A57D6">
                  <w:pPr>
                    <w:jc w:val="center"/>
                    <w:rPr>
                      <w:rFonts w:hint="eastAsia"/>
                      <w:color w:val="auto"/>
                    </w:rPr>
                  </w:pPr>
                  <w:r>
                    <w:rPr>
                      <w:rFonts w:hint="eastAsia"/>
                      <w:color w:val="auto"/>
                    </w:rPr>
                    <w:t>本项目不属于电磁辐射类项目</w:t>
                  </w:r>
                </w:p>
              </w:tc>
            </w:tr>
            <w:tr w14:paraId="35CBFA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03" w:type="dxa"/>
                  <w:noWrap w:val="0"/>
                  <w:vAlign w:val="center"/>
                </w:tcPr>
                <w:p w14:paraId="44EFDC3B">
                  <w:pPr>
                    <w:jc w:val="center"/>
                    <w:rPr>
                      <w:color w:val="auto"/>
                    </w:rPr>
                  </w:pPr>
                  <w:r>
                    <w:rPr>
                      <w:rFonts w:hint="eastAsia"/>
                      <w:color w:val="auto"/>
                      <w:lang w:val="en-US" w:eastAsia="zh-CN"/>
                    </w:rPr>
                    <w:t>土壤环境</w:t>
                  </w:r>
                </w:p>
              </w:tc>
              <w:tc>
                <w:tcPr>
                  <w:tcW w:w="7193" w:type="dxa"/>
                  <w:gridSpan w:val="6"/>
                  <w:noWrap w:val="0"/>
                  <w:vAlign w:val="center"/>
                </w:tcPr>
                <w:p w14:paraId="7E6AF713">
                  <w:pPr>
                    <w:jc w:val="center"/>
                    <w:rPr>
                      <w:rFonts w:hint="eastAsia"/>
                      <w:color w:val="auto"/>
                    </w:rPr>
                  </w:pPr>
                  <w:r>
                    <w:rPr>
                      <w:rFonts w:hint="eastAsia"/>
                      <w:color w:val="auto"/>
                    </w:rPr>
                    <w:t>本项目不涉及土壤环境污染</w:t>
                  </w:r>
                </w:p>
              </w:tc>
            </w:tr>
          </w:tbl>
          <w:p w14:paraId="17A2C090">
            <w:pPr>
              <w:adjustRightInd w:val="0"/>
              <w:snapToGrid w:val="0"/>
              <w:jc w:val="center"/>
              <w:rPr>
                <w:color w:val="auto"/>
              </w:rPr>
            </w:pPr>
          </w:p>
          <w:p w14:paraId="63218DA8">
            <w:pPr>
              <w:pStyle w:val="19"/>
              <w:rPr>
                <w:color w:val="auto"/>
              </w:rPr>
            </w:pPr>
          </w:p>
          <w:p w14:paraId="515C4104">
            <w:pPr>
              <w:pStyle w:val="18"/>
              <w:rPr>
                <w:color w:val="auto"/>
              </w:rPr>
            </w:pPr>
          </w:p>
          <w:p w14:paraId="3FC02DF8">
            <w:pPr>
              <w:pStyle w:val="19"/>
              <w:rPr>
                <w:color w:val="auto"/>
              </w:rPr>
            </w:pPr>
          </w:p>
          <w:p w14:paraId="68CE809E">
            <w:pPr>
              <w:pStyle w:val="18"/>
              <w:rPr>
                <w:color w:val="auto"/>
              </w:rPr>
            </w:pPr>
          </w:p>
          <w:p w14:paraId="0094EF90">
            <w:pPr>
              <w:pStyle w:val="19"/>
              <w:ind w:left="0" w:leftChars="0" w:firstLine="0" w:firstLineChars="0"/>
              <w:rPr>
                <w:color w:val="auto"/>
              </w:rPr>
            </w:pPr>
          </w:p>
        </w:tc>
      </w:tr>
      <w:tr w14:paraId="79FF2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4" w:hRule="atLeast"/>
          <w:jc w:val="center"/>
        </w:trPr>
        <w:tc>
          <w:tcPr>
            <w:tcW w:w="800" w:type="dxa"/>
            <w:noWrap w:val="0"/>
            <w:tcMar>
              <w:left w:w="28" w:type="dxa"/>
              <w:right w:w="28" w:type="dxa"/>
            </w:tcMar>
            <w:vAlign w:val="center"/>
          </w:tcPr>
          <w:p w14:paraId="6271463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14:paraId="50B15280">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14:paraId="09308F96">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14:paraId="3DE3A8F0">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14:paraId="5638246C">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noWrap w:val="0"/>
            <w:vAlign w:val="center"/>
          </w:tcPr>
          <w:p w14:paraId="4305A1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1、大气污染物排放标准</w:t>
            </w:r>
          </w:p>
          <w:p w14:paraId="02DA1FB6">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rPr>
            </w:pPr>
            <w:r>
              <w:rPr>
                <w:rFonts w:hint="eastAsia"/>
                <w:color w:val="auto"/>
                <w:sz w:val="24"/>
                <w:lang w:val="en-US" w:eastAsia="zh-CN"/>
              </w:rPr>
              <w:t>本项目产生的废气主要为颗粒物、非甲烷总烃、苯乙烯、苯系物。本项目营运期有组织颗粒物、非甲烷总烃、苯乙烯的排放执行行业标准《合成树脂工业污染物排放标准》（GB31572-2015，含2024年修改单）表5中限值要求，苯系物执行《大气污染物综合排放标准》（DB32/4041-2021）表1中限值要求，臭气浓度执行《恶臭污染物排放标准》（GB14554-93）表2中限值要求；厂界无组织排放的颗粒物、非甲烷总烃执行《合成树脂工业污染物排放标准》（GB31572-2015，含2024年修改单）表9中限值要求，苯系物执行江苏省地方标准《大气污染物综合排放标准》（DB32/4041-2021）表3中限值要求，臭气浓度执行《恶臭污染物排放标准》（GB14554-93）表1中限值要求；厂区内无组织排放的非甲烷总烃执行江苏省地方标准《大气污染物综合排放标准》（DB32/4041-2021）表2中监控点浓度限值。</w:t>
            </w:r>
            <w:r>
              <w:rPr>
                <w:rFonts w:hint="eastAsia"/>
                <w:color w:val="auto"/>
                <w:sz w:val="24"/>
              </w:rPr>
              <w:t>具体排放标准和排放限值指标见下表。</w:t>
            </w:r>
          </w:p>
          <w:p w14:paraId="1B07F279">
            <w:pPr>
              <w:pStyle w:val="19"/>
              <w:keepNext w:val="0"/>
              <w:keepLines w:val="0"/>
              <w:pageBreakBefore w:val="0"/>
              <w:widowControl w:val="0"/>
              <w:kinsoku/>
              <w:wordWrap/>
              <w:overflowPunct/>
              <w:topLinePunct w:val="0"/>
              <w:bidi w:val="0"/>
              <w:adjustRightInd w:val="0"/>
              <w:snapToGrid w:val="0"/>
              <w:spacing w:line="240" w:lineRule="auto"/>
              <w:ind w:firstLine="482"/>
              <w:jc w:val="center"/>
              <w:rPr>
                <w:rFonts w:hint="default" w:ascii="Times New Roman" w:hAnsi="Times New Roman" w:eastAsia="宋体" w:cs="宋体"/>
                <w:color w:val="auto"/>
                <w:sz w:val="21"/>
              </w:rPr>
            </w:pPr>
            <w:r>
              <w:rPr>
                <w:rFonts w:hint="default" w:ascii="Times New Roman" w:hAnsi="Times New Roman" w:eastAsia="宋体" w:cs="宋体"/>
                <w:color w:val="auto"/>
                <w:sz w:val="21"/>
              </w:rPr>
              <w:t>表3-</w:t>
            </w:r>
            <w:r>
              <w:rPr>
                <w:rFonts w:hint="eastAsia" w:ascii="Times New Roman" w:hAnsi="Times New Roman" w:eastAsia="宋体" w:cs="宋体"/>
                <w:color w:val="auto"/>
                <w:sz w:val="21"/>
                <w:lang w:val="en-US" w:eastAsia="zh-CN"/>
              </w:rPr>
              <w:t xml:space="preserve">2 </w:t>
            </w:r>
            <w:r>
              <w:rPr>
                <w:rFonts w:hint="default" w:ascii="Times New Roman" w:hAnsi="Times New Roman" w:eastAsia="宋体" w:cs="宋体"/>
                <w:color w:val="auto"/>
                <w:sz w:val="21"/>
              </w:rPr>
              <w:t>大气污染物排放标准</w:t>
            </w:r>
          </w:p>
          <w:tbl>
            <w:tblPr>
              <w:tblStyle w:val="22"/>
              <w:tblW w:w="83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25"/>
              <w:gridCol w:w="1377"/>
              <w:gridCol w:w="1364"/>
              <w:gridCol w:w="1691"/>
              <w:gridCol w:w="2641"/>
            </w:tblGrid>
            <w:tr w14:paraId="6D84B8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325" w:type="dxa"/>
                  <w:vMerge w:val="restart"/>
                  <w:noWrap w:val="0"/>
                  <w:vAlign w:val="center"/>
                </w:tcPr>
                <w:p w14:paraId="4F363600">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污染物</w:t>
                  </w:r>
                </w:p>
              </w:tc>
              <w:tc>
                <w:tcPr>
                  <w:tcW w:w="2741" w:type="dxa"/>
                  <w:gridSpan w:val="2"/>
                  <w:noWrap w:val="0"/>
                  <w:vAlign w:val="center"/>
                </w:tcPr>
                <w:p w14:paraId="7C8DCCA5">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标准限值</w:t>
                  </w:r>
                </w:p>
              </w:tc>
              <w:tc>
                <w:tcPr>
                  <w:tcW w:w="1691" w:type="dxa"/>
                  <w:vMerge w:val="restart"/>
                  <w:noWrap w:val="0"/>
                  <w:vAlign w:val="center"/>
                </w:tcPr>
                <w:p w14:paraId="645DEFEB">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hint="eastAsia" w:ascii="Times New Roman" w:hAnsi="Times New Roman" w:eastAsia="宋体"/>
                      <w:color w:val="auto"/>
                      <w:sz w:val="21"/>
                    </w:rPr>
                    <w:t>边界外浓度最高点</w:t>
                  </w:r>
                  <w:r>
                    <w:rPr>
                      <w:rFonts w:ascii="Times New Roman" w:hAnsi="Times New Roman" w:eastAsia="宋体"/>
                      <w:color w:val="auto"/>
                      <w:sz w:val="21"/>
                    </w:rPr>
                    <w:t>监控浓度限值(mg/m</w:t>
                  </w:r>
                  <w:r>
                    <w:rPr>
                      <w:rFonts w:ascii="Times New Roman" w:hAnsi="Times New Roman" w:eastAsia="宋体"/>
                      <w:color w:val="auto"/>
                      <w:sz w:val="21"/>
                      <w:vertAlign w:val="superscript"/>
                    </w:rPr>
                    <w:t>3</w:t>
                  </w:r>
                  <w:r>
                    <w:rPr>
                      <w:rFonts w:ascii="Times New Roman" w:hAnsi="Times New Roman" w:eastAsia="宋体"/>
                      <w:color w:val="auto"/>
                      <w:sz w:val="21"/>
                    </w:rPr>
                    <w:t>)</w:t>
                  </w:r>
                </w:p>
              </w:tc>
              <w:tc>
                <w:tcPr>
                  <w:tcW w:w="2641" w:type="dxa"/>
                  <w:vMerge w:val="restart"/>
                  <w:noWrap w:val="0"/>
                  <w:vAlign w:val="center"/>
                </w:tcPr>
                <w:p w14:paraId="06492793">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执行标准</w:t>
                  </w:r>
                </w:p>
              </w:tc>
            </w:tr>
            <w:tr w14:paraId="5FA3A6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1325" w:type="dxa"/>
                  <w:vMerge w:val="continue"/>
                  <w:noWrap w:val="0"/>
                  <w:vAlign w:val="center"/>
                </w:tcPr>
                <w:p w14:paraId="34BB544D">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p>
              </w:tc>
              <w:tc>
                <w:tcPr>
                  <w:tcW w:w="1377" w:type="dxa"/>
                  <w:noWrap w:val="0"/>
                  <w:vAlign w:val="center"/>
                </w:tcPr>
                <w:p w14:paraId="47C8AE16">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最高允许排放浓度(mg/m</w:t>
                  </w:r>
                  <w:r>
                    <w:rPr>
                      <w:rFonts w:ascii="Times New Roman" w:hAnsi="Times New Roman" w:eastAsia="宋体"/>
                      <w:color w:val="auto"/>
                      <w:sz w:val="21"/>
                      <w:vertAlign w:val="superscript"/>
                    </w:rPr>
                    <w:t>3</w:t>
                  </w:r>
                  <w:r>
                    <w:rPr>
                      <w:rFonts w:ascii="Times New Roman" w:hAnsi="Times New Roman" w:eastAsia="宋体"/>
                      <w:color w:val="auto"/>
                      <w:sz w:val="21"/>
                    </w:rPr>
                    <w:t>)</w:t>
                  </w:r>
                </w:p>
              </w:tc>
              <w:tc>
                <w:tcPr>
                  <w:tcW w:w="1364" w:type="dxa"/>
                  <w:noWrap w:val="0"/>
                  <w:vAlign w:val="center"/>
                </w:tcPr>
                <w:p w14:paraId="53E20D39">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最高允许排放速率（kg/h）</w:t>
                  </w:r>
                </w:p>
              </w:tc>
              <w:tc>
                <w:tcPr>
                  <w:tcW w:w="1691" w:type="dxa"/>
                  <w:vMerge w:val="continue"/>
                  <w:noWrap w:val="0"/>
                  <w:vAlign w:val="center"/>
                </w:tcPr>
                <w:p w14:paraId="122C8E87">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p>
              </w:tc>
              <w:tc>
                <w:tcPr>
                  <w:tcW w:w="2641" w:type="dxa"/>
                  <w:vMerge w:val="continue"/>
                  <w:noWrap w:val="0"/>
                  <w:vAlign w:val="center"/>
                </w:tcPr>
                <w:p w14:paraId="6E270D2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p>
              </w:tc>
            </w:tr>
            <w:tr w14:paraId="5496AC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5" w:hRule="exact"/>
                <w:jc w:val="center"/>
              </w:trPr>
              <w:tc>
                <w:tcPr>
                  <w:tcW w:w="1325" w:type="dxa"/>
                  <w:noWrap w:val="0"/>
                  <w:vAlign w:val="center"/>
                </w:tcPr>
                <w:p w14:paraId="6ED0C554">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auto"/>
                      <w:kern w:val="2"/>
                      <w:sz w:val="21"/>
                      <w:szCs w:val="24"/>
                      <w:lang w:val="en-US" w:eastAsia="zh-CN" w:bidi="ar-SA"/>
                    </w:rPr>
                  </w:pPr>
                  <w:r>
                    <w:rPr>
                      <w:rFonts w:hint="eastAsia" w:ascii="Times New Roman" w:hAnsi="Times New Roman" w:eastAsia="宋体"/>
                      <w:color w:val="auto"/>
                      <w:sz w:val="21"/>
                      <w:lang w:val="en-US" w:eastAsia="zh-CN"/>
                    </w:rPr>
                    <w:t>非甲烷总烃</w:t>
                  </w:r>
                </w:p>
              </w:tc>
              <w:tc>
                <w:tcPr>
                  <w:tcW w:w="1377" w:type="dxa"/>
                  <w:noWrap w:val="0"/>
                  <w:vAlign w:val="center"/>
                </w:tcPr>
                <w:p w14:paraId="0B5773EB">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kern w:val="2"/>
                      <w:sz w:val="21"/>
                      <w:szCs w:val="24"/>
                      <w:lang w:val="en-US" w:eastAsia="zh-CN" w:bidi="ar-SA"/>
                    </w:rPr>
                  </w:pPr>
                  <w:r>
                    <w:rPr>
                      <w:rFonts w:hint="eastAsia" w:ascii="Times New Roman" w:hAnsi="Times New Roman" w:eastAsia="宋体"/>
                      <w:color w:val="auto"/>
                      <w:kern w:val="2"/>
                      <w:sz w:val="21"/>
                      <w:szCs w:val="24"/>
                      <w:lang w:val="en-US" w:eastAsia="zh-CN" w:bidi="ar-SA"/>
                    </w:rPr>
                    <w:t>60</w:t>
                  </w:r>
                </w:p>
              </w:tc>
              <w:tc>
                <w:tcPr>
                  <w:tcW w:w="1364" w:type="dxa"/>
                  <w:noWrap w:val="0"/>
                  <w:vAlign w:val="center"/>
                </w:tcPr>
                <w:p w14:paraId="2BACC57D">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kern w:val="2"/>
                      <w:sz w:val="21"/>
                      <w:szCs w:val="24"/>
                      <w:lang w:val="en-US" w:eastAsia="zh-CN" w:bidi="ar-SA"/>
                    </w:rPr>
                  </w:pPr>
                  <w:r>
                    <w:rPr>
                      <w:rFonts w:hint="eastAsia" w:ascii="Times New Roman" w:hAnsi="Times New Roman" w:eastAsia="宋体"/>
                      <w:color w:val="auto"/>
                      <w:kern w:val="2"/>
                      <w:sz w:val="21"/>
                      <w:szCs w:val="24"/>
                      <w:lang w:val="en-US" w:eastAsia="zh-CN" w:bidi="ar-SA"/>
                    </w:rPr>
                    <w:t>/</w:t>
                  </w:r>
                </w:p>
              </w:tc>
              <w:tc>
                <w:tcPr>
                  <w:tcW w:w="1691" w:type="dxa"/>
                  <w:noWrap w:val="0"/>
                  <w:vAlign w:val="center"/>
                </w:tcPr>
                <w:p w14:paraId="356C4C3E">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kern w:val="2"/>
                      <w:sz w:val="21"/>
                      <w:szCs w:val="24"/>
                      <w:lang w:val="en-US" w:eastAsia="zh-CN" w:bidi="ar-SA"/>
                    </w:rPr>
                  </w:pPr>
                  <w:r>
                    <w:rPr>
                      <w:rFonts w:hint="eastAsia" w:ascii="Times New Roman" w:hAnsi="Times New Roman" w:eastAsia="宋体"/>
                      <w:color w:val="auto"/>
                      <w:kern w:val="2"/>
                      <w:sz w:val="21"/>
                      <w:szCs w:val="24"/>
                      <w:lang w:val="en-US" w:eastAsia="zh-CN" w:bidi="ar-SA"/>
                    </w:rPr>
                    <w:t>4.0</w:t>
                  </w:r>
                </w:p>
              </w:tc>
              <w:tc>
                <w:tcPr>
                  <w:tcW w:w="2641" w:type="dxa"/>
                  <w:vMerge w:val="restart"/>
                  <w:noWrap w:val="0"/>
                  <w:vAlign w:val="center"/>
                </w:tcPr>
                <w:p w14:paraId="312EEFB7">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《合成树脂工业污染物排放标准》（GB31572-2015，含2024年修改单）</w:t>
                  </w:r>
                  <w:r>
                    <w:rPr>
                      <w:rFonts w:hint="eastAsia" w:ascii="Times New Roman" w:hAnsi="Times New Roman" w:eastAsia="宋体" w:cs="宋体"/>
                      <w:color w:val="auto"/>
                      <w:sz w:val="21"/>
                      <w:szCs w:val="21"/>
                      <w:lang w:val="en-US" w:eastAsia="zh-CN"/>
                    </w:rPr>
                    <w:t>表5和表9限值要求</w:t>
                  </w:r>
                </w:p>
              </w:tc>
            </w:tr>
            <w:tr w14:paraId="085BDB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5" w:hRule="exact"/>
                <w:jc w:val="center"/>
              </w:trPr>
              <w:tc>
                <w:tcPr>
                  <w:tcW w:w="1325" w:type="dxa"/>
                  <w:noWrap w:val="0"/>
                  <w:vAlign w:val="center"/>
                </w:tcPr>
                <w:p w14:paraId="774824D0">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颗粒物</w:t>
                  </w:r>
                </w:p>
              </w:tc>
              <w:tc>
                <w:tcPr>
                  <w:tcW w:w="1377" w:type="dxa"/>
                  <w:noWrap w:val="0"/>
                  <w:vAlign w:val="center"/>
                </w:tcPr>
                <w:p w14:paraId="72CA5CC5">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20</w:t>
                  </w:r>
                </w:p>
              </w:tc>
              <w:tc>
                <w:tcPr>
                  <w:tcW w:w="1364" w:type="dxa"/>
                  <w:noWrap w:val="0"/>
                  <w:vAlign w:val="center"/>
                </w:tcPr>
                <w:p w14:paraId="7DE09E37">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w:t>
                  </w:r>
                </w:p>
              </w:tc>
              <w:tc>
                <w:tcPr>
                  <w:tcW w:w="1691" w:type="dxa"/>
                  <w:noWrap w:val="0"/>
                  <w:vAlign w:val="center"/>
                </w:tcPr>
                <w:p w14:paraId="3A3ED420">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1.0</w:t>
                  </w:r>
                </w:p>
              </w:tc>
              <w:tc>
                <w:tcPr>
                  <w:tcW w:w="2641" w:type="dxa"/>
                  <w:vMerge w:val="continue"/>
                  <w:noWrap w:val="0"/>
                  <w:vAlign w:val="center"/>
                </w:tcPr>
                <w:p w14:paraId="773F157C">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rPr>
                  </w:pPr>
                </w:p>
              </w:tc>
            </w:tr>
            <w:tr w14:paraId="236BF5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0" w:hRule="exact"/>
                <w:jc w:val="center"/>
              </w:trPr>
              <w:tc>
                <w:tcPr>
                  <w:tcW w:w="1325" w:type="dxa"/>
                  <w:noWrap w:val="0"/>
                  <w:vAlign w:val="center"/>
                </w:tcPr>
                <w:p w14:paraId="39740B45">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苯乙烯</w:t>
                  </w:r>
                </w:p>
              </w:tc>
              <w:tc>
                <w:tcPr>
                  <w:tcW w:w="1377" w:type="dxa"/>
                  <w:noWrap w:val="0"/>
                  <w:vAlign w:val="center"/>
                </w:tcPr>
                <w:p w14:paraId="7DC99769">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20</w:t>
                  </w:r>
                </w:p>
              </w:tc>
              <w:tc>
                <w:tcPr>
                  <w:tcW w:w="1364" w:type="dxa"/>
                  <w:noWrap w:val="0"/>
                  <w:vAlign w:val="center"/>
                </w:tcPr>
                <w:p w14:paraId="1D789C3A">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w:t>
                  </w:r>
                </w:p>
              </w:tc>
              <w:tc>
                <w:tcPr>
                  <w:tcW w:w="1691" w:type="dxa"/>
                  <w:noWrap w:val="0"/>
                  <w:vAlign w:val="center"/>
                </w:tcPr>
                <w:p w14:paraId="7EF23898">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w:t>
                  </w:r>
                </w:p>
              </w:tc>
              <w:tc>
                <w:tcPr>
                  <w:tcW w:w="2641" w:type="dxa"/>
                  <w:vMerge w:val="continue"/>
                  <w:noWrap w:val="0"/>
                  <w:vAlign w:val="center"/>
                </w:tcPr>
                <w:p w14:paraId="19320CF4">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rPr>
                  </w:pPr>
                </w:p>
              </w:tc>
            </w:tr>
            <w:tr w14:paraId="757FA1C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85" w:hRule="exact"/>
                <w:jc w:val="center"/>
              </w:trPr>
              <w:tc>
                <w:tcPr>
                  <w:tcW w:w="1325" w:type="dxa"/>
                  <w:noWrap w:val="0"/>
                  <w:vAlign w:val="center"/>
                </w:tcPr>
                <w:p w14:paraId="5864662C">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臭气浓度</w:t>
                  </w:r>
                </w:p>
              </w:tc>
              <w:tc>
                <w:tcPr>
                  <w:tcW w:w="1377" w:type="dxa"/>
                  <w:noWrap w:val="0"/>
                  <w:vAlign w:val="center"/>
                </w:tcPr>
                <w:p w14:paraId="44DD4889">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2000（无量纲）</w:t>
                  </w:r>
                </w:p>
              </w:tc>
              <w:tc>
                <w:tcPr>
                  <w:tcW w:w="1364" w:type="dxa"/>
                  <w:noWrap w:val="0"/>
                  <w:vAlign w:val="center"/>
                </w:tcPr>
                <w:p w14:paraId="13709830">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w:t>
                  </w:r>
                </w:p>
              </w:tc>
              <w:tc>
                <w:tcPr>
                  <w:tcW w:w="1691" w:type="dxa"/>
                  <w:noWrap w:val="0"/>
                  <w:vAlign w:val="center"/>
                </w:tcPr>
                <w:p w14:paraId="2A48EBBC">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20（无量纲）</w:t>
                  </w:r>
                </w:p>
              </w:tc>
              <w:tc>
                <w:tcPr>
                  <w:tcW w:w="2641" w:type="dxa"/>
                  <w:noWrap w:val="0"/>
                  <w:vAlign w:val="center"/>
                </w:tcPr>
                <w:p w14:paraId="72929605">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rPr>
                    <w:t>《恶臭污染物排放标准》（GB14554-93）</w:t>
                  </w:r>
                  <w:r>
                    <w:rPr>
                      <w:rFonts w:hint="eastAsia" w:ascii="Times New Roman" w:hAnsi="Times New Roman" w:eastAsia="宋体" w:cs="宋体"/>
                      <w:color w:val="auto"/>
                      <w:sz w:val="21"/>
                      <w:szCs w:val="21"/>
                      <w:lang w:val="en-US" w:eastAsia="zh-CN"/>
                    </w:rPr>
                    <w:t>表1和表2限值要求</w:t>
                  </w:r>
                </w:p>
              </w:tc>
            </w:tr>
            <w:tr w14:paraId="5B81C5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55" w:hRule="exact"/>
                <w:jc w:val="center"/>
              </w:trPr>
              <w:tc>
                <w:tcPr>
                  <w:tcW w:w="1325" w:type="dxa"/>
                  <w:noWrap w:val="0"/>
                  <w:vAlign w:val="center"/>
                </w:tcPr>
                <w:p w14:paraId="6E03C6AE">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苯系物</w:t>
                  </w:r>
                  <w:r>
                    <w:rPr>
                      <w:rFonts w:hint="eastAsia" w:ascii="Times New Roman" w:hAnsi="Times New Roman" w:eastAsia="宋体"/>
                      <w:b/>
                      <w:bCs/>
                      <w:color w:val="auto"/>
                      <w:sz w:val="21"/>
                      <w:vertAlign w:val="superscript"/>
                      <w:lang w:val="en-US" w:eastAsia="zh-CN"/>
                    </w:rPr>
                    <w:t>*</w:t>
                  </w:r>
                </w:p>
              </w:tc>
              <w:tc>
                <w:tcPr>
                  <w:tcW w:w="1377" w:type="dxa"/>
                  <w:noWrap w:val="0"/>
                  <w:vAlign w:val="center"/>
                </w:tcPr>
                <w:p w14:paraId="58689AD5">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25</w:t>
                  </w:r>
                </w:p>
              </w:tc>
              <w:tc>
                <w:tcPr>
                  <w:tcW w:w="1364" w:type="dxa"/>
                  <w:noWrap w:val="0"/>
                  <w:vAlign w:val="center"/>
                </w:tcPr>
                <w:p w14:paraId="20BC0C02">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1.6</w:t>
                  </w:r>
                </w:p>
              </w:tc>
              <w:tc>
                <w:tcPr>
                  <w:tcW w:w="1691" w:type="dxa"/>
                  <w:noWrap w:val="0"/>
                  <w:vAlign w:val="center"/>
                </w:tcPr>
                <w:p w14:paraId="15C409D1">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0.4</w:t>
                  </w:r>
                </w:p>
              </w:tc>
              <w:tc>
                <w:tcPr>
                  <w:tcW w:w="2641" w:type="dxa"/>
                  <w:noWrap w:val="0"/>
                  <w:vAlign w:val="center"/>
                </w:tcPr>
                <w:p w14:paraId="7FD4211F">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rPr>
                    <w:t>《大气污染物综合排放标准》（DB32/4041-2021）</w:t>
                  </w:r>
                  <w:r>
                    <w:rPr>
                      <w:rFonts w:hint="eastAsia" w:ascii="Times New Roman" w:hAnsi="Times New Roman" w:eastAsia="宋体" w:cs="宋体"/>
                      <w:color w:val="auto"/>
                      <w:sz w:val="21"/>
                      <w:szCs w:val="21"/>
                      <w:lang w:val="en-US" w:eastAsia="zh-CN"/>
                    </w:rPr>
                    <w:t>表1和表3限值要求</w:t>
                  </w:r>
                </w:p>
              </w:tc>
            </w:tr>
          </w:tbl>
          <w:p w14:paraId="36103C21">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宋体"/>
                <w:color w:val="auto"/>
                <w:sz w:val="21"/>
                <w:szCs w:val="21"/>
              </w:rPr>
            </w:pPr>
            <w:r>
              <w:rPr>
                <w:rFonts w:hint="default" w:ascii="Times New Roman" w:hAnsi="Times New Roman" w:eastAsia="宋体" w:cs="宋体"/>
                <w:color w:val="auto"/>
                <w:sz w:val="21"/>
                <w:szCs w:val="21"/>
              </w:rPr>
              <w:t>表3-</w:t>
            </w:r>
            <w:r>
              <w:rPr>
                <w:rFonts w:hint="eastAsia" w:ascii="Times New Roman" w:hAnsi="Times New Roman" w:cs="宋体"/>
                <w:color w:val="auto"/>
                <w:sz w:val="21"/>
                <w:szCs w:val="21"/>
                <w:lang w:val="en-US" w:eastAsia="zh-CN"/>
              </w:rPr>
              <w:t xml:space="preserve">3 </w:t>
            </w:r>
            <w:r>
              <w:rPr>
                <w:rFonts w:hint="default" w:ascii="Times New Roman" w:hAnsi="Times New Roman" w:eastAsia="宋体" w:cs="宋体"/>
                <w:color w:val="auto"/>
                <w:sz w:val="21"/>
                <w:szCs w:val="21"/>
              </w:rPr>
              <w:t>厂区内VOCs无组织排放限值</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455"/>
              <w:gridCol w:w="2679"/>
              <w:gridCol w:w="1520"/>
              <w:gridCol w:w="1802"/>
            </w:tblGrid>
            <w:tr w14:paraId="7C4A99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9" w:type="pct"/>
                  <w:noWrap w:val="0"/>
                  <w:vAlign w:val="center"/>
                </w:tcPr>
                <w:p w14:paraId="66995F0C">
                  <w:pPr>
                    <w:adjustRightInd w:val="0"/>
                    <w:snapToGrid w:val="0"/>
                    <w:jc w:val="center"/>
                    <w:rPr>
                      <w:rFonts w:ascii="Times New Roman" w:hAnsi="Times New Roman" w:eastAsia="宋体"/>
                      <w:color w:val="auto"/>
                    </w:rPr>
                  </w:pPr>
                  <w:r>
                    <w:rPr>
                      <w:rFonts w:ascii="Times New Roman" w:hAnsi="Times New Roman" w:eastAsia="宋体"/>
                      <w:color w:val="auto"/>
                    </w:rPr>
                    <w:t>污染物</w:t>
                  </w:r>
                </w:p>
                <w:p w14:paraId="616E0A87">
                  <w:pPr>
                    <w:adjustRightInd w:val="0"/>
                    <w:snapToGrid w:val="0"/>
                    <w:jc w:val="center"/>
                    <w:rPr>
                      <w:rFonts w:ascii="Times New Roman" w:hAnsi="Times New Roman" w:eastAsia="宋体"/>
                      <w:color w:val="auto"/>
                    </w:rPr>
                  </w:pPr>
                  <w:r>
                    <w:rPr>
                      <w:rFonts w:ascii="Times New Roman" w:hAnsi="Times New Roman" w:eastAsia="宋体"/>
                      <w:color w:val="auto"/>
                    </w:rPr>
                    <w:t>项目</w:t>
                  </w:r>
                </w:p>
              </w:tc>
              <w:tc>
                <w:tcPr>
                  <w:tcW w:w="866" w:type="pct"/>
                  <w:noWrap w:val="0"/>
                  <w:vAlign w:val="center"/>
                </w:tcPr>
                <w:p w14:paraId="1C7B2191">
                  <w:pPr>
                    <w:adjustRightInd w:val="0"/>
                    <w:snapToGrid w:val="0"/>
                    <w:jc w:val="center"/>
                    <w:rPr>
                      <w:rFonts w:ascii="Times New Roman" w:hAnsi="Times New Roman" w:eastAsia="宋体"/>
                      <w:color w:val="auto"/>
                    </w:rPr>
                  </w:pPr>
                  <w:r>
                    <w:rPr>
                      <w:rFonts w:ascii="Times New Roman" w:hAnsi="Times New Roman" w:eastAsia="宋体"/>
                      <w:color w:val="auto"/>
                    </w:rPr>
                    <w:t>监控点限值</w:t>
                  </w:r>
                </w:p>
                <w:p w14:paraId="2483BCE9">
                  <w:pPr>
                    <w:adjustRightInd w:val="0"/>
                    <w:snapToGrid w:val="0"/>
                    <w:jc w:val="center"/>
                    <w:rPr>
                      <w:rFonts w:ascii="Times New Roman" w:hAnsi="Times New Roman" w:eastAsia="宋体"/>
                      <w:color w:val="auto"/>
                    </w:rPr>
                  </w:pPr>
                  <w:r>
                    <w:rPr>
                      <w:rFonts w:ascii="Times New Roman" w:hAnsi="Times New Roman" w:eastAsia="宋体"/>
                      <w:color w:val="auto"/>
                    </w:rPr>
                    <w:t>mg/m</w:t>
                  </w:r>
                  <w:r>
                    <w:rPr>
                      <w:rFonts w:ascii="Times New Roman" w:hAnsi="Times New Roman" w:eastAsia="宋体"/>
                      <w:color w:val="auto"/>
                      <w:vertAlign w:val="superscript"/>
                    </w:rPr>
                    <w:t>3</w:t>
                  </w:r>
                </w:p>
              </w:tc>
              <w:tc>
                <w:tcPr>
                  <w:tcW w:w="1595" w:type="pct"/>
                  <w:noWrap w:val="0"/>
                  <w:vAlign w:val="center"/>
                </w:tcPr>
                <w:p w14:paraId="15E5C8A3">
                  <w:pPr>
                    <w:adjustRightInd w:val="0"/>
                    <w:snapToGrid w:val="0"/>
                    <w:jc w:val="center"/>
                    <w:rPr>
                      <w:rFonts w:ascii="Times New Roman" w:hAnsi="Times New Roman" w:eastAsia="宋体"/>
                      <w:color w:val="auto"/>
                    </w:rPr>
                  </w:pPr>
                  <w:r>
                    <w:rPr>
                      <w:rFonts w:ascii="Times New Roman" w:hAnsi="Times New Roman" w:eastAsia="宋体"/>
                      <w:color w:val="auto"/>
                    </w:rPr>
                    <w:t>限值含义</w:t>
                  </w:r>
                </w:p>
              </w:tc>
              <w:tc>
                <w:tcPr>
                  <w:tcW w:w="905" w:type="pct"/>
                  <w:noWrap w:val="0"/>
                  <w:vAlign w:val="center"/>
                </w:tcPr>
                <w:p w14:paraId="34BFC169">
                  <w:pPr>
                    <w:adjustRightInd w:val="0"/>
                    <w:snapToGrid w:val="0"/>
                    <w:jc w:val="center"/>
                    <w:rPr>
                      <w:rFonts w:ascii="Times New Roman" w:hAnsi="Times New Roman" w:eastAsia="宋体"/>
                      <w:color w:val="auto"/>
                    </w:rPr>
                  </w:pPr>
                  <w:r>
                    <w:rPr>
                      <w:rFonts w:ascii="Times New Roman" w:hAnsi="Times New Roman" w:eastAsia="宋体"/>
                      <w:color w:val="auto"/>
                    </w:rPr>
                    <w:t>无组织排放</w:t>
                  </w:r>
                </w:p>
                <w:p w14:paraId="34E05F70">
                  <w:pPr>
                    <w:adjustRightInd w:val="0"/>
                    <w:snapToGrid w:val="0"/>
                    <w:jc w:val="center"/>
                    <w:rPr>
                      <w:rFonts w:ascii="Times New Roman" w:hAnsi="Times New Roman" w:eastAsia="宋体"/>
                      <w:color w:val="auto"/>
                    </w:rPr>
                  </w:pPr>
                  <w:r>
                    <w:rPr>
                      <w:rFonts w:ascii="Times New Roman" w:hAnsi="Times New Roman" w:eastAsia="宋体"/>
                      <w:color w:val="auto"/>
                    </w:rPr>
                    <w:t>监控位置</w:t>
                  </w:r>
                </w:p>
              </w:tc>
              <w:tc>
                <w:tcPr>
                  <w:tcW w:w="1073" w:type="pct"/>
                  <w:noWrap w:val="0"/>
                  <w:vAlign w:val="center"/>
                </w:tcPr>
                <w:p w14:paraId="08F5C4F5">
                  <w:pPr>
                    <w:adjustRightInd w:val="0"/>
                    <w:snapToGrid w:val="0"/>
                    <w:jc w:val="center"/>
                    <w:rPr>
                      <w:rFonts w:ascii="Times New Roman" w:hAnsi="Times New Roman" w:eastAsia="宋体"/>
                      <w:color w:val="auto"/>
                    </w:rPr>
                  </w:pPr>
                  <w:r>
                    <w:rPr>
                      <w:rFonts w:ascii="Times New Roman" w:hAnsi="Times New Roman" w:eastAsia="宋体"/>
                      <w:color w:val="auto"/>
                    </w:rPr>
                    <w:t>标准来源</w:t>
                  </w:r>
                </w:p>
              </w:tc>
            </w:tr>
            <w:tr w14:paraId="3254D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559" w:type="pct"/>
                  <w:vMerge w:val="restart"/>
                  <w:noWrap w:val="0"/>
                  <w:vAlign w:val="center"/>
                </w:tcPr>
                <w:p w14:paraId="62FCBC6E">
                  <w:pPr>
                    <w:adjustRightInd w:val="0"/>
                    <w:snapToGrid w:val="0"/>
                    <w:jc w:val="center"/>
                    <w:rPr>
                      <w:rFonts w:hint="eastAsia" w:ascii="Times New Roman" w:hAnsi="Times New Roman" w:eastAsia="宋体"/>
                      <w:color w:val="auto"/>
                      <w:lang w:eastAsia="zh-CN"/>
                    </w:rPr>
                  </w:pPr>
                  <w:r>
                    <w:rPr>
                      <w:rFonts w:hint="eastAsia" w:ascii="Times New Roman" w:hAnsi="Times New Roman" w:eastAsia="宋体"/>
                      <w:color w:val="auto"/>
                      <w:lang w:val="en-US" w:eastAsia="zh-CN"/>
                    </w:rPr>
                    <w:t>非甲烷总烃</w:t>
                  </w:r>
                </w:p>
              </w:tc>
              <w:tc>
                <w:tcPr>
                  <w:tcW w:w="866" w:type="pct"/>
                  <w:noWrap w:val="0"/>
                  <w:vAlign w:val="center"/>
                </w:tcPr>
                <w:p w14:paraId="07FF7D66">
                  <w:pPr>
                    <w:pStyle w:val="47"/>
                    <w:rPr>
                      <w:rFonts w:ascii="Times New Roman" w:hAnsi="Times New Roman" w:eastAsia="宋体"/>
                      <w:color w:val="auto"/>
                    </w:rPr>
                  </w:pPr>
                  <w:r>
                    <w:rPr>
                      <w:rFonts w:ascii="Times New Roman" w:hAnsi="Times New Roman" w:eastAsia="宋体"/>
                      <w:color w:val="auto"/>
                    </w:rPr>
                    <w:t>6</w:t>
                  </w:r>
                </w:p>
              </w:tc>
              <w:tc>
                <w:tcPr>
                  <w:tcW w:w="1595" w:type="pct"/>
                  <w:noWrap w:val="0"/>
                  <w:vAlign w:val="center"/>
                </w:tcPr>
                <w:p w14:paraId="4E466E3E">
                  <w:pPr>
                    <w:pStyle w:val="47"/>
                    <w:rPr>
                      <w:rFonts w:ascii="Times New Roman" w:hAnsi="Times New Roman" w:eastAsia="宋体"/>
                      <w:color w:val="auto"/>
                    </w:rPr>
                  </w:pPr>
                  <w:r>
                    <w:rPr>
                      <w:rFonts w:ascii="Times New Roman" w:hAnsi="Times New Roman" w:eastAsia="宋体"/>
                      <w:color w:val="auto"/>
                    </w:rPr>
                    <w:t>监控点处1h平均浓度值</w:t>
                  </w:r>
                </w:p>
              </w:tc>
              <w:tc>
                <w:tcPr>
                  <w:tcW w:w="905" w:type="pct"/>
                  <w:vMerge w:val="restart"/>
                  <w:noWrap w:val="0"/>
                  <w:vAlign w:val="center"/>
                </w:tcPr>
                <w:p w14:paraId="20612C13">
                  <w:pPr>
                    <w:pStyle w:val="47"/>
                    <w:rPr>
                      <w:rFonts w:ascii="Times New Roman" w:hAnsi="Times New Roman" w:eastAsia="宋体"/>
                      <w:color w:val="auto"/>
                    </w:rPr>
                  </w:pPr>
                  <w:r>
                    <w:rPr>
                      <w:rFonts w:ascii="Times New Roman" w:hAnsi="Times New Roman" w:eastAsia="宋体"/>
                      <w:color w:val="auto"/>
                    </w:rPr>
                    <w:t>在厂房外</w:t>
                  </w:r>
                </w:p>
                <w:p w14:paraId="282427FA">
                  <w:pPr>
                    <w:pStyle w:val="47"/>
                    <w:rPr>
                      <w:rFonts w:ascii="Times New Roman" w:hAnsi="Times New Roman" w:eastAsia="宋体"/>
                      <w:color w:val="auto"/>
                    </w:rPr>
                  </w:pPr>
                  <w:r>
                    <w:rPr>
                      <w:rFonts w:ascii="Times New Roman" w:hAnsi="Times New Roman" w:eastAsia="宋体"/>
                      <w:color w:val="auto"/>
                    </w:rPr>
                    <w:t>设置监控点</w:t>
                  </w:r>
                </w:p>
              </w:tc>
              <w:tc>
                <w:tcPr>
                  <w:tcW w:w="1073" w:type="pct"/>
                  <w:vMerge w:val="restart"/>
                  <w:noWrap w:val="0"/>
                  <w:vAlign w:val="center"/>
                </w:tcPr>
                <w:p w14:paraId="1E2861BD">
                  <w:pPr>
                    <w:pStyle w:val="47"/>
                    <w:rPr>
                      <w:rFonts w:ascii="Times New Roman" w:hAnsi="Times New Roman" w:eastAsia="宋体"/>
                      <w:color w:val="auto"/>
                    </w:rPr>
                  </w:pPr>
                  <w:r>
                    <w:rPr>
                      <w:rFonts w:hint="eastAsia" w:ascii="Times New Roman" w:hAnsi="Times New Roman" w:eastAsia="宋体"/>
                      <w:color w:val="auto"/>
                    </w:rPr>
                    <w:t>《大气污染物综合排放标准》</w:t>
                  </w:r>
                  <w:r>
                    <w:rPr>
                      <w:rFonts w:ascii="Times New Roman" w:hAnsi="Times New Roman" w:eastAsia="宋体"/>
                      <w:color w:val="auto"/>
                    </w:rPr>
                    <w:t>DB32/4041-2021</w:t>
                  </w:r>
                </w:p>
              </w:tc>
            </w:tr>
            <w:tr w14:paraId="27F2D3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59" w:type="pct"/>
                  <w:vMerge w:val="continue"/>
                  <w:noWrap w:val="0"/>
                  <w:vAlign w:val="center"/>
                </w:tcPr>
                <w:p w14:paraId="421B22AB">
                  <w:pPr>
                    <w:adjustRightInd w:val="0"/>
                    <w:snapToGrid w:val="0"/>
                    <w:jc w:val="center"/>
                    <w:rPr>
                      <w:rFonts w:ascii="Times New Roman" w:hAnsi="Times New Roman" w:eastAsia="宋体"/>
                      <w:color w:val="auto"/>
                    </w:rPr>
                  </w:pPr>
                </w:p>
              </w:tc>
              <w:tc>
                <w:tcPr>
                  <w:tcW w:w="866" w:type="pct"/>
                  <w:noWrap w:val="0"/>
                  <w:vAlign w:val="center"/>
                </w:tcPr>
                <w:p w14:paraId="38861E36">
                  <w:pPr>
                    <w:pStyle w:val="47"/>
                    <w:rPr>
                      <w:rFonts w:ascii="Times New Roman" w:hAnsi="Times New Roman" w:eastAsia="宋体"/>
                      <w:color w:val="auto"/>
                    </w:rPr>
                  </w:pPr>
                  <w:r>
                    <w:rPr>
                      <w:rFonts w:ascii="Times New Roman" w:hAnsi="Times New Roman" w:eastAsia="宋体"/>
                      <w:color w:val="auto"/>
                    </w:rPr>
                    <w:t>20</w:t>
                  </w:r>
                </w:p>
              </w:tc>
              <w:tc>
                <w:tcPr>
                  <w:tcW w:w="1595" w:type="pct"/>
                  <w:noWrap w:val="0"/>
                  <w:vAlign w:val="center"/>
                </w:tcPr>
                <w:p w14:paraId="756A3BA4">
                  <w:pPr>
                    <w:pStyle w:val="47"/>
                    <w:rPr>
                      <w:rFonts w:ascii="Times New Roman" w:hAnsi="Times New Roman" w:eastAsia="宋体"/>
                      <w:color w:val="auto"/>
                    </w:rPr>
                  </w:pPr>
                  <w:r>
                    <w:rPr>
                      <w:rFonts w:ascii="Times New Roman" w:hAnsi="Times New Roman" w:eastAsia="宋体"/>
                      <w:color w:val="auto"/>
                    </w:rPr>
                    <w:t>监控点处任意一次浓度值</w:t>
                  </w:r>
                </w:p>
              </w:tc>
              <w:tc>
                <w:tcPr>
                  <w:tcW w:w="905" w:type="pct"/>
                  <w:vMerge w:val="continue"/>
                  <w:noWrap w:val="0"/>
                  <w:vAlign w:val="center"/>
                </w:tcPr>
                <w:p w14:paraId="2179484E">
                  <w:pPr>
                    <w:pStyle w:val="47"/>
                    <w:rPr>
                      <w:rFonts w:ascii="Times New Roman" w:hAnsi="Times New Roman" w:eastAsia="宋体"/>
                      <w:color w:val="auto"/>
                    </w:rPr>
                  </w:pPr>
                </w:p>
              </w:tc>
              <w:tc>
                <w:tcPr>
                  <w:tcW w:w="1073" w:type="pct"/>
                  <w:vMerge w:val="continue"/>
                  <w:noWrap w:val="0"/>
                  <w:vAlign w:val="center"/>
                </w:tcPr>
                <w:p w14:paraId="23ED1E75">
                  <w:pPr>
                    <w:pStyle w:val="47"/>
                    <w:rPr>
                      <w:rFonts w:ascii="Times New Roman" w:hAnsi="Times New Roman" w:eastAsia="宋体"/>
                      <w:color w:val="auto"/>
                    </w:rPr>
                  </w:pPr>
                </w:p>
              </w:tc>
            </w:tr>
          </w:tbl>
          <w:p w14:paraId="6B7CDE2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ascii="Times New Roman" w:hAnsi="Times New Roman" w:eastAsia="宋体"/>
                <w:b w:val="0"/>
                <w:bCs w:val="0"/>
                <w:color w:val="auto"/>
              </w:rPr>
            </w:pPr>
            <w:r>
              <w:rPr>
                <w:rFonts w:hint="eastAsia" w:ascii="Times New Roman" w:hAnsi="Times New Roman" w:eastAsia="宋体"/>
                <w:b w:val="0"/>
                <w:bCs w:val="0"/>
                <w:color w:val="auto"/>
              </w:rPr>
              <w:t>2、水污染排放标准</w:t>
            </w:r>
          </w:p>
          <w:p w14:paraId="583E25F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b/>
                <w:color w:val="auto"/>
                <w:szCs w:val="21"/>
                <w:highlight w:val="none"/>
              </w:rPr>
            </w:pPr>
            <w:r>
              <w:rPr>
                <w:rFonts w:hint="eastAsia"/>
                <w:color w:val="auto"/>
              </w:rPr>
              <w:t>本项目生产废水</w:t>
            </w:r>
            <w:r>
              <w:rPr>
                <w:rFonts w:hint="eastAsia"/>
                <w:color w:val="auto"/>
                <w:lang w:val="en-US" w:eastAsia="zh-CN"/>
              </w:rPr>
              <w:t>主要为冷却水，冷却水循环使用，定期补充损耗，不外排，本项目</w:t>
            </w:r>
            <w:r>
              <w:rPr>
                <w:rFonts w:hint="eastAsia"/>
                <w:color w:val="auto"/>
              </w:rPr>
              <w:t>生活污水</w:t>
            </w:r>
            <w:r>
              <w:rPr>
                <w:rFonts w:hint="eastAsia"/>
                <w:color w:val="auto"/>
                <w:lang w:val="en-US" w:eastAsia="zh-CN"/>
              </w:rPr>
              <w:t>经</w:t>
            </w:r>
            <w:r>
              <w:rPr>
                <w:rFonts w:hint="eastAsia"/>
                <w:color w:val="auto"/>
              </w:rPr>
              <w:t>化粪池预处理后</w:t>
            </w:r>
            <w:r>
              <w:rPr>
                <w:rFonts w:hint="eastAsia"/>
                <w:color w:val="auto"/>
                <w:lang w:val="en-US" w:eastAsia="zh-CN"/>
              </w:rPr>
              <w:t>满足</w:t>
            </w:r>
            <w:r>
              <w:rPr>
                <w:rFonts w:hint="eastAsia"/>
                <w:color w:val="auto"/>
              </w:rPr>
              <w:t>涟水经济开发区西区污水处理厂</w:t>
            </w:r>
            <w:r>
              <w:rPr>
                <w:rFonts w:hint="eastAsia"/>
                <w:color w:val="auto"/>
                <w:lang w:val="en-US" w:eastAsia="zh-CN"/>
              </w:rPr>
              <w:t>接管标准，污水处理厂尾水标准执行《城镇污水处理厂污染物排放标准》（GB18918-2002）表1中一级A标准，处理达标后尾水经祁六沟排入公兴河。具体标准详见下表。</w:t>
            </w:r>
          </w:p>
          <w:p w14:paraId="41FA9417">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r>
              <w:rPr>
                <w:rFonts w:hint="default" w:ascii="Times New Roman" w:hAnsi="Times New Roman" w:eastAsia="宋体" w:cs="宋体"/>
                <w:color w:val="auto"/>
                <w:sz w:val="21"/>
                <w:szCs w:val="21"/>
              </w:rPr>
              <w:t>表3-</w:t>
            </w:r>
            <w:r>
              <w:rPr>
                <w:rFonts w:hint="eastAsia" w:ascii="Times New Roman" w:hAnsi="Times New Roman" w:eastAsia="宋体" w:cs="宋体"/>
                <w:color w:val="auto"/>
                <w:sz w:val="21"/>
                <w:szCs w:val="21"/>
                <w:lang w:val="en-US" w:eastAsia="zh-CN"/>
              </w:rPr>
              <w:t xml:space="preserve">4 </w:t>
            </w:r>
            <w:r>
              <w:rPr>
                <w:rFonts w:hint="default" w:ascii="Times New Roman" w:hAnsi="Times New Roman" w:eastAsia="宋体" w:cs="宋体"/>
                <w:color w:val="auto"/>
                <w:sz w:val="21"/>
                <w:szCs w:val="21"/>
              </w:rPr>
              <w:t>水污染物接管标准和</w:t>
            </w:r>
            <w:r>
              <w:rPr>
                <w:rFonts w:hint="eastAsia" w:ascii="Times New Roman" w:hAnsi="Times New Roman" w:eastAsia="宋体" w:cs="宋体"/>
                <w:color w:val="auto"/>
                <w:sz w:val="21"/>
                <w:szCs w:val="21"/>
                <w:lang w:val="en-US" w:eastAsia="zh-CN"/>
              </w:rPr>
              <w:t>尾水</w:t>
            </w:r>
            <w:r>
              <w:rPr>
                <w:rFonts w:hint="default" w:ascii="Times New Roman" w:hAnsi="Times New Roman" w:eastAsia="宋体" w:cs="宋体"/>
                <w:color w:val="auto"/>
                <w:sz w:val="21"/>
                <w:szCs w:val="21"/>
              </w:rPr>
              <w:t>排放标准（pH无量纲，其余单位为mg/L）</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233"/>
              <w:gridCol w:w="1161"/>
              <w:gridCol w:w="1128"/>
              <w:gridCol w:w="1349"/>
              <w:gridCol w:w="1087"/>
              <w:gridCol w:w="970"/>
            </w:tblGrid>
            <w:tr w14:paraId="55E741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73" w:type="pct"/>
                  <w:noWrap w:val="0"/>
                  <w:vAlign w:val="center"/>
                </w:tcPr>
                <w:p w14:paraId="23D90A1C">
                  <w:pPr>
                    <w:jc w:val="center"/>
                    <w:rPr>
                      <w:b w:val="0"/>
                      <w:bCs w:val="0"/>
                      <w:color w:val="auto"/>
                      <w:sz w:val="21"/>
                      <w:szCs w:val="21"/>
                      <w:highlight w:val="none"/>
                    </w:rPr>
                  </w:pPr>
                  <w:r>
                    <w:rPr>
                      <w:b w:val="0"/>
                      <w:bCs w:val="0"/>
                      <w:color w:val="auto"/>
                      <w:sz w:val="21"/>
                      <w:szCs w:val="21"/>
                      <w:highlight w:val="none"/>
                    </w:rPr>
                    <w:t>项目</w:t>
                  </w:r>
                </w:p>
              </w:tc>
              <w:tc>
                <w:tcPr>
                  <w:tcW w:w="734" w:type="pct"/>
                  <w:noWrap w:val="0"/>
                  <w:vAlign w:val="center"/>
                </w:tcPr>
                <w:p w14:paraId="3327C4A1">
                  <w:pPr>
                    <w:jc w:val="center"/>
                    <w:rPr>
                      <w:b w:val="0"/>
                      <w:bCs w:val="0"/>
                      <w:color w:val="auto"/>
                      <w:sz w:val="21"/>
                      <w:szCs w:val="21"/>
                      <w:highlight w:val="none"/>
                    </w:rPr>
                  </w:pPr>
                  <w:r>
                    <w:rPr>
                      <w:b w:val="0"/>
                      <w:bCs w:val="0"/>
                      <w:color w:val="auto"/>
                      <w:sz w:val="21"/>
                      <w:szCs w:val="21"/>
                      <w:highlight w:val="none"/>
                    </w:rPr>
                    <w:t>pH</w:t>
                  </w:r>
                </w:p>
              </w:tc>
              <w:tc>
                <w:tcPr>
                  <w:tcW w:w="691" w:type="pct"/>
                  <w:noWrap w:val="0"/>
                  <w:vAlign w:val="center"/>
                </w:tcPr>
                <w:p w14:paraId="24086521">
                  <w:pPr>
                    <w:jc w:val="center"/>
                    <w:rPr>
                      <w:b w:val="0"/>
                      <w:bCs w:val="0"/>
                      <w:color w:val="auto"/>
                      <w:sz w:val="21"/>
                      <w:szCs w:val="21"/>
                      <w:highlight w:val="none"/>
                    </w:rPr>
                  </w:pPr>
                  <w:r>
                    <w:rPr>
                      <w:b w:val="0"/>
                      <w:bCs w:val="0"/>
                      <w:color w:val="auto"/>
                      <w:sz w:val="21"/>
                      <w:szCs w:val="21"/>
                      <w:highlight w:val="none"/>
                    </w:rPr>
                    <w:t>COD</w:t>
                  </w:r>
                </w:p>
              </w:tc>
              <w:tc>
                <w:tcPr>
                  <w:tcW w:w="671" w:type="pct"/>
                  <w:noWrap w:val="0"/>
                  <w:vAlign w:val="center"/>
                </w:tcPr>
                <w:p w14:paraId="7B977AF0">
                  <w:pPr>
                    <w:jc w:val="center"/>
                    <w:rPr>
                      <w:b w:val="0"/>
                      <w:bCs w:val="0"/>
                      <w:color w:val="auto"/>
                      <w:sz w:val="21"/>
                      <w:szCs w:val="21"/>
                      <w:highlight w:val="none"/>
                    </w:rPr>
                  </w:pPr>
                  <w:r>
                    <w:rPr>
                      <w:b w:val="0"/>
                      <w:bCs w:val="0"/>
                      <w:color w:val="auto"/>
                      <w:sz w:val="21"/>
                      <w:szCs w:val="21"/>
                      <w:highlight w:val="none"/>
                    </w:rPr>
                    <w:t>SS</w:t>
                  </w:r>
                </w:p>
              </w:tc>
              <w:tc>
                <w:tcPr>
                  <w:tcW w:w="803" w:type="pct"/>
                  <w:noWrap w:val="0"/>
                  <w:vAlign w:val="center"/>
                </w:tcPr>
                <w:p w14:paraId="2BAC00C7">
                  <w:pPr>
                    <w:jc w:val="center"/>
                    <w:rPr>
                      <w:b w:val="0"/>
                      <w:bCs w:val="0"/>
                      <w:color w:val="auto"/>
                      <w:sz w:val="21"/>
                      <w:szCs w:val="21"/>
                      <w:highlight w:val="none"/>
                    </w:rPr>
                  </w:pPr>
                  <w:r>
                    <w:rPr>
                      <w:b w:val="0"/>
                      <w:bCs w:val="0"/>
                      <w:color w:val="auto"/>
                      <w:sz w:val="21"/>
                      <w:szCs w:val="21"/>
                      <w:highlight w:val="none"/>
                    </w:rPr>
                    <w:t>NH</w:t>
                  </w:r>
                  <w:r>
                    <w:rPr>
                      <w:b w:val="0"/>
                      <w:bCs w:val="0"/>
                      <w:color w:val="auto"/>
                      <w:sz w:val="21"/>
                      <w:szCs w:val="21"/>
                      <w:highlight w:val="none"/>
                      <w:vertAlign w:val="subscript"/>
                    </w:rPr>
                    <w:t>3</w:t>
                  </w:r>
                  <w:r>
                    <w:rPr>
                      <w:b w:val="0"/>
                      <w:bCs w:val="0"/>
                      <w:color w:val="auto"/>
                      <w:sz w:val="21"/>
                      <w:szCs w:val="21"/>
                      <w:highlight w:val="none"/>
                    </w:rPr>
                    <w:t>-N</w:t>
                  </w:r>
                </w:p>
              </w:tc>
              <w:tc>
                <w:tcPr>
                  <w:tcW w:w="647" w:type="pct"/>
                  <w:noWrap w:val="0"/>
                  <w:vAlign w:val="center"/>
                </w:tcPr>
                <w:p w14:paraId="36975180">
                  <w:pPr>
                    <w:jc w:val="center"/>
                    <w:rPr>
                      <w:b w:val="0"/>
                      <w:bCs w:val="0"/>
                      <w:color w:val="auto"/>
                      <w:sz w:val="21"/>
                      <w:szCs w:val="21"/>
                      <w:highlight w:val="none"/>
                    </w:rPr>
                  </w:pPr>
                  <w:r>
                    <w:rPr>
                      <w:b w:val="0"/>
                      <w:bCs w:val="0"/>
                      <w:color w:val="auto"/>
                      <w:sz w:val="21"/>
                      <w:szCs w:val="21"/>
                      <w:highlight w:val="none"/>
                    </w:rPr>
                    <w:t>TP</w:t>
                  </w:r>
                </w:p>
              </w:tc>
              <w:tc>
                <w:tcPr>
                  <w:tcW w:w="577" w:type="pct"/>
                  <w:noWrap w:val="0"/>
                  <w:vAlign w:val="center"/>
                </w:tcPr>
                <w:p w14:paraId="17BF36B6">
                  <w:pPr>
                    <w:jc w:val="center"/>
                    <w:rPr>
                      <w:b w:val="0"/>
                      <w:bCs w:val="0"/>
                      <w:color w:val="auto"/>
                      <w:sz w:val="21"/>
                      <w:szCs w:val="21"/>
                      <w:highlight w:val="none"/>
                    </w:rPr>
                  </w:pPr>
                  <w:r>
                    <w:rPr>
                      <w:b w:val="0"/>
                      <w:bCs w:val="0"/>
                      <w:color w:val="auto"/>
                      <w:sz w:val="21"/>
                      <w:szCs w:val="21"/>
                      <w:highlight w:val="none"/>
                    </w:rPr>
                    <w:t>TN</w:t>
                  </w:r>
                </w:p>
              </w:tc>
            </w:tr>
            <w:tr w14:paraId="602ED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73" w:type="pct"/>
                  <w:noWrap w:val="0"/>
                  <w:vAlign w:val="center"/>
                </w:tcPr>
                <w:p w14:paraId="26701A17">
                  <w:pPr>
                    <w:jc w:val="center"/>
                    <w:rPr>
                      <w:b w:val="0"/>
                      <w:bCs w:val="0"/>
                      <w:color w:val="auto"/>
                      <w:sz w:val="21"/>
                      <w:szCs w:val="21"/>
                      <w:highlight w:val="none"/>
                    </w:rPr>
                  </w:pPr>
                  <w:r>
                    <w:rPr>
                      <w:b w:val="0"/>
                      <w:bCs w:val="0"/>
                      <w:color w:val="auto"/>
                      <w:sz w:val="21"/>
                      <w:szCs w:val="21"/>
                      <w:highlight w:val="none"/>
                    </w:rPr>
                    <w:t>接管标准</w:t>
                  </w:r>
                </w:p>
              </w:tc>
              <w:tc>
                <w:tcPr>
                  <w:tcW w:w="734" w:type="pct"/>
                  <w:noWrap w:val="0"/>
                  <w:vAlign w:val="center"/>
                </w:tcPr>
                <w:p w14:paraId="4037A4E5">
                  <w:pPr>
                    <w:jc w:val="center"/>
                    <w:rPr>
                      <w:rFonts w:hint="default" w:eastAsia="宋体"/>
                      <w:color w:val="auto"/>
                      <w:sz w:val="21"/>
                      <w:szCs w:val="21"/>
                      <w:highlight w:val="none"/>
                      <w:lang w:val="en-US" w:eastAsia="zh-CN"/>
                    </w:rPr>
                  </w:pPr>
                  <w:r>
                    <w:rPr>
                      <w:color w:val="auto"/>
                      <w:sz w:val="21"/>
                      <w:szCs w:val="21"/>
                      <w:highlight w:val="none"/>
                    </w:rPr>
                    <w:t>6~9</w:t>
                  </w:r>
                </w:p>
              </w:tc>
              <w:tc>
                <w:tcPr>
                  <w:tcW w:w="691" w:type="pct"/>
                  <w:noWrap w:val="0"/>
                  <w:vAlign w:val="center"/>
                </w:tcPr>
                <w:p w14:paraId="6E79BE6B">
                  <w:pPr>
                    <w:jc w:val="center"/>
                    <w:rPr>
                      <w:color w:val="auto"/>
                      <w:sz w:val="21"/>
                      <w:szCs w:val="21"/>
                      <w:highlight w:val="none"/>
                    </w:rPr>
                  </w:pPr>
                  <w:r>
                    <w:rPr>
                      <w:rFonts w:hint="eastAsia"/>
                      <w:color w:val="auto"/>
                      <w:sz w:val="21"/>
                      <w:szCs w:val="21"/>
                      <w:highlight w:val="none"/>
                    </w:rPr>
                    <w:t>500</w:t>
                  </w:r>
                </w:p>
              </w:tc>
              <w:tc>
                <w:tcPr>
                  <w:tcW w:w="671" w:type="pct"/>
                  <w:noWrap w:val="0"/>
                  <w:vAlign w:val="center"/>
                </w:tcPr>
                <w:p w14:paraId="43B194FE">
                  <w:pPr>
                    <w:jc w:val="center"/>
                    <w:rPr>
                      <w:color w:val="auto"/>
                      <w:sz w:val="21"/>
                      <w:szCs w:val="21"/>
                      <w:highlight w:val="none"/>
                    </w:rPr>
                  </w:pPr>
                  <w:r>
                    <w:rPr>
                      <w:rFonts w:hint="eastAsia"/>
                      <w:color w:val="auto"/>
                      <w:sz w:val="21"/>
                      <w:szCs w:val="21"/>
                      <w:highlight w:val="none"/>
                    </w:rPr>
                    <w:t>4</w:t>
                  </w:r>
                  <w:r>
                    <w:rPr>
                      <w:color w:val="auto"/>
                      <w:sz w:val="21"/>
                      <w:szCs w:val="21"/>
                      <w:highlight w:val="none"/>
                    </w:rPr>
                    <w:t>00</w:t>
                  </w:r>
                </w:p>
              </w:tc>
              <w:tc>
                <w:tcPr>
                  <w:tcW w:w="803" w:type="pct"/>
                  <w:noWrap w:val="0"/>
                  <w:vAlign w:val="center"/>
                </w:tcPr>
                <w:p w14:paraId="477CB014">
                  <w:pPr>
                    <w:jc w:val="center"/>
                    <w:rPr>
                      <w:color w:val="auto"/>
                      <w:sz w:val="21"/>
                      <w:szCs w:val="21"/>
                      <w:highlight w:val="none"/>
                    </w:rPr>
                  </w:pPr>
                  <w:r>
                    <w:rPr>
                      <w:color w:val="auto"/>
                      <w:sz w:val="21"/>
                      <w:szCs w:val="21"/>
                      <w:highlight w:val="none"/>
                    </w:rPr>
                    <w:t>30</w:t>
                  </w:r>
                </w:p>
              </w:tc>
              <w:tc>
                <w:tcPr>
                  <w:tcW w:w="647" w:type="pct"/>
                  <w:noWrap w:val="0"/>
                  <w:vAlign w:val="center"/>
                </w:tcPr>
                <w:p w14:paraId="7DC2BA35">
                  <w:pPr>
                    <w:jc w:val="center"/>
                    <w:rPr>
                      <w:rFonts w:hint="eastAsia"/>
                      <w:color w:val="auto"/>
                      <w:sz w:val="21"/>
                      <w:szCs w:val="21"/>
                      <w:highlight w:val="none"/>
                    </w:rPr>
                  </w:pPr>
                  <w:r>
                    <w:rPr>
                      <w:rFonts w:hint="eastAsia"/>
                      <w:color w:val="auto"/>
                      <w:sz w:val="21"/>
                      <w:szCs w:val="21"/>
                      <w:highlight w:val="none"/>
                    </w:rPr>
                    <w:t>8</w:t>
                  </w:r>
                </w:p>
              </w:tc>
              <w:tc>
                <w:tcPr>
                  <w:tcW w:w="577" w:type="pct"/>
                  <w:noWrap w:val="0"/>
                  <w:vAlign w:val="center"/>
                </w:tcPr>
                <w:p w14:paraId="27AE9B3A">
                  <w:pPr>
                    <w:jc w:val="center"/>
                    <w:rPr>
                      <w:color w:val="auto"/>
                      <w:sz w:val="21"/>
                      <w:szCs w:val="21"/>
                      <w:highlight w:val="none"/>
                    </w:rPr>
                  </w:pPr>
                  <w:r>
                    <w:rPr>
                      <w:rFonts w:hint="eastAsia"/>
                      <w:color w:val="auto"/>
                      <w:sz w:val="21"/>
                      <w:szCs w:val="21"/>
                      <w:highlight w:val="none"/>
                    </w:rPr>
                    <w:t>45</w:t>
                  </w:r>
                </w:p>
              </w:tc>
            </w:tr>
            <w:tr w14:paraId="7927F1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73" w:type="pct"/>
                  <w:noWrap w:val="0"/>
                  <w:vAlign w:val="center"/>
                </w:tcPr>
                <w:p w14:paraId="31E5BA6B">
                  <w:pPr>
                    <w:jc w:val="center"/>
                    <w:rPr>
                      <w:b w:val="0"/>
                      <w:bCs w:val="0"/>
                      <w:color w:val="auto"/>
                      <w:sz w:val="21"/>
                      <w:szCs w:val="21"/>
                      <w:highlight w:val="none"/>
                    </w:rPr>
                  </w:pPr>
                  <w:r>
                    <w:rPr>
                      <w:b w:val="0"/>
                      <w:bCs w:val="0"/>
                      <w:color w:val="auto"/>
                      <w:sz w:val="21"/>
                      <w:szCs w:val="21"/>
                      <w:highlight w:val="none"/>
                    </w:rPr>
                    <w:t>排放标准</w:t>
                  </w:r>
                </w:p>
              </w:tc>
              <w:tc>
                <w:tcPr>
                  <w:tcW w:w="734" w:type="pct"/>
                  <w:noWrap w:val="0"/>
                  <w:vAlign w:val="center"/>
                </w:tcPr>
                <w:p w14:paraId="1BB728CE">
                  <w:pPr>
                    <w:jc w:val="center"/>
                    <w:rPr>
                      <w:color w:val="auto"/>
                      <w:sz w:val="21"/>
                      <w:szCs w:val="21"/>
                      <w:highlight w:val="none"/>
                    </w:rPr>
                  </w:pPr>
                  <w:r>
                    <w:rPr>
                      <w:color w:val="auto"/>
                      <w:sz w:val="21"/>
                      <w:szCs w:val="21"/>
                      <w:highlight w:val="none"/>
                    </w:rPr>
                    <w:t>6~9</w:t>
                  </w:r>
                </w:p>
              </w:tc>
              <w:tc>
                <w:tcPr>
                  <w:tcW w:w="691" w:type="pct"/>
                  <w:noWrap w:val="0"/>
                  <w:vAlign w:val="center"/>
                </w:tcPr>
                <w:p w14:paraId="012B6B16">
                  <w:pPr>
                    <w:jc w:val="center"/>
                    <w:rPr>
                      <w:color w:val="auto"/>
                      <w:sz w:val="21"/>
                      <w:szCs w:val="21"/>
                      <w:highlight w:val="none"/>
                    </w:rPr>
                  </w:pPr>
                  <w:r>
                    <w:rPr>
                      <w:color w:val="auto"/>
                      <w:sz w:val="21"/>
                      <w:szCs w:val="21"/>
                      <w:highlight w:val="none"/>
                    </w:rPr>
                    <w:t>50</w:t>
                  </w:r>
                </w:p>
              </w:tc>
              <w:tc>
                <w:tcPr>
                  <w:tcW w:w="671" w:type="pct"/>
                  <w:noWrap w:val="0"/>
                  <w:vAlign w:val="center"/>
                </w:tcPr>
                <w:p w14:paraId="0B86F99F">
                  <w:pPr>
                    <w:jc w:val="center"/>
                    <w:rPr>
                      <w:color w:val="auto"/>
                      <w:sz w:val="21"/>
                      <w:szCs w:val="21"/>
                      <w:highlight w:val="none"/>
                    </w:rPr>
                  </w:pPr>
                  <w:r>
                    <w:rPr>
                      <w:color w:val="auto"/>
                      <w:sz w:val="21"/>
                      <w:szCs w:val="21"/>
                      <w:highlight w:val="none"/>
                    </w:rPr>
                    <w:t>10</w:t>
                  </w:r>
                </w:p>
              </w:tc>
              <w:tc>
                <w:tcPr>
                  <w:tcW w:w="803" w:type="pct"/>
                  <w:noWrap w:val="0"/>
                  <w:vAlign w:val="center"/>
                </w:tcPr>
                <w:p w14:paraId="1D375B91">
                  <w:pPr>
                    <w:jc w:val="center"/>
                    <w:rPr>
                      <w:color w:val="auto"/>
                      <w:sz w:val="21"/>
                      <w:szCs w:val="21"/>
                      <w:highlight w:val="none"/>
                    </w:rPr>
                  </w:pPr>
                  <w:r>
                    <w:rPr>
                      <w:color w:val="auto"/>
                      <w:sz w:val="21"/>
                      <w:szCs w:val="21"/>
                      <w:highlight w:val="none"/>
                    </w:rPr>
                    <w:t>5（8）</w:t>
                  </w:r>
                </w:p>
              </w:tc>
              <w:tc>
                <w:tcPr>
                  <w:tcW w:w="647" w:type="pct"/>
                  <w:noWrap w:val="0"/>
                  <w:vAlign w:val="center"/>
                </w:tcPr>
                <w:p w14:paraId="0C199732">
                  <w:pPr>
                    <w:jc w:val="center"/>
                    <w:rPr>
                      <w:color w:val="auto"/>
                      <w:sz w:val="21"/>
                      <w:szCs w:val="21"/>
                      <w:highlight w:val="none"/>
                    </w:rPr>
                  </w:pPr>
                  <w:r>
                    <w:rPr>
                      <w:color w:val="auto"/>
                      <w:sz w:val="21"/>
                      <w:szCs w:val="21"/>
                      <w:highlight w:val="none"/>
                    </w:rPr>
                    <w:t>0.5</w:t>
                  </w:r>
                </w:p>
              </w:tc>
              <w:tc>
                <w:tcPr>
                  <w:tcW w:w="577" w:type="pct"/>
                  <w:noWrap w:val="0"/>
                  <w:vAlign w:val="center"/>
                </w:tcPr>
                <w:p w14:paraId="13A5F2A3">
                  <w:pPr>
                    <w:jc w:val="center"/>
                    <w:rPr>
                      <w:color w:val="auto"/>
                      <w:sz w:val="21"/>
                      <w:szCs w:val="21"/>
                      <w:highlight w:val="none"/>
                    </w:rPr>
                  </w:pPr>
                  <w:r>
                    <w:rPr>
                      <w:color w:val="auto"/>
                      <w:sz w:val="21"/>
                      <w:szCs w:val="21"/>
                      <w:highlight w:val="none"/>
                    </w:rPr>
                    <w:t>15</w:t>
                  </w:r>
                </w:p>
              </w:tc>
            </w:tr>
          </w:tbl>
          <w:p w14:paraId="37582655">
            <w:pPr>
              <w:spacing w:after="120" w:afterLines="50"/>
              <w:rPr>
                <w:rFonts w:hint="eastAsia"/>
                <w:color w:val="auto"/>
              </w:rPr>
            </w:pPr>
            <w:r>
              <w:rPr>
                <w:color w:val="auto"/>
                <w:sz w:val="18"/>
                <w:szCs w:val="18"/>
                <w:highlight w:val="none"/>
              </w:rPr>
              <w:t>注：括号外数值为水温＞12℃时的控制指标，括号内数值为水温≤12℃时的控制指标。</w:t>
            </w:r>
          </w:p>
          <w:p w14:paraId="5907684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auto"/>
              </w:rPr>
            </w:pPr>
            <w:r>
              <w:rPr>
                <w:rFonts w:hint="eastAsia"/>
                <w:b w:val="0"/>
                <w:bCs w:val="0"/>
                <w:color w:val="auto"/>
              </w:rPr>
              <w:t>3、环境噪声排放标准</w:t>
            </w:r>
          </w:p>
          <w:p w14:paraId="7823045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本项目位于涟水</w:t>
            </w:r>
            <w:r>
              <w:rPr>
                <w:rFonts w:hint="eastAsia"/>
                <w:color w:val="auto"/>
                <w:lang w:val="en-US" w:eastAsia="zh-CN"/>
              </w:rPr>
              <w:t>经济开发区内</w:t>
            </w:r>
            <w:r>
              <w:rPr>
                <w:rFonts w:hint="eastAsia"/>
                <w:color w:val="auto"/>
              </w:rPr>
              <w:t>，其声环境功能区为</w:t>
            </w:r>
            <w:r>
              <w:rPr>
                <w:rFonts w:hint="eastAsia"/>
                <w:color w:val="auto"/>
                <w:lang w:val="en-US" w:eastAsia="zh-CN"/>
              </w:rPr>
              <w:t>3</w:t>
            </w:r>
            <w:r>
              <w:rPr>
                <w:rFonts w:hint="eastAsia"/>
                <w:color w:val="auto"/>
              </w:rPr>
              <w:t>类区，营运期四周厂界噪声执行《工业企业厂界环境噪声排放标准》（GB12348-2008）中的</w:t>
            </w:r>
            <w:r>
              <w:rPr>
                <w:rFonts w:hint="eastAsia"/>
                <w:color w:val="auto"/>
                <w:lang w:val="en-US" w:eastAsia="zh-CN"/>
              </w:rPr>
              <w:t>3</w:t>
            </w:r>
            <w:r>
              <w:rPr>
                <w:rFonts w:hint="eastAsia"/>
                <w:color w:val="auto"/>
              </w:rPr>
              <w:t>类标准，具体见下表。</w:t>
            </w:r>
          </w:p>
          <w:p w14:paraId="693FF30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ascii="Times New Roman" w:hAnsi="Times New Roman" w:eastAsia="宋体" w:cs="宋体"/>
                <w:b/>
                <w:color w:val="auto"/>
                <w:kern w:val="2"/>
                <w:sz w:val="21"/>
                <w:szCs w:val="21"/>
                <w:lang w:val="en-US" w:eastAsia="zh-CN" w:bidi="ar-SA"/>
              </w:rPr>
              <w:t>表3-</w:t>
            </w:r>
            <w:r>
              <w:rPr>
                <w:rFonts w:hint="eastAsia" w:eastAsia="宋体" w:cs="宋体"/>
                <w:b/>
                <w:color w:val="auto"/>
                <w:kern w:val="2"/>
                <w:sz w:val="21"/>
                <w:szCs w:val="21"/>
                <w:lang w:val="en-US" w:eastAsia="zh-CN" w:bidi="ar-SA"/>
              </w:rPr>
              <w:t xml:space="preserve">5 </w:t>
            </w:r>
            <w:r>
              <w:rPr>
                <w:rFonts w:hint="eastAsia" w:ascii="Times New Roman" w:hAnsi="Times New Roman" w:eastAsia="宋体" w:cs="宋体"/>
                <w:b/>
                <w:color w:val="auto"/>
                <w:kern w:val="2"/>
                <w:sz w:val="21"/>
                <w:szCs w:val="21"/>
                <w:lang w:val="en-US" w:eastAsia="zh-CN" w:bidi="ar-SA"/>
              </w:rPr>
              <w:t>噪声排放标准限值单位：dB（A）</w:t>
            </w:r>
          </w:p>
          <w:tbl>
            <w:tblPr>
              <w:tblStyle w:val="22"/>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36"/>
              <w:gridCol w:w="1758"/>
              <w:gridCol w:w="1675"/>
              <w:gridCol w:w="1676"/>
              <w:gridCol w:w="1812"/>
            </w:tblGrid>
            <w:tr w14:paraId="287E18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restart"/>
                  <w:noWrap w:val="0"/>
                  <w:tcMar>
                    <w:top w:w="0" w:type="dxa"/>
                    <w:left w:w="108" w:type="dxa"/>
                    <w:bottom w:w="0" w:type="dxa"/>
                    <w:right w:w="108" w:type="dxa"/>
                  </w:tcMar>
                  <w:vAlign w:val="center"/>
                </w:tcPr>
                <w:p w14:paraId="5A36F76F">
                  <w:pPr>
                    <w:jc w:val="center"/>
                    <w:rPr>
                      <w:color w:val="auto"/>
                    </w:rPr>
                  </w:pPr>
                  <w:r>
                    <w:rPr>
                      <w:color w:val="auto"/>
                    </w:rPr>
                    <w:t>位置</w:t>
                  </w:r>
                </w:p>
              </w:tc>
              <w:tc>
                <w:tcPr>
                  <w:tcW w:w="1758" w:type="dxa"/>
                  <w:vMerge w:val="restart"/>
                  <w:noWrap w:val="0"/>
                  <w:tcMar>
                    <w:top w:w="0" w:type="dxa"/>
                    <w:left w:w="108" w:type="dxa"/>
                    <w:bottom w:w="0" w:type="dxa"/>
                    <w:right w:w="108" w:type="dxa"/>
                  </w:tcMar>
                  <w:vAlign w:val="center"/>
                </w:tcPr>
                <w:p w14:paraId="72403182">
                  <w:pPr>
                    <w:jc w:val="center"/>
                    <w:rPr>
                      <w:color w:val="auto"/>
                    </w:rPr>
                  </w:pPr>
                  <w:r>
                    <w:rPr>
                      <w:color w:val="auto"/>
                    </w:rPr>
                    <w:t>声环境功能区</w:t>
                  </w:r>
                </w:p>
              </w:tc>
              <w:tc>
                <w:tcPr>
                  <w:tcW w:w="3351" w:type="dxa"/>
                  <w:gridSpan w:val="2"/>
                  <w:noWrap w:val="0"/>
                  <w:vAlign w:val="center"/>
                </w:tcPr>
                <w:p w14:paraId="7A1D24C2">
                  <w:pPr>
                    <w:jc w:val="center"/>
                    <w:rPr>
                      <w:color w:val="auto"/>
                    </w:rPr>
                  </w:pPr>
                  <w:r>
                    <w:rPr>
                      <w:color w:val="auto"/>
                    </w:rPr>
                    <w:t>标准值</w:t>
                  </w:r>
                </w:p>
              </w:tc>
              <w:tc>
                <w:tcPr>
                  <w:tcW w:w="1812" w:type="dxa"/>
                  <w:vMerge w:val="restart"/>
                  <w:noWrap w:val="0"/>
                  <w:vAlign w:val="center"/>
                </w:tcPr>
                <w:p w14:paraId="0CB3F718">
                  <w:pPr>
                    <w:jc w:val="center"/>
                    <w:rPr>
                      <w:color w:val="auto"/>
                    </w:rPr>
                  </w:pPr>
                  <w:r>
                    <w:rPr>
                      <w:color w:val="auto"/>
                    </w:rPr>
                    <w:t>标准来源</w:t>
                  </w:r>
                </w:p>
              </w:tc>
            </w:tr>
            <w:tr w14:paraId="238DE8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continue"/>
                  <w:noWrap w:val="0"/>
                  <w:tcMar>
                    <w:top w:w="0" w:type="dxa"/>
                    <w:left w:w="108" w:type="dxa"/>
                    <w:bottom w:w="0" w:type="dxa"/>
                    <w:right w:w="108" w:type="dxa"/>
                  </w:tcMar>
                  <w:vAlign w:val="center"/>
                </w:tcPr>
                <w:p w14:paraId="0ED542FD">
                  <w:pPr>
                    <w:jc w:val="center"/>
                    <w:rPr>
                      <w:color w:val="auto"/>
                    </w:rPr>
                  </w:pPr>
                </w:p>
              </w:tc>
              <w:tc>
                <w:tcPr>
                  <w:tcW w:w="1758" w:type="dxa"/>
                  <w:vMerge w:val="continue"/>
                  <w:noWrap w:val="0"/>
                  <w:tcMar>
                    <w:top w:w="0" w:type="dxa"/>
                    <w:left w:w="108" w:type="dxa"/>
                    <w:bottom w:w="0" w:type="dxa"/>
                    <w:right w:w="108" w:type="dxa"/>
                  </w:tcMar>
                  <w:vAlign w:val="center"/>
                </w:tcPr>
                <w:p w14:paraId="4074B8C6">
                  <w:pPr>
                    <w:jc w:val="center"/>
                    <w:rPr>
                      <w:color w:val="auto"/>
                    </w:rPr>
                  </w:pPr>
                </w:p>
              </w:tc>
              <w:tc>
                <w:tcPr>
                  <w:tcW w:w="1675" w:type="dxa"/>
                  <w:noWrap w:val="0"/>
                  <w:vAlign w:val="center"/>
                </w:tcPr>
                <w:p w14:paraId="51B5870A">
                  <w:pPr>
                    <w:jc w:val="center"/>
                    <w:rPr>
                      <w:color w:val="auto"/>
                    </w:rPr>
                  </w:pPr>
                  <w:r>
                    <w:rPr>
                      <w:color w:val="auto"/>
                    </w:rPr>
                    <w:t>昼间</w:t>
                  </w:r>
                </w:p>
              </w:tc>
              <w:tc>
                <w:tcPr>
                  <w:tcW w:w="1676" w:type="dxa"/>
                  <w:noWrap w:val="0"/>
                  <w:vAlign w:val="center"/>
                </w:tcPr>
                <w:p w14:paraId="6DC1F719">
                  <w:pPr>
                    <w:jc w:val="center"/>
                    <w:rPr>
                      <w:color w:val="auto"/>
                    </w:rPr>
                  </w:pPr>
                  <w:r>
                    <w:rPr>
                      <w:color w:val="auto"/>
                    </w:rPr>
                    <w:t>夜间</w:t>
                  </w:r>
                </w:p>
              </w:tc>
              <w:tc>
                <w:tcPr>
                  <w:tcW w:w="1812" w:type="dxa"/>
                  <w:vMerge w:val="continue"/>
                  <w:noWrap w:val="0"/>
                  <w:vAlign w:val="center"/>
                </w:tcPr>
                <w:p w14:paraId="61EB8C81">
                  <w:pPr>
                    <w:jc w:val="center"/>
                    <w:rPr>
                      <w:color w:val="auto"/>
                    </w:rPr>
                  </w:pPr>
                </w:p>
              </w:tc>
            </w:tr>
            <w:tr w14:paraId="7E6C8A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6013ECA2">
                  <w:pPr>
                    <w:jc w:val="center"/>
                    <w:rPr>
                      <w:color w:val="auto"/>
                    </w:rPr>
                  </w:pPr>
                  <w:r>
                    <w:rPr>
                      <w:color w:val="auto"/>
                    </w:rPr>
                    <w:t>东厂界</w:t>
                  </w:r>
                </w:p>
              </w:tc>
              <w:tc>
                <w:tcPr>
                  <w:tcW w:w="1758" w:type="dxa"/>
                  <w:noWrap w:val="0"/>
                  <w:tcMar>
                    <w:top w:w="0" w:type="dxa"/>
                    <w:left w:w="108" w:type="dxa"/>
                    <w:bottom w:w="0" w:type="dxa"/>
                    <w:right w:w="108" w:type="dxa"/>
                  </w:tcMar>
                  <w:vAlign w:val="center"/>
                </w:tcPr>
                <w:p w14:paraId="7F2333F8">
                  <w:pPr>
                    <w:jc w:val="center"/>
                    <w:rPr>
                      <w:color w:val="auto"/>
                    </w:rPr>
                  </w:pPr>
                  <w:r>
                    <w:rPr>
                      <w:rFonts w:hint="eastAsia"/>
                      <w:color w:val="auto"/>
                      <w:lang w:val="en-US" w:eastAsia="zh-CN"/>
                    </w:rPr>
                    <w:t>3</w:t>
                  </w:r>
                  <w:r>
                    <w:rPr>
                      <w:color w:val="auto"/>
                    </w:rPr>
                    <w:t>类</w:t>
                  </w:r>
                </w:p>
              </w:tc>
              <w:tc>
                <w:tcPr>
                  <w:tcW w:w="1675" w:type="dxa"/>
                  <w:noWrap w:val="0"/>
                  <w:vAlign w:val="center"/>
                </w:tcPr>
                <w:p w14:paraId="7A52BDC5">
                  <w:pPr>
                    <w:jc w:val="center"/>
                    <w:rPr>
                      <w:rFonts w:hint="eastAsia" w:eastAsia="宋体"/>
                      <w:color w:val="auto"/>
                      <w:lang w:val="en-US" w:eastAsia="zh-CN"/>
                    </w:rPr>
                  </w:pPr>
                  <w:r>
                    <w:rPr>
                      <w:rFonts w:hint="eastAsia"/>
                      <w:color w:val="auto"/>
                    </w:rPr>
                    <w:t>6</w:t>
                  </w:r>
                  <w:r>
                    <w:rPr>
                      <w:rFonts w:hint="eastAsia"/>
                      <w:color w:val="auto"/>
                      <w:lang w:val="en-US" w:eastAsia="zh-CN"/>
                    </w:rPr>
                    <w:t>5</w:t>
                  </w:r>
                </w:p>
              </w:tc>
              <w:tc>
                <w:tcPr>
                  <w:tcW w:w="1676" w:type="dxa"/>
                  <w:noWrap w:val="0"/>
                  <w:vAlign w:val="center"/>
                </w:tcPr>
                <w:p w14:paraId="105838EC">
                  <w:pPr>
                    <w:jc w:val="center"/>
                    <w:rPr>
                      <w:rFonts w:hint="default" w:eastAsia="宋体"/>
                      <w:color w:val="auto"/>
                      <w:lang w:val="en-US" w:eastAsia="zh-CN"/>
                    </w:rPr>
                  </w:pPr>
                  <w:r>
                    <w:rPr>
                      <w:rFonts w:hint="eastAsia" w:eastAsia="宋体"/>
                      <w:color w:val="auto"/>
                      <w:lang w:val="en-US" w:eastAsia="zh-CN"/>
                    </w:rPr>
                    <w:t>55</w:t>
                  </w:r>
                </w:p>
              </w:tc>
              <w:tc>
                <w:tcPr>
                  <w:tcW w:w="1812" w:type="dxa"/>
                  <w:vMerge w:val="restart"/>
                  <w:noWrap w:val="0"/>
                  <w:vAlign w:val="center"/>
                </w:tcPr>
                <w:p w14:paraId="5E7661D0">
                  <w:pPr>
                    <w:jc w:val="center"/>
                    <w:rPr>
                      <w:color w:val="auto"/>
                    </w:rPr>
                  </w:pPr>
                  <w:r>
                    <w:rPr>
                      <w:color w:val="auto"/>
                    </w:rPr>
                    <w:t>《工业企业厂界环境噪声排放标准》GB12348-2008</w:t>
                  </w:r>
                </w:p>
              </w:tc>
            </w:tr>
            <w:tr w14:paraId="463E6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7ABE874D">
                  <w:pPr>
                    <w:jc w:val="center"/>
                    <w:rPr>
                      <w:color w:val="auto"/>
                    </w:rPr>
                  </w:pPr>
                  <w:r>
                    <w:rPr>
                      <w:color w:val="auto"/>
                    </w:rPr>
                    <w:t>南厂界</w:t>
                  </w:r>
                </w:p>
              </w:tc>
              <w:tc>
                <w:tcPr>
                  <w:tcW w:w="1758" w:type="dxa"/>
                  <w:noWrap w:val="0"/>
                  <w:vAlign w:val="center"/>
                </w:tcPr>
                <w:p w14:paraId="1A4E8192">
                  <w:pPr>
                    <w:jc w:val="center"/>
                    <w:rPr>
                      <w:color w:val="auto"/>
                    </w:rPr>
                  </w:pPr>
                  <w:r>
                    <w:rPr>
                      <w:rFonts w:hint="eastAsia"/>
                      <w:color w:val="auto"/>
                      <w:lang w:val="en-US" w:eastAsia="zh-CN"/>
                    </w:rPr>
                    <w:t>3</w:t>
                  </w:r>
                  <w:r>
                    <w:rPr>
                      <w:color w:val="auto"/>
                    </w:rPr>
                    <w:t>类</w:t>
                  </w:r>
                </w:p>
              </w:tc>
              <w:tc>
                <w:tcPr>
                  <w:tcW w:w="1675" w:type="dxa"/>
                  <w:noWrap w:val="0"/>
                  <w:vAlign w:val="center"/>
                </w:tcPr>
                <w:p w14:paraId="53ADEBDC">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785B717E">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30DDFE15">
                  <w:pPr>
                    <w:jc w:val="center"/>
                    <w:rPr>
                      <w:color w:val="auto"/>
                    </w:rPr>
                  </w:pPr>
                </w:p>
              </w:tc>
            </w:tr>
            <w:tr w14:paraId="6555F0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6795E86E">
                  <w:pPr>
                    <w:jc w:val="center"/>
                    <w:rPr>
                      <w:color w:val="auto"/>
                    </w:rPr>
                  </w:pPr>
                  <w:r>
                    <w:rPr>
                      <w:color w:val="auto"/>
                    </w:rPr>
                    <w:t>西厂界</w:t>
                  </w:r>
                </w:p>
              </w:tc>
              <w:tc>
                <w:tcPr>
                  <w:tcW w:w="1758" w:type="dxa"/>
                  <w:noWrap w:val="0"/>
                  <w:vAlign w:val="center"/>
                </w:tcPr>
                <w:p w14:paraId="5835F6E3">
                  <w:pPr>
                    <w:jc w:val="center"/>
                    <w:rPr>
                      <w:color w:val="auto"/>
                    </w:rPr>
                  </w:pPr>
                  <w:r>
                    <w:rPr>
                      <w:rFonts w:hint="eastAsia"/>
                      <w:color w:val="auto"/>
                      <w:lang w:val="en-US" w:eastAsia="zh-CN"/>
                    </w:rPr>
                    <w:t>3</w:t>
                  </w:r>
                  <w:r>
                    <w:rPr>
                      <w:color w:val="auto"/>
                    </w:rPr>
                    <w:t>类</w:t>
                  </w:r>
                </w:p>
              </w:tc>
              <w:tc>
                <w:tcPr>
                  <w:tcW w:w="1675" w:type="dxa"/>
                  <w:noWrap w:val="0"/>
                  <w:vAlign w:val="center"/>
                </w:tcPr>
                <w:p w14:paraId="2BC6D3A7">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4E2F8E4B">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78E33486">
                  <w:pPr>
                    <w:jc w:val="center"/>
                    <w:rPr>
                      <w:color w:val="auto"/>
                    </w:rPr>
                  </w:pPr>
                </w:p>
              </w:tc>
            </w:tr>
            <w:tr w14:paraId="5FF5D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2AC3B63F">
                  <w:pPr>
                    <w:jc w:val="center"/>
                    <w:rPr>
                      <w:color w:val="auto"/>
                    </w:rPr>
                  </w:pPr>
                  <w:r>
                    <w:rPr>
                      <w:color w:val="auto"/>
                    </w:rPr>
                    <w:t>北厂界</w:t>
                  </w:r>
                </w:p>
              </w:tc>
              <w:tc>
                <w:tcPr>
                  <w:tcW w:w="1758" w:type="dxa"/>
                  <w:noWrap w:val="0"/>
                  <w:vAlign w:val="center"/>
                </w:tcPr>
                <w:p w14:paraId="63078433">
                  <w:pPr>
                    <w:jc w:val="center"/>
                    <w:rPr>
                      <w:color w:val="auto"/>
                    </w:rPr>
                  </w:pPr>
                  <w:r>
                    <w:rPr>
                      <w:rFonts w:hint="eastAsia"/>
                      <w:color w:val="auto"/>
                      <w:lang w:val="en-US" w:eastAsia="zh-CN"/>
                    </w:rPr>
                    <w:t>3</w:t>
                  </w:r>
                  <w:r>
                    <w:rPr>
                      <w:color w:val="auto"/>
                    </w:rPr>
                    <w:t>类</w:t>
                  </w:r>
                </w:p>
              </w:tc>
              <w:tc>
                <w:tcPr>
                  <w:tcW w:w="1675" w:type="dxa"/>
                  <w:noWrap w:val="0"/>
                  <w:vAlign w:val="center"/>
                </w:tcPr>
                <w:p w14:paraId="252B35AE">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01F1EB9D">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1C76BFD9">
                  <w:pPr>
                    <w:jc w:val="center"/>
                    <w:rPr>
                      <w:color w:val="auto"/>
                    </w:rPr>
                  </w:pPr>
                </w:p>
              </w:tc>
            </w:tr>
          </w:tbl>
          <w:p w14:paraId="68813C49">
            <w:pPr>
              <w:pStyle w:val="18"/>
              <w:keepNext w:val="0"/>
              <w:keepLines w:val="0"/>
              <w:pageBreakBefore w:val="0"/>
              <w:widowControl w:val="0"/>
              <w:kinsoku/>
              <w:wordWrap/>
              <w:overflowPunct/>
              <w:topLinePunct w:val="0"/>
              <w:autoSpaceDE/>
              <w:autoSpaceDN/>
              <w:bidi w:val="0"/>
              <w:spacing w:after="0" w:line="360" w:lineRule="auto"/>
              <w:ind w:left="0" w:leftChars="0" w:firstLine="482"/>
              <w:textAlignment w:val="auto"/>
              <w:rPr>
                <w:b w:val="0"/>
                <w:bCs w:val="0"/>
                <w:color w:val="auto"/>
              </w:rPr>
            </w:pPr>
            <w:r>
              <w:rPr>
                <w:b w:val="0"/>
                <w:bCs w:val="0"/>
                <w:color w:val="auto"/>
              </w:rPr>
              <w:t>4、固体废物排放标准</w:t>
            </w:r>
          </w:p>
          <w:p w14:paraId="5D587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Cs w:val="21"/>
              </w:rPr>
            </w:pPr>
            <w:r>
              <w:rPr>
                <w:color w:val="auto"/>
                <w:sz w:val="24"/>
                <w:szCs w:val="24"/>
              </w:rPr>
              <w:t>项目固体废物属性鉴别执行《固体废物鉴别标准通则》（GB34330-2017）中相关规定；生活垃圾的储存与处置参照执行《城市生活垃圾管理办法》（建设部令2007年第157号）中相关规定；一般工业固废储存执行《一般工业固体废物贮存和填埋污染控制标准》（GB18599-2020）中相关规定；</w:t>
            </w:r>
            <w:r>
              <w:rPr>
                <w:rFonts w:hint="eastAsia"/>
                <w:color w:val="auto"/>
                <w:sz w:val="24"/>
                <w:szCs w:val="24"/>
              </w:rPr>
              <w:t>危险废物执行</w:t>
            </w:r>
            <w:r>
              <w:rPr>
                <w:rFonts w:hint="eastAsia"/>
                <w:color w:val="auto"/>
                <w:sz w:val="24"/>
                <w:szCs w:val="24"/>
                <w:lang w:eastAsia="zh-CN"/>
              </w:rPr>
              <w:t>《</w:t>
            </w:r>
            <w:r>
              <w:rPr>
                <w:rFonts w:hint="eastAsia"/>
                <w:color w:val="auto"/>
                <w:sz w:val="24"/>
                <w:szCs w:val="24"/>
              </w:rPr>
              <w:t>危险废物贮存污染控制标准</w:t>
            </w:r>
            <w:r>
              <w:rPr>
                <w:rFonts w:hint="eastAsia"/>
                <w:color w:val="auto"/>
                <w:sz w:val="24"/>
                <w:szCs w:val="24"/>
                <w:lang w:eastAsia="zh-CN"/>
              </w:rPr>
              <w:t>》</w:t>
            </w:r>
            <w:r>
              <w:rPr>
                <w:rFonts w:hint="eastAsia"/>
                <w:color w:val="auto"/>
                <w:sz w:val="24"/>
                <w:szCs w:val="24"/>
              </w:rPr>
              <w:t>（GB18597-20</w:t>
            </w:r>
            <w:r>
              <w:rPr>
                <w:rFonts w:hint="eastAsia"/>
                <w:color w:val="auto"/>
                <w:sz w:val="24"/>
                <w:szCs w:val="24"/>
                <w:lang w:val="en-US" w:eastAsia="zh-CN"/>
              </w:rPr>
              <w:t>23</w:t>
            </w:r>
            <w:r>
              <w:rPr>
                <w:rFonts w:hint="eastAsia"/>
                <w:color w:val="auto"/>
                <w:sz w:val="24"/>
                <w:szCs w:val="24"/>
              </w:rPr>
              <w:t>）</w:t>
            </w:r>
            <w:r>
              <w:rPr>
                <w:color w:val="auto"/>
                <w:sz w:val="24"/>
                <w:szCs w:val="24"/>
              </w:rPr>
              <w:t>的相关规定</w:t>
            </w:r>
            <w:r>
              <w:rPr>
                <w:rFonts w:hint="eastAsia"/>
                <w:color w:val="auto"/>
                <w:sz w:val="24"/>
                <w:szCs w:val="24"/>
                <w:lang w:eastAsia="zh-CN"/>
              </w:rPr>
              <w:t>，危废贮存库</w:t>
            </w:r>
            <w:r>
              <w:rPr>
                <w:color w:val="auto"/>
                <w:sz w:val="24"/>
                <w:szCs w:val="24"/>
              </w:rPr>
              <w:t>污染防治工作执行《危险废物收集贮存运输技术规范》（HJ2025-2012）以及《关于进一步加强危险废物污染防治工作的实施意见》（苏环办</w:t>
            </w:r>
            <w:r>
              <w:rPr>
                <w:rFonts w:hint="eastAsia"/>
                <w:color w:val="auto"/>
                <w:sz w:val="24"/>
                <w:szCs w:val="24"/>
                <w:lang w:eastAsia="zh-CN"/>
              </w:rPr>
              <w:t>〔2019〕327号</w:t>
            </w:r>
            <w:r>
              <w:rPr>
                <w:color w:val="auto"/>
                <w:sz w:val="24"/>
                <w:szCs w:val="24"/>
              </w:rPr>
              <w:t>文）的相关规定</w:t>
            </w:r>
            <w:r>
              <w:rPr>
                <w:color w:val="auto"/>
                <w:sz w:val="24"/>
              </w:rPr>
              <w:t>。</w:t>
            </w:r>
          </w:p>
        </w:tc>
      </w:tr>
      <w:tr w14:paraId="3E2E7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2" w:hRule="atLeast"/>
          <w:jc w:val="center"/>
        </w:trPr>
        <w:tc>
          <w:tcPr>
            <w:tcW w:w="800" w:type="dxa"/>
            <w:noWrap w:val="0"/>
            <w:vAlign w:val="center"/>
          </w:tcPr>
          <w:p w14:paraId="01F27972">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总量</w:t>
            </w:r>
          </w:p>
          <w:p w14:paraId="7F29F4D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控制</w:t>
            </w:r>
          </w:p>
          <w:p w14:paraId="536687BB">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noWrap w:val="0"/>
            <w:vAlign w:val="top"/>
          </w:tcPr>
          <w:p w14:paraId="4B9BE207">
            <w:pPr>
              <w:pStyle w:val="19"/>
              <w:keepNext w:val="0"/>
              <w:keepLines w:val="0"/>
              <w:pageBreakBefore w:val="0"/>
              <w:widowControl w:val="0"/>
              <w:kinsoku/>
              <w:wordWrap/>
              <w:overflowPunct/>
              <w:topLinePunct w:val="0"/>
              <w:bidi w:val="0"/>
              <w:spacing w:line="360" w:lineRule="auto"/>
              <w:jc w:val="both"/>
              <w:textAlignment w:val="auto"/>
              <w:rPr>
                <w:b w:val="0"/>
                <w:bCs/>
                <w:color w:val="auto"/>
              </w:rPr>
            </w:pPr>
            <w:r>
              <w:rPr>
                <w:rFonts w:hint="eastAsia"/>
                <w:b w:val="0"/>
                <w:bCs/>
                <w:color w:val="auto"/>
              </w:rPr>
              <w:t>1、建设项目污染物排放情况</w:t>
            </w:r>
          </w:p>
          <w:p w14:paraId="655C09AD">
            <w:pPr>
              <w:pStyle w:val="18"/>
              <w:keepNext w:val="0"/>
              <w:keepLines w:val="0"/>
              <w:pageBreakBefore w:val="0"/>
              <w:widowControl w:val="0"/>
              <w:kinsoku/>
              <w:wordWrap/>
              <w:overflowPunct/>
              <w:topLinePunct w:val="0"/>
              <w:bidi w:val="0"/>
              <w:spacing w:after="0" w:line="360" w:lineRule="auto"/>
              <w:ind w:left="0" w:leftChars="0" w:firstLine="480"/>
              <w:jc w:val="both"/>
              <w:textAlignment w:val="auto"/>
              <w:rPr>
                <w:color w:val="auto"/>
              </w:rPr>
            </w:pPr>
            <w:r>
              <w:rPr>
                <w:rFonts w:hint="eastAsia"/>
                <w:color w:val="auto"/>
              </w:rPr>
              <w:t>本项目污染物排放情况汇总见下表。</w:t>
            </w:r>
          </w:p>
          <w:p w14:paraId="671E7EB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表3-</w:t>
            </w:r>
            <w:r>
              <w:rPr>
                <w:rFonts w:hint="eastAsia"/>
                <w:b/>
                <w:bCs/>
                <w:color w:val="auto"/>
                <w:sz w:val="21"/>
                <w:szCs w:val="21"/>
                <w:lang w:val="en-US" w:eastAsia="zh-CN"/>
              </w:rPr>
              <w:t xml:space="preserve">6 </w:t>
            </w:r>
            <w:r>
              <w:rPr>
                <w:rFonts w:hint="eastAsia"/>
                <w:b/>
                <w:bCs/>
                <w:color w:val="auto"/>
                <w:sz w:val="21"/>
                <w:szCs w:val="21"/>
              </w:rPr>
              <w:t>项目污染物排放情况汇总一览表单位：t/a</w:t>
            </w:r>
          </w:p>
          <w:tbl>
            <w:tblPr>
              <w:tblStyle w:val="23"/>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61"/>
              <w:gridCol w:w="1384"/>
              <w:gridCol w:w="1135"/>
              <w:gridCol w:w="1131"/>
              <w:gridCol w:w="1004"/>
              <w:gridCol w:w="1343"/>
            </w:tblGrid>
            <w:tr w14:paraId="687B3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exact"/>
              </w:trPr>
              <w:tc>
                <w:tcPr>
                  <w:tcW w:w="3361" w:type="dxa"/>
                  <w:gridSpan w:val="3"/>
                  <w:noWrap w:val="0"/>
                  <w:vAlign w:val="center"/>
                </w:tcPr>
                <w:p w14:paraId="5C3DDF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污染物</w:t>
                  </w:r>
                </w:p>
              </w:tc>
              <w:tc>
                <w:tcPr>
                  <w:tcW w:w="1135" w:type="dxa"/>
                  <w:noWrap w:val="0"/>
                  <w:vAlign w:val="center"/>
                </w:tcPr>
                <w:p w14:paraId="64CEA0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产生量</w:t>
                  </w:r>
                </w:p>
              </w:tc>
              <w:tc>
                <w:tcPr>
                  <w:tcW w:w="1131" w:type="dxa"/>
                  <w:noWrap w:val="0"/>
                  <w:vAlign w:val="center"/>
                </w:tcPr>
                <w:p w14:paraId="2C4C50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削减量</w:t>
                  </w:r>
                </w:p>
              </w:tc>
              <w:tc>
                <w:tcPr>
                  <w:tcW w:w="1004" w:type="dxa"/>
                  <w:noWrap w:val="0"/>
                  <w:vAlign w:val="center"/>
                </w:tcPr>
                <w:p w14:paraId="5C647F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接管量</w:t>
                  </w:r>
                </w:p>
              </w:tc>
              <w:tc>
                <w:tcPr>
                  <w:tcW w:w="1343" w:type="dxa"/>
                  <w:noWrap w:val="0"/>
                  <w:vAlign w:val="center"/>
                </w:tcPr>
                <w:p w14:paraId="24B148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rPr>
                    <w:t>排入环境量</w:t>
                  </w:r>
                </w:p>
              </w:tc>
            </w:tr>
            <w:tr w14:paraId="49343A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116" w:type="dxa"/>
                  <w:vMerge w:val="restart"/>
                  <w:noWrap w:val="0"/>
                  <w:vAlign w:val="center"/>
                </w:tcPr>
                <w:p w14:paraId="20C068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废气</w:t>
                  </w:r>
                </w:p>
              </w:tc>
              <w:tc>
                <w:tcPr>
                  <w:tcW w:w="861" w:type="dxa"/>
                  <w:vMerge w:val="restart"/>
                  <w:noWrap w:val="0"/>
                  <w:vAlign w:val="center"/>
                </w:tcPr>
                <w:p w14:paraId="6AC29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有组织</w:t>
                  </w:r>
                </w:p>
              </w:tc>
              <w:tc>
                <w:tcPr>
                  <w:tcW w:w="1384" w:type="dxa"/>
                  <w:noWrap w:val="0"/>
                  <w:vAlign w:val="center"/>
                </w:tcPr>
                <w:p w14:paraId="3DF710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非甲烷总烃</w:t>
                  </w:r>
                </w:p>
              </w:tc>
              <w:tc>
                <w:tcPr>
                  <w:tcW w:w="1135" w:type="dxa"/>
                  <w:noWrap w:val="0"/>
                  <w:vAlign w:val="center"/>
                </w:tcPr>
                <w:p w14:paraId="37DA018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5.873</w:t>
                  </w:r>
                </w:p>
              </w:tc>
              <w:tc>
                <w:tcPr>
                  <w:tcW w:w="1131" w:type="dxa"/>
                  <w:noWrap w:val="0"/>
                  <w:vAlign w:val="center"/>
                </w:tcPr>
                <w:p w14:paraId="014EBCD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5.286</w:t>
                  </w:r>
                </w:p>
              </w:tc>
              <w:tc>
                <w:tcPr>
                  <w:tcW w:w="1004" w:type="dxa"/>
                  <w:noWrap w:val="0"/>
                  <w:vAlign w:val="center"/>
                </w:tcPr>
                <w:p w14:paraId="0053E0A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0B4B272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0.587</w:t>
                  </w:r>
                </w:p>
              </w:tc>
            </w:tr>
            <w:tr w14:paraId="218D8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116" w:type="dxa"/>
                  <w:vMerge w:val="continue"/>
                  <w:noWrap w:val="0"/>
                  <w:vAlign w:val="center"/>
                </w:tcPr>
                <w:p w14:paraId="572D26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861" w:type="dxa"/>
                  <w:vMerge w:val="continue"/>
                  <w:noWrap w:val="0"/>
                  <w:vAlign w:val="center"/>
                </w:tcPr>
                <w:p w14:paraId="2495CA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1384" w:type="dxa"/>
                  <w:noWrap w:val="0"/>
                  <w:vAlign w:val="center"/>
                </w:tcPr>
                <w:p w14:paraId="086B2E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苯乙烯</w:t>
                  </w:r>
                </w:p>
              </w:tc>
              <w:tc>
                <w:tcPr>
                  <w:tcW w:w="1135" w:type="dxa"/>
                  <w:noWrap w:val="0"/>
                  <w:vAlign w:val="center"/>
                </w:tcPr>
                <w:p w14:paraId="020C3F6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5.4</w:t>
                  </w:r>
                </w:p>
              </w:tc>
              <w:tc>
                <w:tcPr>
                  <w:tcW w:w="1131" w:type="dxa"/>
                  <w:noWrap w:val="0"/>
                  <w:vAlign w:val="center"/>
                </w:tcPr>
                <w:p w14:paraId="431EED9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4.86</w:t>
                  </w:r>
                </w:p>
              </w:tc>
              <w:tc>
                <w:tcPr>
                  <w:tcW w:w="1004" w:type="dxa"/>
                  <w:noWrap w:val="0"/>
                  <w:vAlign w:val="center"/>
                </w:tcPr>
                <w:p w14:paraId="7FCA7F78">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3FA76FB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0.54</w:t>
                  </w:r>
                </w:p>
              </w:tc>
            </w:tr>
            <w:tr w14:paraId="7A466F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116" w:type="dxa"/>
                  <w:vMerge w:val="continue"/>
                  <w:noWrap w:val="0"/>
                  <w:vAlign w:val="center"/>
                </w:tcPr>
                <w:p w14:paraId="365158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861" w:type="dxa"/>
                  <w:vMerge w:val="continue"/>
                  <w:noWrap w:val="0"/>
                  <w:vAlign w:val="center"/>
                </w:tcPr>
                <w:p w14:paraId="6252D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1384" w:type="dxa"/>
                  <w:noWrap w:val="0"/>
                  <w:vAlign w:val="center"/>
                </w:tcPr>
                <w:p w14:paraId="391C10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苯系物</w:t>
                  </w:r>
                </w:p>
              </w:tc>
              <w:tc>
                <w:tcPr>
                  <w:tcW w:w="1135" w:type="dxa"/>
                  <w:noWrap w:val="0"/>
                  <w:vAlign w:val="center"/>
                </w:tcPr>
                <w:p w14:paraId="3B58001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5.4</w:t>
                  </w:r>
                </w:p>
              </w:tc>
              <w:tc>
                <w:tcPr>
                  <w:tcW w:w="1131" w:type="dxa"/>
                  <w:noWrap w:val="0"/>
                  <w:vAlign w:val="center"/>
                </w:tcPr>
                <w:p w14:paraId="518EB6E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4.86</w:t>
                  </w:r>
                </w:p>
              </w:tc>
              <w:tc>
                <w:tcPr>
                  <w:tcW w:w="1004" w:type="dxa"/>
                  <w:noWrap w:val="0"/>
                  <w:vAlign w:val="center"/>
                </w:tcPr>
                <w:p w14:paraId="7FB78701">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578B247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0.54</w:t>
                  </w:r>
                </w:p>
              </w:tc>
            </w:tr>
            <w:tr w14:paraId="61B06A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116" w:type="dxa"/>
                  <w:vMerge w:val="continue"/>
                  <w:noWrap w:val="0"/>
                  <w:vAlign w:val="center"/>
                </w:tcPr>
                <w:p w14:paraId="6C24A1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861" w:type="dxa"/>
                  <w:vMerge w:val="continue"/>
                  <w:noWrap w:val="0"/>
                  <w:vAlign w:val="center"/>
                </w:tcPr>
                <w:p w14:paraId="14FD45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1384" w:type="dxa"/>
                  <w:noWrap w:val="0"/>
                  <w:vAlign w:val="center"/>
                </w:tcPr>
                <w:p w14:paraId="614445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颗粒物</w:t>
                  </w:r>
                </w:p>
              </w:tc>
              <w:tc>
                <w:tcPr>
                  <w:tcW w:w="1135" w:type="dxa"/>
                  <w:noWrap w:val="0"/>
                  <w:vAlign w:val="center"/>
                </w:tcPr>
                <w:p w14:paraId="5C17FF7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1.62</w:t>
                  </w:r>
                </w:p>
              </w:tc>
              <w:tc>
                <w:tcPr>
                  <w:tcW w:w="1131" w:type="dxa"/>
                  <w:noWrap w:val="0"/>
                  <w:vAlign w:val="center"/>
                </w:tcPr>
                <w:p w14:paraId="73863B2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1.539</w:t>
                  </w:r>
                </w:p>
              </w:tc>
              <w:tc>
                <w:tcPr>
                  <w:tcW w:w="1004" w:type="dxa"/>
                  <w:noWrap w:val="0"/>
                  <w:vAlign w:val="center"/>
                </w:tcPr>
                <w:p w14:paraId="4EB24737">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3E5911C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0.081</w:t>
                  </w:r>
                </w:p>
              </w:tc>
            </w:tr>
            <w:tr w14:paraId="77DD32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116" w:type="dxa"/>
                  <w:vMerge w:val="continue"/>
                  <w:noWrap w:val="0"/>
                  <w:vAlign w:val="center"/>
                </w:tcPr>
                <w:p w14:paraId="25BFD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restart"/>
                  <w:noWrap w:val="0"/>
                  <w:vAlign w:val="center"/>
                </w:tcPr>
                <w:p w14:paraId="4978BB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val="en-US" w:eastAsia="zh-CN"/>
                    </w:rPr>
                  </w:pPr>
                  <w:r>
                    <w:rPr>
                      <w:rFonts w:hint="eastAsia" w:cs="宋体"/>
                      <w:color w:val="auto"/>
                      <w:kern w:val="0"/>
                      <w:szCs w:val="21"/>
                      <w:lang w:val="en-US" w:eastAsia="zh-CN"/>
                    </w:rPr>
                    <w:t>无组织</w:t>
                  </w:r>
                </w:p>
              </w:tc>
              <w:tc>
                <w:tcPr>
                  <w:tcW w:w="1384" w:type="dxa"/>
                  <w:noWrap w:val="0"/>
                  <w:vAlign w:val="center"/>
                </w:tcPr>
                <w:p w14:paraId="55EAA1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非甲烷总烃</w:t>
                  </w:r>
                </w:p>
              </w:tc>
              <w:tc>
                <w:tcPr>
                  <w:tcW w:w="1135" w:type="dxa"/>
                  <w:noWrap w:val="0"/>
                  <w:vAlign w:val="center"/>
                </w:tcPr>
                <w:p w14:paraId="570DA09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0.653</w:t>
                  </w:r>
                </w:p>
              </w:tc>
              <w:tc>
                <w:tcPr>
                  <w:tcW w:w="1131" w:type="dxa"/>
                  <w:noWrap w:val="0"/>
                  <w:vAlign w:val="center"/>
                </w:tcPr>
                <w:p w14:paraId="2C4DD0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5EF0E121">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032EC80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0.653</w:t>
                  </w:r>
                </w:p>
              </w:tc>
            </w:tr>
            <w:tr w14:paraId="367DD1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116" w:type="dxa"/>
                  <w:vMerge w:val="continue"/>
                  <w:noWrap w:val="0"/>
                  <w:vAlign w:val="center"/>
                </w:tcPr>
                <w:p w14:paraId="1FA042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26961A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p>
              </w:tc>
              <w:tc>
                <w:tcPr>
                  <w:tcW w:w="1384" w:type="dxa"/>
                  <w:noWrap w:val="0"/>
                  <w:vAlign w:val="center"/>
                </w:tcPr>
                <w:p w14:paraId="4DF147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苯乙烯</w:t>
                  </w:r>
                </w:p>
              </w:tc>
              <w:tc>
                <w:tcPr>
                  <w:tcW w:w="1135" w:type="dxa"/>
                  <w:noWrap w:val="0"/>
                  <w:vAlign w:val="center"/>
                </w:tcPr>
                <w:p w14:paraId="69794C3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0.6</w:t>
                  </w:r>
                </w:p>
              </w:tc>
              <w:tc>
                <w:tcPr>
                  <w:tcW w:w="1131" w:type="dxa"/>
                  <w:noWrap w:val="0"/>
                  <w:vAlign w:val="center"/>
                </w:tcPr>
                <w:p w14:paraId="1E1C6AC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130BCC53">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028EF2A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0.6</w:t>
                  </w:r>
                </w:p>
              </w:tc>
            </w:tr>
            <w:tr w14:paraId="7B86DC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116" w:type="dxa"/>
                  <w:vMerge w:val="continue"/>
                  <w:noWrap w:val="0"/>
                  <w:vAlign w:val="center"/>
                </w:tcPr>
                <w:p w14:paraId="557856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130118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p>
              </w:tc>
              <w:tc>
                <w:tcPr>
                  <w:tcW w:w="1384" w:type="dxa"/>
                  <w:noWrap w:val="0"/>
                  <w:vAlign w:val="center"/>
                </w:tcPr>
                <w:p w14:paraId="6DDB5A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苯系物</w:t>
                  </w:r>
                </w:p>
              </w:tc>
              <w:tc>
                <w:tcPr>
                  <w:tcW w:w="1135" w:type="dxa"/>
                  <w:noWrap w:val="0"/>
                  <w:vAlign w:val="center"/>
                </w:tcPr>
                <w:p w14:paraId="535C7DA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0.6</w:t>
                  </w:r>
                </w:p>
              </w:tc>
              <w:tc>
                <w:tcPr>
                  <w:tcW w:w="1131" w:type="dxa"/>
                  <w:noWrap w:val="0"/>
                  <w:vAlign w:val="center"/>
                </w:tcPr>
                <w:p w14:paraId="7D2C3A7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35ABE9A7">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48A165B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0.6</w:t>
                  </w:r>
                </w:p>
              </w:tc>
            </w:tr>
            <w:tr w14:paraId="1EE93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116" w:type="dxa"/>
                  <w:vMerge w:val="continue"/>
                  <w:noWrap w:val="0"/>
                  <w:vAlign w:val="center"/>
                </w:tcPr>
                <w:p w14:paraId="5A988C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2AF7E3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p>
              </w:tc>
              <w:tc>
                <w:tcPr>
                  <w:tcW w:w="1384" w:type="dxa"/>
                  <w:noWrap w:val="0"/>
                  <w:vAlign w:val="center"/>
                </w:tcPr>
                <w:p w14:paraId="065696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颗粒物</w:t>
                  </w:r>
                </w:p>
              </w:tc>
              <w:tc>
                <w:tcPr>
                  <w:tcW w:w="1135" w:type="dxa"/>
                  <w:noWrap w:val="0"/>
                  <w:vAlign w:val="center"/>
                </w:tcPr>
                <w:p w14:paraId="43655CB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0.181</w:t>
                  </w:r>
                </w:p>
              </w:tc>
              <w:tc>
                <w:tcPr>
                  <w:tcW w:w="1131" w:type="dxa"/>
                  <w:noWrap w:val="0"/>
                  <w:vAlign w:val="center"/>
                </w:tcPr>
                <w:p w14:paraId="4622C5E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0F251E0D">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5E355BD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0.181</w:t>
                  </w:r>
                </w:p>
              </w:tc>
            </w:tr>
            <w:tr w14:paraId="3B2842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1116" w:type="dxa"/>
                  <w:vMerge w:val="restart"/>
                  <w:noWrap w:val="0"/>
                  <w:vAlign w:val="center"/>
                </w:tcPr>
                <w:p w14:paraId="58AC8C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废水</w:t>
                  </w:r>
                </w:p>
              </w:tc>
              <w:tc>
                <w:tcPr>
                  <w:tcW w:w="861" w:type="dxa"/>
                  <w:vMerge w:val="restart"/>
                  <w:noWrap w:val="0"/>
                  <w:vAlign w:val="center"/>
                </w:tcPr>
                <w:p w14:paraId="2C52FD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s="宋体"/>
                      <w:color w:val="auto"/>
                      <w:kern w:val="0"/>
                      <w:szCs w:val="21"/>
                      <w:lang w:val="en-US" w:eastAsia="zh-CN"/>
                    </w:rPr>
                  </w:pPr>
                  <w:r>
                    <w:rPr>
                      <w:rFonts w:hint="eastAsia" w:cs="宋体"/>
                      <w:color w:val="auto"/>
                      <w:kern w:val="0"/>
                      <w:szCs w:val="21"/>
                      <w:lang w:val="en-US" w:eastAsia="zh-CN"/>
                    </w:rPr>
                    <w:t>生活污水</w:t>
                  </w:r>
                </w:p>
              </w:tc>
              <w:tc>
                <w:tcPr>
                  <w:tcW w:w="1384" w:type="dxa"/>
                  <w:noWrap w:val="0"/>
                  <w:vAlign w:val="center"/>
                </w:tcPr>
                <w:p w14:paraId="585CB4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废水量</w:t>
                  </w:r>
                </w:p>
              </w:tc>
              <w:tc>
                <w:tcPr>
                  <w:tcW w:w="1135" w:type="dxa"/>
                  <w:noWrap w:val="0"/>
                  <w:vAlign w:val="center"/>
                </w:tcPr>
                <w:p w14:paraId="7D88E4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192</w:t>
                  </w:r>
                </w:p>
              </w:tc>
              <w:tc>
                <w:tcPr>
                  <w:tcW w:w="1131" w:type="dxa"/>
                  <w:noWrap w:val="0"/>
                  <w:vAlign w:val="center"/>
                </w:tcPr>
                <w:p w14:paraId="7E68C4B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7DBD984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192</w:t>
                  </w:r>
                </w:p>
              </w:tc>
              <w:tc>
                <w:tcPr>
                  <w:tcW w:w="1343" w:type="dxa"/>
                  <w:noWrap w:val="0"/>
                  <w:vAlign w:val="center"/>
                </w:tcPr>
                <w:p w14:paraId="3A4116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192</w:t>
                  </w:r>
                </w:p>
              </w:tc>
            </w:tr>
            <w:tr w14:paraId="584137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1116" w:type="dxa"/>
                  <w:vMerge w:val="continue"/>
                  <w:noWrap w:val="0"/>
                  <w:vAlign w:val="center"/>
                </w:tcPr>
                <w:p w14:paraId="6B1E44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26965D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5E2FD2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COD</w:t>
                  </w:r>
                </w:p>
              </w:tc>
              <w:tc>
                <w:tcPr>
                  <w:tcW w:w="1135" w:type="dxa"/>
                  <w:noWrap w:val="0"/>
                  <w:vAlign w:val="center"/>
                </w:tcPr>
                <w:p w14:paraId="0B9BF10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0.0672 </w:t>
                  </w:r>
                </w:p>
              </w:tc>
              <w:tc>
                <w:tcPr>
                  <w:tcW w:w="1131" w:type="dxa"/>
                  <w:noWrap w:val="0"/>
                  <w:vAlign w:val="center"/>
                </w:tcPr>
                <w:p w14:paraId="0C280EE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0.0192 </w:t>
                  </w:r>
                </w:p>
              </w:tc>
              <w:tc>
                <w:tcPr>
                  <w:tcW w:w="1004" w:type="dxa"/>
                  <w:noWrap w:val="0"/>
                  <w:vAlign w:val="center"/>
                </w:tcPr>
                <w:p w14:paraId="3F416E0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0.0480 </w:t>
                  </w:r>
                </w:p>
              </w:tc>
              <w:tc>
                <w:tcPr>
                  <w:tcW w:w="1343" w:type="dxa"/>
                  <w:noWrap w:val="0"/>
                  <w:vAlign w:val="center"/>
                </w:tcPr>
                <w:p w14:paraId="079E1FC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0.0096 </w:t>
                  </w:r>
                </w:p>
              </w:tc>
            </w:tr>
            <w:tr w14:paraId="506558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5" w:hRule="exact"/>
              </w:trPr>
              <w:tc>
                <w:tcPr>
                  <w:tcW w:w="1116" w:type="dxa"/>
                  <w:vMerge w:val="continue"/>
                  <w:noWrap w:val="0"/>
                  <w:vAlign w:val="center"/>
                </w:tcPr>
                <w:p w14:paraId="73AB20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3773C7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594D59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SS</w:t>
                  </w:r>
                </w:p>
              </w:tc>
              <w:tc>
                <w:tcPr>
                  <w:tcW w:w="1135" w:type="dxa"/>
                  <w:noWrap w:val="0"/>
                  <w:vAlign w:val="center"/>
                </w:tcPr>
                <w:p w14:paraId="233A99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0.0480 </w:t>
                  </w:r>
                </w:p>
              </w:tc>
              <w:tc>
                <w:tcPr>
                  <w:tcW w:w="1131" w:type="dxa"/>
                  <w:noWrap w:val="0"/>
                  <w:vAlign w:val="center"/>
                </w:tcPr>
                <w:p w14:paraId="7059230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0.0134 </w:t>
                  </w:r>
                </w:p>
              </w:tc>
              <w:tc>
                <w:tcPr>
                  <w:tcW w:w="1004" w:type="dxa"/>
                  <w:noWrap w:val="0"/>
                  <w:vAlign w:val="center"/>
                </w:tcPr>
                <w:p w14:paraId="1DA1811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0.0346 </w:t>
                  </w:r>
                </w:p>
              </w:tc>
              <w:tc>
                <w:tcPr>
                  <w:tcW w:w="1343" w:type="dxa"/>
                  <w:noWrap w:val="0"/>
                  <w:vAlign w:val="center"/>
                </w:tcPr>
                <w:p w14:paraId="38B85AD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0.0019 </w:t>
                  </w:r>
                </w:p>
              </w:tc>
            </w:tr>
            <w:tr w14:paraId="6C75CF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116" w:type="dxa"/>
                  <w:vMerge w:val="continue"/>
                  <w:noWrap w:val="0"/>
                  <w:vAlign w:val="center"/>
                </w:tcPr>
                <w:p w14:paraId="24F958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0ABE03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0915B0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rPr>
                    <w:t>NH</w:t>
                  </w:r>
                  <w:r>
                    <w:rPr>
                      <w:rFonts w:hint="eastAsia" w:cs="宋体"/>
                      <w:color w:val="auto"/>
                      <w:kern w:val="0"/>
                      <w:szCs w:val="21"/>
                      <w:vertAlign w:val="subscript"/>
                    </w:rPr>
                    <w:t>3</w:t>
                  </w:r>
                  <w:r>
                    <w:rPr>
                      <w:rFonts w:hint="eastAsia" w:cs="宋体"/>
                      <w:color w:val="auto"/>
                      <w:kern w:val="0"/>
                      <w:szCs w:val="21"/>
                    </w:rPr>
                    <w:t>-N</w:t>
                  </w:r>
                </w:p>
              </w:tc>
              <w:tc>
                <w:tcPr>
                  <w:tcW w:w="1135" w:type="dxa"/>
                  <w:noWrap w:val="0"/>
                  <w:vAlign w:val="center"/>
                </w:tcPr>
                <w:p w14:paraId="6B50E89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0.0048 </w:t>
                  </w:r>
                </w:p>
              </w:tc>
              <w:tc>
                <w:tcPr>
                  <w:tcW w:w="1131" w:type="dxa"/>
                  <w:noWrap w:val="0"/>
                  <w:vAlign w:val="center"/>
                </w:tcPr>
                <w:p w14:paraId="53DCBB4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5B9E42C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0.0048 </w:t>
                  </w:r>
                </w:p>
              </w:tc>
              <w:tc>
                <w:tcPr>
                  <w:tcW w:w="1343" w:type="dxa"/>
                  <w:noWrap w:val="0"/>
                  <w:vAlign w:val="center"/>
                </w:tcPr>
                <w:p w14:paraId="71218F0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0.0010 </w:t>
                  </w:r>
                </w:p>
              </w:tc>
            </w:tr>
            <w:tr w14:paraId="2987EC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16" w:type="dxa"/>
                  <w:vMerge w:val="continue"/>
                  <w:noWrap w:val="0"/>
                  <w:vAlign w:val="center"/>
                </w:tcPr>
                <w:p w14:paraId="5A0BF1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13A38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42325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TN</w:t>
                  </w:r>
                </w:p>
              </w:tc>
              <w:tc>
                <w:tcPr>
                  <w:tcW w:w="1135" w:type="dxa"/>
                  <w:noWrap w:val="0"/>
                  <w:vAlign w:val="center"/>
                </w:tcPr>
                <w:p w14:paraId="081FB92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0.0067 </w:t>
                  </w:r>
                </w:p>
              </w:tc>
              <w:tc>
                <w:tcPr>
                  <w:tcW w:w="1131" w:type="dxa"/>
                  <w:noWrap w:val="0"/>
                  <w:vAlign w:val="center"/>
                </w:tcPr>
                <w:p w14:paraId="10FA90C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442187F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0.0067 </w:t>
                  </w:r>
                </w:p>
              </w:tc>
              <w:tc>
                <w:tcPr>
                  <w:tcW w:w="1343" w:type="dxa"/>
                  <w:noWrap w:val="0"/>
                  <w:vAlign w:val="center"/>
                </w:tcPr>
                <w:p w14:paraId="0F0042A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0.0029 </w:t>
                  </w:r>
                </w:p>
              </w:tc>
            </w:tr>
            <w:tr w14:paraId="7621A2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1116" w:type="dxa"/>
                  <w:vMerge w:val="continue"/>
                  <w:noWrap w:val="0"/>
                  <w:vAlign w:val="center"/>
                </w:tcPr>
                <w:p w14:paraId="4E85CC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525E22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0889F4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TP</w:t>
                  </w:r>
                </w:p>
              </w:tc>
              <w:tc>
                <w:tcPr>
                  <w:tcW w:w="1135" w:type="dxa"/>
                  <w:noWrap w:val="0"/>
                  <w:vAlign w:val="center"/>
                </w:tcPr>
                <w:p w14:paraId="78E22B0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0.0008 </w:t>
                  </w:r>
                </w:p>
              </w:tc>
              <w:tc>
                <w:tcPr>
                  <w:tcW w:w="1131" w:type="dxa"/>
                  <w:noWrap w:val="0"/>
                  <w:vAlign w:val="center"/>
                </w:tcPr>
                <w:p w14:paraId="1386C0C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2E7EDBF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0.0008 </w:t>
                  </w:r>
                </w:p>
              </w:tc>
              <w:tc>
                <w:tcPr>
                  <w:tcW w:w="1343" w:type="dxa"/>
                  <w:noWrap w:val="0"/>
                  <w:vAlign w:val="center"/>
                </w:tcPr>
                <w:p w14:paraId="6AAA8C7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0.0001 </w:t>
                  </w:r>
                </w:p>
              </w:tc>
            </w:tr>
            <w:tr w14:paraId="17DE2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1116" w:type="dxa"/>
                  <w:vMerge w:val="restart"/>
                  <w:noWrap w:val="0"/>
                  <w:vAlign w:val="center"/>
                </w:tcPr>
                <w:p w14:paraId="212EBF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固废</w:t>
                  </w:r>
                </w:p>
              </w:tc>
              <w:tc>
                <w:tcPr>
                  <w:tcW w:w="2245" w:type="dxa"/>
                  <w:gridSpan w:val="2"/>
                  <w:noWrap w:val="0"/>
                  <w:vAlign w:val="center"/>
                </w:tcPr>
                <w:p w14:paraId="02C076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lang w:val="en-US" w:eastAsia="zh-CN"/>
                    </w:rPr>
                    <w:t>一般工业固废</w:t>
                  </w:r>
                </w:p>
              </w:tc>
              <w:tc>
                <w:tcPr>
                  <w:tcW w:w="1135" w:type="dxa"/>
                  <w:noWrap w:val="0"/>
                  <w:vAlign w:val="center"/>
                </w:tcPr>
                <w:p w14:paraId="2360E5F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3.526</w:t>
                  </w:r>
                </w:p>
              </w:tc>
              <w:tc>
                <w:tcPr>
                  <w:tcW w:w="1131" w:type="dxa"/>
                  <w:noWrap w:val="0"/>
                  <w:vAlign w:val="center"/>
                </w:tcPr>
                <w:p w14:paraId="743C31B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3.526</w:t>
                  </w:r>
                </w:p>
              </w:tc>
              <w:tc>
                <w:tcPr>
                  <w:tcW w:w="1004" w:type="dxa"/>
                  <w:noWrap w:val="0"/>
                  <w:vAlign w:val="center"/>
                </w:tcPr>
                <w:p w14:paraId="4096DD4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52DFD5D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r w14:paraId="39A70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9" w:hRule="exact"/>
              </w:trPr>
              <w:tc>
                <w:tcPr>
                  <w:tcW w:w="1116" w:type="dxa"/>
                  <w:vMerge w:val="continue"/>
                  <w:noWrap w:val="0"/>
                  <w:vAlign w:val="center"/>
                </w:tcPr>
                <w:p w14:paraId="11D7BC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2245" w:type="dxa"/>
                  <w:gridSpan w:val="2"/>
                  <w:noWrap w:val="0"/>
                  <w:vAlign w:val="center"/>
                </w:tcPr>
                <w:p w14:paraId="77271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危险固废</w:t>
                  </w:r>
                </w:p>
              </w:tc>
              <w:tc>
                <w:tcPr>
                  <w:tcW w:w="1135" w:type="dxa"/>
                  <w:noWrap w:val="0"/>
                  <w:vAlign w:val="center"/>
                </w:tcPr>
                <w:p w14:paraId="53AF988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33.771</w:t>
                  </w:r>
                </w:p>
              </w:tc>
              <w:tc>
                <w:tcPr>
                  <w:tcW w:w="1131" w:type="dxa"/>
                  <w:noWrap w:val="0"/>
                  <w:vAlign w:val="center"/>
                </w:tcPr>
                <w:p w14:paraId="3E7F85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33.771</w:t>
                  </w:r>
                </w:p>
              </w:tc>
              <w:tc>
                <w:tcPr>
                  <w:tcW w:w="1004" w:type="dxa"/>
                  <w:noWrap w:val="0"/>
                  <w:vAlign w:val="center"/>
                </w:tcPr>
                <w:p w14:paraId="18A0C3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1CD63CC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r w14:paraId="347CA6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1116" w:type="dxa"/>
                  <w:vMerge w:val="continue"/>
                  <w:noWrap w:val="0"/>
                  <w:vAlign w:val="center"/>
                </w:tcPr>
                <w:p w14:paraId="760DB8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2245" w:type="dxa"/>
                  <w:gridSpan w:val="2"/>
                  <w:noWrap w:val="0"/>
                  <w:vAlign w:val="center"/>
                </w:tcPr>
                <w:p w14:paraId="7AFB0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eastAsia="zh-CN"/>
                    </w:rPr>
                  </w:pPr>
                  <w:r>
                    <w:rPr>
                      <w:rFonts w:hint="eastAsia" w:cs="宋体"/>
                      <w:color w:val="auto"/>
                      <w:kern w:val="0"/>
                      <w:szCs w:val="21"/>
                      <w:lang w:val="en-US" w:eastAsia="zh-CN"/>
                    </w:rPr>
                    <w:t>生活垃圾</w:t>
                  </w:r>
                </w:p>
              </w:tc>
              <w:tc>
                <w:tcPr>
                  <w:tcW w:w="1135" w:type="dxa"/>
                  <w:noWrap w:val="0"/>
                  <w:vAlign w:val="center"/>
                </w:tcPr>
                <w:p w14:paraId="015EE75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2.4</w:t>
                  </w:r>
                </w:p>
              </w:tc>
              <w:tc>
                <w:tcPr>
                  <w:tcW w:w="1131" w:type="dxa"/>
                  <w:noWrap w:val="0"/>
                  <w:vAlign w:val="center"/>
                </w:tcPr>
                <w:p w14:paraId="3A52A6E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2.4</w:t>
                  </w:r>
                </w:p>
              </w:tc>
              <w:tc>
                <w:tcPr>
                  <w:tcW w:w="1004" w:type="dxa"/>
                  <w:noWrap w:val="0"/>
                  <w:vAlign w:val="center"/>
                </w:tcPr>
                <w:p w14:paraId="440420A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3954089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0</w:t>
                  </w:r>
                </w:p>
              </w:tc>
            </w:tr>
          </w:tbl>
          <w:p w14:paraId="00CB0E1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rPr>
            </w:pPr>
            <w:r>
              <w:rPr>
                <w:b w:val="0"/>
                <w:bCs w:val="0"/>
                <w:color w:val="auto"/>
              </w:rPr>
              <w:t>2、总量控制指标</w:t>
            </w:r>
          </w:p>
          <w:p w14:paraId="0C1B3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根据《江苏省排污权有偿使用和交易管理暂行办法》和《江苏省排污权有偿使用和交易实施细则（试行）》，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按照《固定污染源排污许可分类管理名录（2019年版）》，在排污许可证中载明许可排放量的排污单位，应在申领排污许可证时取得排污权。</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对照《固定污染源排污许可分类管理名录（2019年版）》，本项目</w:t>
            </w:r>
            <w:r>
              <w:rPr>
                <w:rFonts w:hint="eastAsia" w:cs="Times New Roman"/>
                <w:color w:val="auto"/>
                <w:sz w:val="24"/>
                <w:lang w:eastAsia="zh-CN"/>
              </w:rPr>
              <w:t>属于</w:t>
            </w:r>
            <w:r>
              <w:rPr>
                <w:rFonts w:hint="eastAsia" w:cs="Times New Roman"/>
                <w:color w:val="auto"/>
                <w:sz w:val="24"/>
                <w:lang w:val="en-US" w:eastAsia="zh-CN"/>
              </w:rPr>
              <w:t>名录中“62塑料制品业 292”中的“其他”类别和“67玻璃纤维和玻璃纤维增强塑料制品制造306”中的“其他”类别，均为登记管理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建设项目管理类别详见下表：</w:t>
            </w:r>
          </w:p>
          <w:p w14:paraId="3A128F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21F2D9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1EB9D7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209203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056C37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08706E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74A2B8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73E3D0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4"/>
              </w:rPr>
            </w:pPr>
          </w:p>
          <w:p w14:paraId="7C204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4"/>
              </w:rPr>
              <w:t>表3-</w:t>
            </w:r>
            <w:r>
              <w:rPr>
                <w:rFonts w:hint="eastAsia" w:cs="Times New Roman"/>
                <w:b/>
                <w:bCs/>
                <w:color w:val="auto"/>
                <w:sz w:val="21"/>
                <w:szCs w:val="24"/>
                <w:lang w:val="en-US" w:eastAsia="zh-CN"/>
              </w:rPr>
              <w:t xml:space="preserve">7  </w:t>
            </w:r>
            <w:r>
              <w:rPr>
                <w:rFonts w:hint="default" w:ascii="Times New Roman" w:hAnsi="Times New Roman" w:eastAsia="宋体" w:cs="Times New Roman"/>
                <w:b/>
                <w:bCs/>
                <w:color w:val="auto"/>
                <w:sz w:val="21"/>
                <w:szCs w:val="24"/>
                <w:lang w:val="en-US" w:eastAsia="zh-CN"/>
              </w:rPr>
              <w:t>建设</w:t>
            </w:r>
            <w:r>
              <w:rPr>
                <w:rFonts w:hint="default" w:ascii="Times New Roman" w:hAnsi="Times New Roman" w:eastAsia="宋体" w:cs="Times New Roman"/>
                <w:b/>
                <w:bCs/>
                <w:color w:val="auto"/>
                <w:sz w:val="21"/>
                <w:szCs w:val="24"/>
              </w:rPr>
              <w:t>项目</w:t>
            </w:r>
            <w:r>
              <w:rPr>
                <w:rFonts w:hint="default" w:ascii="Times New Roman" w:hAnsi="Times New Roman" w:eastAsia="宋体" w:cs="Times New Roman"/>
                <w:b/>
                <w:bCs/>
                <w:color w:val="auto"/>
                <w:sz w:val="21"/>
                <w:szCs w:val="24"/>
                <w:lang w:val="en-US" w:eastAsia="zh-CN"/>
              </w:rPr>
              <w:t>排污许可分类管理类别</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312"/>
              <w:gridCol w:w="778"/>
              <w:gridCol w:w="3886"/>
              <w:gridCol w:w="873"/>
              <w:gridCol w:w="1005"/>
            </w:tblGrid>
            <w:tr w14:paraId="5BB329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291FC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312" w:type="dxa"/>
                  <w:vAlign w:val="center"/>
                </w:tcPr>
                <w:p w14:paraId="7D2E19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行业</w:t>
                  </w:r>
                </w:p>
                <w:p w14:paraId="0C055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类别</w:t>
                  </w:r>
                </w:p>
              </w:tc>
              <w:tc>
                <w:tcPr>
                  <w:tcW w:w="778" w:type="dxa"/>
                  <w:vAlign w:val="center"/>
                </w:tcPr>
                <w:p w14:paraId="63B67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重点管理</w:t>
                  </w:r>
                </w:p>
              </w:tc>
              <w:tc>
                <w:tcPr>
                  <w:tcW w:w="3886" w:type="dxa"/>
                  <w:vAlign w:val="center"/>
                </w:tcPr>
                <w:p w14:paraId="081D6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简化管理</w:t>
                  </w:r>
                </w:p>
              </w:tc>
              <w:tc>
                <w:tcPr>
                  <w:tcW w:w="873" w:type="dxa"/>
                  <w:vAlign w:val="center"/>
                </w:tcPr>
                <w:p w14:paraId="2CEDC2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登记管理</w:t>
                  </w:r>
                </w:p>
              </w:tc>
              <w:tc>
                <w:tcPr>
                  <w:tcW w:w="1005" w:type="dxa"/>
                  <w:vAlign w:val="center"/>
                </w:tcPr>
                <w:p w14:paraId="1BB73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本项目情况</w:t>
                  </w:r>
                </w:p>
              </w:tc>
            </w:tr>
            <w:tr w14:paraId="5A4ED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4E72B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62</w:t>
                  </w:r>
                </w:p>
              </w:tc>
              <w:tc>
                <w:tcPr>
                  <w:tcW w:w="1312" w:type="dxa"/>
                  <w:vAlign w:val="center"/>
                </w:tcPr>
                <w:p w14:paraId="0E17E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塑料制品业292</w:t>
                  </w:r>
                </w:p>
              </w:tc>
              <w:tc>
                <w:tcPr>
                  <w:tcW w:w="778" w:type="dxa"/>
                  <w:vAlign w:val="center"/>
                </w:tcPr>
                <w:p w14:paraId="2661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塑料人造革、合成革制造2925</w:t>
                  </w:r>
                </w:p>
              </w:tc>
              <w:tc>
                <w:tcPr>
                  <w:tcW w:w="3886" w:type="dxa"/>
                  <w:vAlign w:val="center"/>
                </w:tcPr>
                <w:p w14:paraId="73704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年产1万吨及以上的泡沫塑料制造2924，年产1万吨及以上涉及改性的塑料薄膜制造2921、塑料板、管、型材制造2922、塑料丝、绳和编织品制造2923、塑料包装箱及容器制造2926、日用塑料品制造2927、人造草坪制造2928、塑料零件及其他塑料制品制造2929</w:t>
                  </w:r>
                </w:p>
              </w:tc>
              <w:tc>
                <w:tcPr>
                  <w:tcW w:w="873" w:type="dxa"/>
                  <w:vAlign w:val="center"/>
                </w:tcPr>
                <w:p w14:paraId="06F1A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w:t>
                  </w:r>
                </w:p>
              </w:tc>
              <w:tc>
                <w:tcPr>
                  <w:tcW w:w="1005" w:type="dxa"/>
                  <w:vAlign w:val="center"/>
                </w:tcPr>
                <w:p w14:paraId="598A9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属于登记管理</w:t>
                  </w:r>
                </w:p>
              </w:tc>
            </w:tr>
            <w:tr w14:paraId="793BCE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4A4DF1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67</w:t>
                  </w:r>
                </w:p>
              </w:tc>
              <w:tc>
                <w:tcPr>
                  <w:tcW w:w="1312" w:type="dxa"/>
                  <w:vAlign w:val="center"/>
                </w:tcPr>
                <w:p w14:paraId="595DE6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玻璃纤维和玻璃纤维增强塑料制品制造306</w:t>
                  </w:r>
                </w:p>
              </w:tc>
              <w:tc>
                <w:tcPr>
                  <w:tcW w:w="778" w:type="dxa"/>
                  <w:vAlign w:val="center"/>
                </w:tcPr>
                <w:p w14:paraId="7F72D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以煤、石油焦、油和发生炉煤气为燃料的</w:t>
                  </w:r>
                </w:p>
              </w:tc>
              <w:tc>
                <w:tcPr>
                  <w:tcW w:w="3886" w:type="dxa"/>
                  <w:vAlign w:val="center"/>
                </w:tcPr>
                <w:p w14:paraId="564ADD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以天然气为燃料的</w:t>
                  </w:r>
                </w:p>
              </w:tc>
              <w:tc>
                <w:tcPr>
                  <w:tcW w:w="873" w:type="dxa"/>
                  <w:vAlign w:val="center"/>
                </w:tcPr>
                <w:p w14:paraId="6677AE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w:t>
                  </w:r>
                </w:p>
              </w:tc>
              <w:tc>
                <w:tcPr>
                  <w:tcW w:w="1005" w:type="dxa"/>
                  <w:vAlign w:val="center"/>
                </w:tcPr>
                <w:p w14:paraId="2A19FF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属于登记管理</w:t>
                  </w:r>
                </w:p>
              </w:tc>
            </w:tr>
          </w:tbl>
          <w:p w14:paraId="2724F102">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根据上表可知，本项目在投入运行前，应按照排污许可证管理规定，进行排污许可登记管理申报。</w:t>
            </w:r>
          </w:p>
          <w:p w14:paraId="5D261804">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color w:val="auto"/>
              </w:rPr>
            </w:pPr>
            <w:r>
              <w:rPr>
                <w:color w:val="auto"/>
              </w:rPr>
              <w:t>结合本项目排污特征，确定本项目总量控制指标如下：</w:t>
            </w:r>
          </w:p>
          <w:p w14:paraId="3506C9E0">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color w:val="auto"/>
              </w:rPr>
              <w:t>废气：</w:t>
            </w:r>
            <w:r>
              <w:rPr>
                <w:rFonts w:hint="eastAsia"/>
                <w:color w:val="auto"/>
              </w:rPr>
              <w:t>本项目</w:t>
            </w:r>
            <w:r>
              <w:rPr>
                <w:rFonts w:hint="eastAsia"/>
                <w:color w:val="auto"/>
                <w:lang w:val="en-US" w:eastAsia="zh-CN"/>
              </w:rPr>
              <w:t>非甲烷总烃控制总量为1.24t/a（有组织0.587t/a，无组织0.653t/a）、</w:t>
            </w:r>
            <w:r>
              <w:rPr>
                <w:rFonts w:hint="eastAsia"/>
                <w:color w:val="FF0000"/>
                <w:lang w:val="en-US" w:eastAsia="zh-CN"/>
              </w:rPr>
              <w:t>颗粒物控制总量为0.262t/a（有组织0.081t/a，无组织0.181t/a）</w:t>
            </w:r>
            <w:r>
              <w:rPr>
                <w:rFonts w:hint="eastAsia"/>
                <w:color w:val="auto"/>
                <w:lang w:val="en-US" w:eastAsia="zh-CN"/>
              </w:rPr>
              <w:t>，苯乙烯控制总量为1.14t/a（有组织0.54t/a，无组织0.6t/a），苯系物控制总量为1.14t/a（有组织0.54t/a，无组织0.6t/a），苯乙烯和苯系物仅作为考核因子（本项目苯系物为苯乙烯，非甲烷总烃包含苯乙烯），空气污染物总量在涟水县内平衡。</w:t>
            </w:r>
          </w:p>
          <w:p w14:paraId="5192A8F3">
            <w:pPr>
              <w:pStyle w:val="18"/>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jc w:val="both"/>
              <w:textAlignment w:val="auto"/>
              <w:rPr>
                <w:color w:val="auto"/>
              </w:rPr>
            </w:pPr>
            <w:r>
              <w:rPr>
                <w:color w:val="auto"/>
              </w:rPr>
              <w:t>废水：</w:t>
            </w:r>
            <w:r>
              <w:rPr>
                <w:rFonts w:hint="eastAsia"/>
                <w:color w:val="auto"/>
                <w:lang w:val="en-US" w:eastAsia="zh-CN"/>
              </w:rPr>
              <w:t>废水总量为192t/a，废水总量控制因子为：COD、NH</w:t>
            </w:r>
            <w:r>
              <w:rPr>
                <w:rFonts w:hint="eastAsia"/>
                <w:color w:val="auto"/>
                <w:vertAlign w:val="subscript"/>
                <w:lang w:val="en-US" w:eastAsia="zh-CN"/>
              </w:rPr>
              <w:t>3</w:t>
            </w:r>
            <w:r>
              <w:rPr>
                <w:rFonts w:hint="eastAsia"/>
                <w:color w:val="auto"/>
                <w:lang w:val="en-US" w:eastAsia="zh-CN"/>
              </w:rPr>
              <w:t>-N、TP和TN，</w:t>
            </w:r>
            <w:r>
              <w:rPr>
                <w:rFonts w:hint="eastAsia"/>
                <w:color w:val="auto"/>
              </w:rPr>
              <w:t>废水接管量为：COD</w:t>
            </w:r>
            <w:r>
              <w:rPr>
                <w:rFonts w:hint="eastAsia"/>
                <w:color w:val="auto"/>
                <w:lang w:val="en-US" w:eastAsia="zh-CN"/>
              </w:rPr>
              <w:t>0.0480</w:t>
            </w:r>
            <w:r>
              <w:rPr>
                <w:rFonts w:hint="eastAsia"/>
                <w:color w:val="auto"/>
              </w:rPr>
              <w:t>t/a</w:t>
            </w:r>
            <w:r>
              <w:rPr>
                <w:rFonts w:hint="eastAsia"/>
                <w:color w:val="auto"/>
                <w:lang w:val="en-US" w:eastAsia="zh-CN"/>
              </w:rPr>
              <w:t>、NH</w:t>
            </w:r>
            <w:r>
              <w:rPr>
                <w:rFonts w:hint="eastAsia"/>
                <w:color w:val="auto"/>
                <w:vertAlign w:val="subscript"/>
                <w:lang w:val="en-US" w:eastAsia="zh-CN"/>
              </w:rPr>
              <w:t>3</w:t>
            </w:r>
            <w:r>
              <w:rPr>
                <w:rFonts w:hint="eastAsia"/>
                <w:color w:val="auto"/>
                <w:lang w:val="en-US" w:eastAsia="zh-CN"/>
              </w:rPr>
              <w:t>-N0.0048</w:t>
            </w:r>
            <w:r>
              <w:rPr>
                <w:rFonts w:hint="eastAsia"/>
                <w:color w:val="auto"/>
              </w:rPr>
              <w:t>t/a、</w:t>
            </w:r>
            <w:r>
              <w:rPr>
                <w:rFonts w:hint="eastAsia"/>
                <w:color w:val="auto"/>
                <w:lang w:val="en-US" w:eastAsia="zh-CN"/>
              </w:rPr>
              <w:t>TN0.0067t</w:t>
            </w:r>
            <w:r>
              <w:rPr>
                <w:rFonts w:hint="eastAsia"/>
                <w:color w:val="auto"/>
              </w:rPr>
              <w:t>/a、</w:t>
            </w:r>
            <w:r>
              <w:rPr>
                <w:rFonts w:hint="eastAsia"/>
                <w:color w:val="auto"/>
                <w:lang w:val="en-US" w:eastAsia="zh-CN"/>
              </w:rPr>
              <w:t>TP0.0008</w:t>
            </w:r>
            <w:r>
              <w:rPr>
                <w:rFonts w:hint="eastAsia"/>
                <w:color w:val="auto"/>
              </w:rPr>
              <w:t>t/a；废水环境排放量为：COD</w:t>
            </w:r>
            <w:r>
              <w:rPr>
                <w:rFonts w:hint="eastAsia"/>
                <w:color w:val="auto"/>
                <w:lang w:val="en-US" w:eastAsia="zh-CN"/>
              </w:rPr>
              <w:t>0.0096</w:t>
            </w:r>
            <w:r>
              <w:rPr>
                <w:rFonts w:hint="eastAsia"/>
                <w:color w:val="auto"/>
              </w:rPr>
              <w:t>t/a、</w:t>
            </w:r>
            <w:r>
              <w:rPr>
                <w:rFonts w:hint="eastAsia"/>
                <w:color w:val="auto"/>
                <w:lang w:val="en-US" w:eastAsia="zh-CN"/>
              </w:rPr>
              <w:t>NH</w:t>
            </w:r>
            <w:r>
              <w:rPr>
                <w:rFonts w:hint="eastAsia"/>
                <w:color w:val="auto"/>
                <w:vertAlign w:val="subscript"/>
                <w:lang w:val="en-US" w:eastAsia="zh-CN"/>
              </w:rPr>
              <w:t>3</w:t>
            </w:r>
            <w:r>
              <w:rPr>
                <w:rFonts w:hint="eastAsia"/>
                <w:color w:val="auto"/>
                <w:lang w:val="en-US" w:eastAsia="zh-CN"/>
              </w:rPr>
              <w:t>-N0.0010</w:t>
            </w:r>
            <w:r>
              <w:rPr>
                <w:rFonts w:hint="eastAsia"/>
                <w:color w:val="auto"/>
              </w:rPr>
              <w:t>t/a、</w:t>
            </w:r>
            <w:r>
              <w:rPr>
                <w:rFonts w:hint="eastAsia"/>
                <w:color w:val="auto"/>
                <w:lang w:val="en-US" w:eastAsia="zh-CN"/>
              </w:rPr>
              <w:t>TN0.0029t</w:t>
            </w:r>
            <w:r>
              <w:rPr>
                <w:rFonts w:hint="eastAsia"/>
                <w:color w:val="auto"/>
              </w:rPr>
              <w:t>/a、</w:t>
            </w:r>
            <w:r>
              <w:rPr>
                <w:rFonts w:hint="eastAsia"/>
                <w:color w:val="auto"/>
                <w:lang w:val="en-US" w:eastAsia="zh-CN"/>
              </w:rPr>
              <w:t>TP0.0001</w:t>
            </w:r>
            <w:r>
              <w:rPr>
                <w:rFonts w:hint="eastAsia"/>
                <w:color w:val="auto"/>
              </w:rPr>
              <w:t>t/a。</w:t>
            </w:r>
            <w:r>
              <w:rPr>
                <w:rFonts w:hint="eastAsia"/>
                <w:color w:val="auto"/>
                <w:lang w:val="en-US" w:eastAsia="zh-CN"/>
              </w:rPr>
              <w:t>废水在涟水经济开发区西区污水处理厂内平衡。</w:t>
            </w:r>
          </w:p>
          <w:p w14:paraId="0667FC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Cs w:val="21"/>
              </w:rPr>
            </w:pPr>
            <w:r>
              <w:rPr>
                <w:rFonts w:hint="eastAsia"/>
                <w:color w:val="auto"/>
                <w:sz w:val="24"/>
              </w:rPr>
              <w:t>固废：本项目的固体废物全部合理处置，可以实现零排放。</w:t>
            </w:r>
          </w:p>
        </w:tc>
      </w:tr>
    </w:tbl>
    <w:p w14:paraId="08C4E3A0">
      <w:pPr>
        <w:pStyle w:val="16"/>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13094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9" w:hRule="atLeast"/>
          <w:jc w:val="center"/>
        </w:trPr>
        <w:tc>
          <w:tcPr>
            <w:tcW w:w="746" w:type="dxa"/>
            <w:noWrap w:val="0"/>
            <w:tcMar>
              <w:left w:w="28" w:type="dxa"/>
              <w:right w:w="28" w:type="dxa"/>
            </w:tcMar>
            <w:vAlign w:val="center"/>
          </w:tcPr>
          <w:p w14:paraId="2326DC41">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w:t>
            </w:r>
          </w:p>
          <w:p w14:paraId="201FD0BC">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期环</w:t>
            </w:r>
          </w:p>
          <w:p w14:paraId="519306C5">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境保</w:t>
            </w:r>
          </w:p>
          <w:p w14:paraId="5B2CDD46">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护措</w:t>
            </w:r>
          </w:p>
          <w:p w14:paraId="38634752">
            <w:pPr>
              <w:pStyle w:val="16"/>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w:t>
            </w:r>
          </w:p>
        </w:tc>
        <w:tc>
          <w:tcPr>
            <w:tcW w:w="8162" w:type="dxa"/>
            <w:noWrap w:val="0"/>
            <w:vAlign w:val="top"/>
          </w:tcPr>
          <w:p w14:paraId="10C7CBB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b w:val="0"/>
                <w:bCs/>
                <w:color w:val="auto"/>
              </w:rPr>
            </w:pPr>
            <w:r>
              <w:rPr>
                <w:rFonts w:hint="eastAsia"/>
                <w:color w:val="auto"/>
              </w:rPr>
              <w:t>本项目为</w:t>
            </w:r>
            <w:r>
              <w:rPr>
                <w:rFonts w:hint="eastAsia"/>
                <w:color w:val="auto"/>
                <w:lang w:val="en-US" w:eastAsia="zh-CN"/>
              </w:rPr>
              <w:t>租赁江苏涟水经济开发区</w:t>
            </w:r>
            <w:r>
              <w:rPr>
                <w:rFonts w:hint="eastAsia"/>
                <w:color w:val="auto"/>
              </w:rPr>
              <w:t>内现有空置厂房进行</w:t>
            </w:r>
            <w:r>
              <w:rPr>
                <w:rFonts w:hint="eastAsia"/>
                <w:color w:val="auto"/>
                <w:lang w:val="en-US" w:eastAsia="zh-CN"/>
              </w:rPr>
              <w:t>塑料手柄</w:t>
            </w:r>
            <w:r>
              <w:rPr>
                <w:rFonts w:hint="eastAsia"/>
                <w:color w:val="auto"/>
              </w:rPr>
              <w:t>的</w:t>
            </w:r>
            <w:r>
              <w:rPr>
                <w:rFonts w:hint="eastAsia"/>
                <w:color w:val="auto"/>
                <w:lang w:val="en-US" w:eastAsia="zh-CN"/>
              </w:rPr>
              <w:t>生产</w:t>
            </w:r>
            <w:r>
              <w:rPr>
                <w:rFonts w:hint="eastAsia"/>
                <w:color w:val="auto"/>
              </w:rPr>
              <w:t>，施工期主要为生产设备的安装与调试，施工期较短，对外界环境影响随着施工期的结束而结束，本次环评不对施工期进行评价。</w:t>
            </w:r>
          </w:p>
          <w:p w14:paraId="6F1FD7A2">
            <w:pPr>
              <w:pStyle w:val="19"/>
              <w:spacing w:line="240" w:lineRule="auto"/>
              <w:ind w:leftChars="0" w:firstLine="0" w:firstLineChars="0"/>
              <w:jc w:val="center"/>
              <w:rPr>
                <w:rFonts w:hint="eastAsia"/>
                <w:b w:val="0"/>
                <w:bCs/>
                <w:color w:val="auto"/>
              </w:rPr>
            </w:pPr>
          </w:p>
          <w:p w14:paraId="5E2CCA40">
            <w:pPr>
              <w:pStyle w:val="19"/>
              <w:ind w:left="0" w:leftChars="0" w:firstLine="0" w:firstLineChars="0"/>
              <w:jc w:val="center"/>
              <w:rPr>
                <w:rFonts w:hint="eastAsia"/>
                <w:b w:val="0"/>
                <w:bCs/>
                <w:color w:val="auto"/>
              </w:rPr>
            </w:pPr>
          </w:p>
          <w:p w14:paraId="033DD871">
            <w:pPr>
              <w:pStyle w:val="18"/>
              <w:ind w:firstLine="480"/>
              <w:jc w:val="center"/>
              <w:rPr>
                <w:rFonts w:hint="eastAsia"/>
                <w:b w:val="0"/>
                <w:bCs/>
                <w:color w:val="auto"/>
              </w:rPr>
            </w:pPr>
          </w:p>
          <w:p w14:paraId="43B12A2C">
            <w:pPr>
              <w:pStyle w:val="19"/>
              <w:jc w:val="center"/>
              <w:rPr>
                <w:rFonts w:hint="eastAsia"/>
                <w:b w:val="0"/>
                <w:bCs/>
                <w:color w:val="auto"/>
              </w:rPr>
            </w:pPr>
          </w:p>
          <w:p w14:paraId="1DD10C98">
            <w:pPr>
              <w:pStyle w:val="19"/>
              <w:ind w:left="0" w:leftChars="0" w:firstLine="0" w:firstLineChars="0"/>
              <w:jc w:val="center"/>
              <w:rPr>
                <w:color w:val="auto"/>
              </w:rPr>
            </w:pPr>
          </w:p>
          <w:p w14:paraId="42EE963F">
            <w:pPr>
              <w:pStyle w:val="18"/>
              <w:rPr>
                <w:color w:val="auto"/>
              </w:rPr>
            </w:pPr>
          </w:p>
          <w:p w14:paraId="7F5518F6">
            <w:pPr>
              <w:pStyle w:val="19"/>
              <w:rPr>
                <w:color w:val="auto"/>
              </w:rPr>
            </w:pPr>
          </w:p>
          <w:p w14:paraId="45984D44">
            <w:pPr>
              <w:pStyle w:val="18"/>
              <w:rPr>
                <w:color w:val="auto"/>
              </w:rPr>
            </w:pPr>
          </w:p>
          <w:p w14:paraId="1272BA01">
            <w:pPr>
              <w:pStyle w:val="19"/>
              <w:rPr>
                <w:color w:val="auto"/>
              </w:rPr>
            </w:pPr>
          </w:p>
          <w:p w14:paraId="5171F993">
            <w:pPr>
              <w:pStyle w:val="18"/>
              <w:rPr>
                <w:color w:val="auto"/>
              </w:rPr>
            </w:pPr>
          </w:p>
          <w:p w14:paraId="46F84121">
            <w:pPr>
              <w:pStyle w:val="19"/>
              <w:rPr>
                <w:color w:val="auto"/>
              </w:rPr>
            </w:pPr>
          </w:p>
          <w:p w14:paraId="009F6E80">
            <w:pPr>
              <w:pStyle w:val="18"/>
              <w:rPr>
                <w:color w:val="auto"/>
              </w:rPr>
            </w:pPr>
          </w:p>
          <w:p w14:paraId="1CBF15E3">
            <w:pPr>
              <w:pStyle w:val="19"/>
              <w:rPr>
                <w:color w:val="auto"/>
              </w:rPr>
            </w:pPr>
          </w:p>
          <w:p w14:paraId="179D4B8D">
            <w:pPr>
              <w:pStyle w:val="18"/>
              <w:rPr>
                <w:color w:val="auto"/>
              </w:rPr>
            </w:pPr>
          </w:p>
          <w:p w14:paraId="47414BAD">
            <w:pPr>
              <w:pStyle w:val="19"/>
              <w:rPr>
                <w:color w:val="auto"/>
              </w:rPr>
            </w:pPr>
          </w:p>
          <w:p w14:paraId="5467B82A">
            <w:pPr>
              <w:pStyle w:val="18"/>
              <w:rPr>
                <w:color w:val="auto"/>
              </w:rPr>
            </w:pPr>
          </w:p>
          <w:p w14:paraId="199B25CF">
            <w:pPr>
              <w:pStyle w:val="19"/>
              <w:rPr>
                <w:color w:val="auto"/>
              </w:rPr>
            </w:pPr>
          </w:p>
          <w:p w14:paraId="37804595">
            <w:pPr>
              <w:pStyle w:val="18"/>
              <w:rPr>
                <w:color w:val="auto"/>
              </w:rPr>
            </w:pPr>
          </w:p>
          <w:p w14:paraId="0C007672">
            <w:pPr>
              <w:pStyle w:val="19"/>
              <w:rPr>
                <w:color w:val="auto"/>
              </w:rPr>
            </w:pPr>
          </w:p>
          <w:p w14:paraId="0940F42A">
            <w:pPr>
              <w:pStyle w:val="18"/>
              <w:rPr>
                <w:color w:val="auto"/>
              </w:rPr>
            </w:pPr>
          </w:p>
          <w:p w14:paraId="7D167312">
            <w:pPr>
              <w:pStyle w:val="19"/>
              <w:rPr>
                <w:color w:val="auto"/>
              </w:rPr>
            </w:pPr>
          </w:p>
          <w:p w14:paraId="439EE917">
            <w:pPr>
              <w:pStyle w:val="18"/>
              <w:rPr>
                <w:color w:val="auto"/>
              </w:rPr>
            </w:pPr>
          </w:p>
          <w:p w14:paraId="6ADC840C">
            <w:pPr>
              <w:pStyle w:val="19"/>
              <w:rPr>
                <w:color w:val="auto"/>
              </w:rPr>
            </w:pPr>
          </w:p>
        </w:tc>
      </w:tr>
      <w:tr w14:paraId="65B01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746" w:type="dxa"/>
            <w:noWrap w:val="0"/>
            <w:tcMar>
              <w:left w:w="28" w:type="dxa"/>
              <w:right w:w="28" w:type="dxa"/>
            </w:tcMar>
            <w:vAlign w:val="center"/>
          </w:tcPr>
          <w:p w14:paraId="2A3B7588">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14:paraId="7571440A">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14:paraId="13BBC1D3">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14:paraId="2F586FD6">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14:paraId="2E23068E">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14:paraId="5F569B05">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noWrap w:val="0"/>
            <w:vAlign w:val="center"/>
          </w:tcPr>
          <w:p w14:paraId="5B9D559F">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一、废气</w:t>
            </w:r>
          </w:p>
          <w:p w14:paraId="0825F9A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本项目营运期产生的废气污染物主要是</w:t>
            </w:r>
            <w:r>
              <w:rPr>
                <w:rFonts w:hint="eastAsia"/>
                <w:color w:val="auto"/>
                <w:sz w:val="24"/>
                <w:lang w:val="en-US" w:eastAsia="zh-CN"/>
              </w:rPr>
              <w:t>裹树脂、拉挤、注塑产生的</w:t>
            </w:r>
            <w:r>
              <w:rPr>
                <w:rFonts w:hint="eastAsia"/>
                <w:color w:val="auto"/>
                <w:sz w:val="24"/>
              </w:rPr>
              <w:t>有机废气</w:t>
            </w:r>
            <w:r>
              <w:rPr>
                <w:rFonts w:hint="eastAsia"/>
                <w:color w:val="auto"/>
                <w:sz w:val="24"/>
                <w:lang w:val="en-US" w:eastAsia="zh-CN"/>
              </w:rPr>
              <w:t>和切割、破碎产生的颗粒物</w:t>
            </w:r>
            <w:r>
              <w:rPr>
                <w:rFonts w:hint="eastAsia"/>
                <w:color w:val="auto"/>
                <w:sz w:val="24"/>
              </w:rPr>
              <w:t>。具体分析如下</w:t>
            </w:r>
            <w:r>
              <w:rPr>
                <w:rFonts w:hint="eastAsia"/>
                <w:color w:val="auto"/>
                <w:sz w:val="24"/>
                <w:lang w:eastAsia="zh-CN"/>
              </w:rPr>
              <w:t>：</w:t>
            </w:r>
          </w:p>
          <w:p w14:paraId="57D232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 w:val="0"/>
                <w:bCs w:val="0"/>
                <w:color w:val="auto"/>
                <w:sz w:val="24"/>
                <w:lang w:eastAsia="zh-CN"/>
              </w:rPr>
            </w:pPr>
            <w:r>
              <w:rPr>
                <w:rFonts w:hint="eastAsia" w:ascii="Times New Roman" w:hAnsi="Times New Roman" w:eastAsia="宋体"/>
                <w:b w:val="0"/>
                <w:bCs w:val="0"/>
                <w:color w:val="auto"/>
                <w:sz w:val="24"/>
              </w:rPr>
              <w:t>1、废气污染源强分析</w:t>
            </w:r>
          </w:p>
          <w:p w14:paraId="0F6E9F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（1）有机废气</w:t>
            </w:r>
          </w:p>
          <w:p w14:paraId="48ED3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①</w:t>
            </w:r>
            <w:r>
              <w:rPr>
                <w:rFonts w:hint="eastAsia" w:ascii="Times New Roman" w:hAnsi="Times New Roman" w:eastAsia="宋体" w:cs="Times New Roman"/>
                <w:color w:val="auto"/>
                <w:sz w:val="24"/>
                <w:lang w:val="en-US" w:eastAsia="zh-CN"/>
              </w:rPr>
              <w:t>拉挤</w:t>
            </w:r>
            <w:r>
              <w:rPr>
                <w:rFonts w:hint="default" w:ascii="Times New Roman" w:hAnsi="Times New Roman" w:eastAsia="宋体" w:cs="Times New Roman"/>
                <w:color w:val="auto"/>
                <w:sz w:val="24"/>
              </w:rPr>
              <w:t>有机废气</w:t>
            </w:r>
          </w:p>
          <w:p w14:paraId="4A7D45B6">
            <w:pPr>
              <w:pStyle w:val="52"/>
              <w:keepNext w:val="0"/>
              <w:keepLines w:val="0"/>
              <w:pageBreakBefore w:val="0"/>
              <w:widowControl w:val="0"/>
              <w:kinsoku/>
              <w:wordWrap/>
              <w:overflowPunct/>
              <w:topLinePunct w:val="0"/>
              <w:autoSpaceDE/>
              <w:autoSpaceDN/>
              <w:bidi w:val="0"/>
              <w:spacing w:line="360" w:lineRule="auto"/>
              <w:ind w:right="0" w:firstLine="488" w:firstLineChars="200"/>
              <w:textAlignment w:val="auto"/>
              <w:rPr>
                <w:rFonts w:hint="eastAsia" w:ascii="Times New Roman" w:hAnsi="Times New Roman" w:eastAsia="宋体"/>
                <w:color w:val="auto"/>
                <w:sz w:val="24"/>
              </w:rPr>
            </w:pPr>
            <w:r>
              <w:rPr>
                <w:rFonts w:hint="eastAsia" w:ascii="Times New Roman" w:hAnsi="Times New Roman" w:eastAsia="宋体"/>
                <w:color w:val="auto"/>
                <w:spacing w:val="2"/>
                <w:sz w:val="24"/>
                <w:lang w:val="en-US" w:eastAsia="zh-CN"/>
              </w:rPr>
              <w:t>本项目包裹树脂和拉挤过程</w:t>
            </w:r>
            <w:r>
              <w:rPr>
                <w:rFonts w:ascii="Times New Roman" w:hAnsi="Times New Roman" w:eastAsia="宋体"/>
                <w:color w:val="auto"/>
                <w:spacing w:val="2"/>
                <w:sz w:val="24"/>
              </w:rPr>
              <w:t>会</w:t>
            </w:r>
            <w:r>
              <w:rPr>
                <w:rFonts w:hint="eastAsia" w:ascii="Times New Roman" w:hAnsi="Times New Roman"/>
                <w:color w:val="auto"/>
                <w:spacing w:val="2"/>
                <w:sz w:val="24"/>
                <w:lang w:val="en-US" w:eastAsia="zh-CN"/>
              </w:rPr>
              <w:t>产生有机废气（以非甲烷总烃表征）</w:t>
            </w:r>
            <w:r>
              <w:rPr>
                <w:rFonts w:ascii="Times New Roman" w:hAnsi="Times New Roman" w:eastAsia="宋体"/>
                <w:color w:val="auto"/>
                <w:spacing w:val="1"/>
                <w:sz w:val="24"/>
              </w:rPr>
              <w:t>。</w:t>
            </w:r>
            <w:r>
              <w:rPr>
                <w:rFonts w:hint="eastAsia" w:ascii="Times New Roman" w:hAnsi="Times New Roman"/>
                <w:color w:val="auto"/>
                <w:spacing w:val="1"/>
                <w:sz w:val="24"/>
                <w:lang w:val="en-US" w:eastAsia="zh-CN"/>
              </w:rPr>
              <w:t>根据固化剂MSDS报告，其主要成分为：过氧化甲乙酮35%～45%、邻苯二甲酸二甲酯20%～45%、2,2</w:t>
            </w:r>
            <w:r>
              <w:rPr>
                <w:rFonts w:hint="default" w:ascii="Times New Roman" w:hAnsi="Times New Roman"/>
                <w:color w:val="auto"/>
                <w:spacing w:val="1"/>
                <w:sz w:val="24"/>
                <w:lang w:val="en-US" w:eastAsia="zh-CN"/>
              </w:rPr>
              <w:t>’</w:t>
            </w:r>
            <w:r>
              <w:rPr>
                <w:rFonts w:hint="eastAsia" w:ascii="Times New Roman" w:hAnsi="Times New Roman"/>
                <w:color w:val="auto"/>
                <w:spacing w:val="1"/>
                <w:sz w:val="24"/>
                <w:lang w:val="en-US" w:eastAsia="zh-CN"/>
              </w:rPr>
              <w:t>-氧联二乙醇10%～19%、甲基乙基酮3%～7%、过氧化氢1%～5%，其中挥发份为2,2</w:t>
            </w:r>
            <w:r>
              <w:rPr>
                <w:rFonts w:hint="default" w:ascii="Times New Roman" w:hAnsi="Times New Roman"/>
                <w:color w:val="auto"/>
                <w:spacing w:val="1"/>
                <w:sz w:val="24"/>
                <w:lang w:val="en-US" w:eastAsia="zh-CN"/>
              </w:rPr>
              <w:t>’</w:t>
            </w:r>
            <w:r>
              <w:rPr>
                <w:rFonts w:hint="eastAsia" w:ascii="Times New Roman" w:hAnsi="Times New Roman"/>
                <w:color w:val="auto"/>
                <w:spacing w:val="1"/>
                <w:sz w:val="24"/>
                <w:lang w:val="en-US" w:eastAsia="zh-CN"/>
              </w:rPr>
              <w:t>-氧联二乙醇、甲基乙基酮、过氧化氢，挥发份占比取中值23.5%，固化剂用量为0.15t/a，则非甲烷总烃产生量为0.035t/a；根据</w:t>
            </w:r>
            <w:r>
              <w:rPr>
                <w:rFonts w:hint="eastAsia" w:ascii="Times New Roman" w:hAnsi="Times New Roman" w:eastAsia="宋体"/>
                <w:color w:val="auto"/>
                <w:spacing w:val="5"/>
                <w:sz w:val="24"/>
              </w:rPr>
              <w:t>不饱和聚酯树脂</w:t>
            </w:r>
            <w:r>
              <w:rPr>
                <w:rFonts w:hint="eastAsia" w:ascii="Times New Roman" w:hAnsi="Times New Roman"/>
                <w:color w:val="auto"/>
                <w:spacing w:val="5"/>
                <w:sz w:val="24"/>
                <w:lang w:eastAsia="zh-CN"/>
              </w:rPr>
              <w:t>的</w:t>
            </w:r>
            <w:r>
              <w:rPr>
                <w:rFonts w:hint="eastAsia" w:ascii="Times New Roman" w:hAnsi="Times New Roman"/>
                <w:color w:val="auto"/>
                <w:spacing w:val="5"/>
                <w:sz w:val="24"/>
                <w:lang w:val="en-US" w:eastAsia="zh-CN"/>
              </w:rPr>
              <w:t>MSDS报告，不饱和聚酯树脂的成分为：70%的聚酯+30%苯乙烯</w:t>
            </w:r>
            <w:r>
              <w:rPr>
                <w:rFonts w:hint="eastAsia" w:ascii="Times New Roman" w:hAnsi="Times New Roman" w:eastAsia="宋体"/>
                <w:color w:val="auto"/>
                <w:spacing w:val="5"/>
                <w:sz w:val="24"/>
              </w:rPr>
              <w:t>，其中会挥发</w:t>
            </w:r>
            <w:r>
              <w:rPr>
                <w:rFonts w:hint="eastAsia" w:ascii="Times New Roman" w:hAnsi="Times New Roman"/>
                <w:color w:val="auto"/>
                <w:spacing w:val="5"/>
                <w:sz w:val="24"/>
                <w:lang w:eastAsia="zh-CN"/>
              </w:rPr>
              <w:t>的成分</w:t>
            </w:r>
            <w:r>
              <w:rPr>
                <w:rFonts w:hint="eastAsia" w:ascii="Times New Roman" w:hAnsi="Times New Roman" w:eastAsia="宋体"/>
                <w:color w:val="auto"/>
                <w:spacing w:val="5"/>
                <w:sz w:val="24"/>
              </w:rPr>
              <w:t>为苯乙烯</w:t>
            </w:r>
            <w:r>
              <w:rPr>
                <w:rFonts w:ascii="Times New Roman" w:hAnsi="Times New Roman" w:eastAsia="宋体"/>
                <w:color w:val="auto"/>
                <w:spacing w:val="2"/>
                <w:sz w:val="24"/>
              </w:rPr>
              <w:t>，</w:t>
            </w:r>
            <w:r>
              <w:rPr>
                <w:rFonts w:hint="eastAsia" w:ascii="Times New Roman" w:hAnsi="Times New Roman"/>
                <w:color w:val="auto"/>
                <w:spacing w:val="2"/>
                <w:sz w:val="24"/>
                <w:lang w:val="en-US" w:eastAsia="zh-CN"/>
              </w:rPr>
              <w:t>本项目不饱和聚酯树脂用量为20t/a，</w:t>
            </w:r>
            <w:r>
              <w:rPr>
                <w:rFonts w:ascii="Times New Roman" w:hAnsi="Times New Roman" w:eastAsia="宋体"/>
                <w:color w:val="auto"/>
                <w:spacing w:val="1"/>
                <w:sz w:val="24"/>
              </w:rPr>
              <w:t>则</w:t>
            </w:r>
            <w:r>
              <w:rPr>
                <w:rFonts w:ascii="Times New Roman" w:hAnsi="Times New Roman" w:eastAsia="宋体"/>
                <w:color w:val="auto"/>
                <w:spacing w:val="2"/>
                <w:sz w:val="24"/>
              </w:rPr>
              <w:t>非甲烷总烃产生量为</w:t>
            </w:r>
            <w:r>
              <w:rPr>
                <w:rFonts w:hint="eastAsia" w:ascii="Times New Roman" w:hAnsi="Times New Roman" w:cs="Times New Roman"/>
                <w:color w:val="auto"/>
                <w:spacing w:val="2"/>
                <w:sz w:val="24"/>
                <w:lang w:val="en-US" w:eastAsia="zh-CN"/>
              </w:rPr>
              <w:t>6</w:t>
            </w:r>
            <w:r>
              <w:rPr>
                <w:rFonts w:ascii="Times New Roman" w:hAnsi="Times New Roman" w:eastAsia="宋体" w:cs="Times New Roman"/>
                <w:color w:val="auto"/>
                <w:spacing w:val="2"/>
                <w:sz w:val="24"/>
              </w:rPr>
              <w:t>t/a</w:t>
            </w:r>
            <w:r>
              <w:rPr>
                <w:rFonts w:hint="eastAsia" w:ascii="Times New Roman" w:hAnsi="Times New Roman" w:cs="Times New Roman"/>
                <w:color w:val="auto"/>
                <w:spacing w:val="2"/>
                <w:sz w:val="24"/>
                <w:lang w:eastAsia="zh-CN"/>
              </w:rPr>
              <w:t>（</w:t>
            </w:r>
            <w:r>
              <w:rPr>
                <w:rFonts w:hint="eastAsia" w:ascii="Times New Roman" w:hAnsi="Times New Roman" w:cs="Times New Roman"/>
                <w:color w:val="auto"/>
                <w:spacing w:val="2"/>
                <w:sz w:val="24"/>
                <w:lang w:val="en-US" w:eastAsia="zh-CN"/>
              </w:rPr>
              <w:t>苯乙烯产生量为6t/a，苯系物产生量为6t/a</w:t>
            </w:r>
            <w:r>
              <w:rPr>
                <w:rFonts w:hint="eastAsia" w:ascii="Times New Roman" w:hAnsi="Times New Roman" w:cs="Times New Roman"/>
                <w:color w:val="auto"/>
                <w:spacing w:val="2"/>
                <w:sz w:val="24"/>
                <w:lang w:eastAsia="zh-CN"/>
              </w:rPr>
              <w:t>）</w:t>
            </w:r>
            <w:r>
              <w:rPr>
                <w:rFonts w:hint="eastAsia" w:ascii="Times New Roman" w:hAnsi="Times New Roman" w:eastAsia="宋体"/>
                <w:color w:val="auto"/>
                <w:sz w:val="24"/>
              </w:rPr>
              <w:t>。</w:t>
            </w:r>
          </w:p>
          <w:p w14:paraId="7A28ED9E">
            <w:pPr>
              <w:pStyle w:val="52"/>
              <w:keepNext w:val="0"/>
              <w:keepLines w:val="0"/>
              <w:pageBreakBefore w:val="0"/>
              <w:widowControl w:val="0"/>
              <w:kinsoku/>
              <w:wordWrap/>
              <w:overflowPunct/>
              <w:topLinePunct w:val="0"/>
              <w:autoSpaceDE/>
              <w:autoSpaceDN/>
              <w:bidi w:val="0"/>
              <w:spacing w:line="360" w:lineRule="auto"/>
              <w:ind w:right="0"/>
              <w:textAlignment w:val="auto"/>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综上，拉挤工序非甲烷总烃产生量为6.035t/a，</w:t>
            </w:r>
            <w:r>
              <w:rPr>
                <w:rFonts w:hint="eastAsia" w:ascii="Times New Roman" w:hAnsi="Times New Roman" w:cs="Times New Roman"/>
                <w:color w:val="auto"/>
                <w:spacing w:val="2"/>
                <w:sz w:val="24"/>
                <w:lang w:val="en-US" w:eastAsia="zh-CN"/>
              </w:rPr>
              <w:t>苯乙烯产生量为6t/a，苯系物产生量为6t/a。</w:t>
            </w:r>
          </w:p>
          <w:p w14:paraId="29FD48B5">
            <w:pPr>
              <w:pStyle w:val="19"/>
              <w:keepNext w:val="0"/>
              <w:keepLines w:val="0"/>
              <w:pageBreakBefore w:val="0"/>
              <w:widowControl w:val="0"/>
              <w:kinsoku/>
              <w:wordWrap/>
              <w:overflowPunct/>
              <w:topLinePunct w:val="0"/>
              <w:bidi w:val="0"/>
              <w:snapToGrid/>
              <w:spacing w:line="360" w:lineRule="auto"/>
              <w:ind w:firstLine="480"/>
              <w:textAlignment w:val="auto"/>
              <w:rPr>
                <w:rFonts w:hint="eastAsia" w:ascii="Times New Roman" w:hAnsi="Times New Roman" w:eastAsia="宋体" w:cs="Times New Roman"/>
                <w:b w:val="0"/>
                <w:color w:val="auto"/>
                <w:sz w:val="24"/>
                <w:shd w:val="clear" w:color="auto" w:fill="auto"/>
                <w:lang w:val="en-US" w:eastAsia="zh-CN"/>
              </w:rPr>
            </w:pPr>
            <w:r>
              <w:rPr>
                <w:rFonts w:hint="eastAsia" w:ascii="Times New Roman" w:hAnsi="Times New Roman" w:eastAsia="宋体" w:cs="Times New Roman"/>
                <w:b w:val="0"/>
                <w:color w:val="auto"/>
                <w:sz w:val="24"/>
                <w:shd w:val="clear" w:color="auto" w:fill="auto"/>
                <w:lang w:val="en-US" w:eastAsia="zh-CN"/>
              </w:rPr>
              <w:t>项目采用集气罩吸收废气，收集效率可达到90%。有机废气经集气罩收集+二级活性炭吸附装置处理，处理后废气经15米高排气筒DA001排放。每年运行时间约</w:t>
            </w:r>
            <w:r>
              <w:rPr>
                <w:rFonts w:hint="eastAsia" w:ascii="Times New Roman" w:hAnsi="Times New Roman" w:cs="Times New Roman"/>
                <w:b w:val="0"/>
                <w:color w:val="auto"/>
                <w:sz w:val="24"/>
                <w:shd w:val="clear" w:color="auto" w:fill="auto"/>
                <w:lang w:val="en-US" w:eastAsia="zh-CN"/>
              </w:rPr>
              <w:t>24</w:t>
            </w:r>
            <w:r>
              <w:rPr>
                <w:rFonts w:hint="eastAsia" w:ascii="Times New Roman" w:hAnsi="Times New Roman" w:eastAsia="宋体" w:cs="Times New Roman"/>
                <w:b w:val="0"/>
                <w:color w:val="auto"/>
                <w:sz w:val="24"/>
                <w:shd w:val="clear" w:color="auto" w:fill="auto"/>
                <w:lang w:val="en-US" w:eastAsia="zh-CN"/>
              </w:rPr>
              <w:t>00h，二级活性炭吸附装置处理效率90%。</w:t>
            </w:r>
          </w:p>
          <w:p w14:paraId="4415DF19">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2台拉挤机</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上部伞形罩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610899FF">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1.4pHVx</w:t>
            </w:r>
          </w:p>
          <w:p w14:paraId="04CA3761">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567EC767">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eastAsia" w:cs="Times New Roman"/>
                <w:color w:val="auto"/>
                <w:sz w:val="24"/>
                <w:lang w:val="en-US" w:eastAsia="zh-CN"/>
              </w:rPr>
              <w:t>p</w:t>
            </w:r>
            <w:r>
              <w:rPr>
                <w:rFonts w:hint="eastAsia" w:cs="Times New Roman"/>
                <w:color w:val="auto"/>
                <w:sz w:val="24"/>
                <w:lang w:eastAsia="zh-CN"/>
              </w:rPr>
              <w:t>-</w:t>
            </w:r>
            <w:r>
              <w:rPr>
                <w:rFonts w:hint="default" w:ascii="Times New Roman" w:hAnsi="Times New Roman" w:cs="Times New Roman"/>
                <w:color w:val="auto"/>
                <w:sz w:val="24"/>
              </w:rPr>
              <w:t>罩口</w:t>
            </w:r>
            <w:r>
              <w:rPr>
                <w:rFonts w:hint="eastAsia" w:cs="Times New Roman"/>
                <w:color w:val="auto"/>
                <w:sz w:val="24"/>
                <w:lang w:val="en-US" w:eastAsia="zh-CN"/>
              </w:rPr>
              <w:t>周长</w:t>
            </w:r>
            <w:r>
              <w:rPr>
                <w:rFonts w:hint="default" w:ascii="Times New Roman" w:hAnsi="Times New Roman" w:cs="Times New Roman"/>
                <w:color w:val="auto"/>
                <w:sz w:val="24"/>
              </w:rPr>
              <w:t>，m；</w:t>
            </w:r>
          </w:p>
          <w:p w14:paraId="4287B8CD">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617F4BBC">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eastAsia" w:ascii="Times New Roman" w:hAnsi="Times New Roman" w:cs="Times New Roman"/>
                <w:color w:val="auto"/>
                <w:spacing w:val="-1"/>
                <w:lang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5D65A06A">
            <w:pPr>
              <w:pStyle w:val="52"/>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pacing w:val="-1"/>
                <w:lang w:val="en-US" w:eastAsia="zh-CN"/>
              </w:rPr>
              <w:t>本项目拉挤机集气罩罩口规格为</w:t>
            </w:r>
            <w:r>
              <w:rPr>
                <w:rFonts w:hint="eastAsia" w:ascii="Times New Roman" w:hAnsi="Times New Roman" w:cs="Times New Roman"/>
                <w:color w:val="auto"/>
                <w:spacing w:val="-1"/>
                <w:sz w:val="24"/>
                <w:szCs w:val="24"/>
                <w:lang w:val="en-US" w:eastAsia="zh-CN"/>
              </w:rPr>
              <w:t>（</w:t>
            </w:r>
            <w:r>
              <w:rPr>
                <w:rFonts w:hint="eastAsia" w:ascii="Times New Roman" w:hAnsi="Times New Roman" w:cs="Times New Roman"/>
                <w:b w:val="0"/>
                <w:color w:val="auto"/>
                <w:sz w:val="24"/>
                <w:szCs w:val="24"/>
                <w:lang w:val="en-US" w:eastAsia="zh-CN"/>
              </w:rPr>
              <w:t>1.6m</w:t>
            </w:r>
            <w:r>
              <w:rPr>
                <w:rFonts w:hint="default" w:ascii="Times New Roman" w:hAnsi="Times New Roman" w:cs="Times New Roman"/>
                <w:b w:val="0"/>
                <w:color w:val="auto"/>
                <w:sz w:val="24"/>
                <w:szCs w:val="24"/>
              </w:rPr>
              <w:t>*</w:t>
            </w:r>
            <w:r>
              <w:rPr>
                <w:rFonts w:hint="eastAsia" w:ascii="Times New Roman" w:hAnsi="Times New Roman" w:cs="Times New Roman"/>
                <w:b w:val="0"/>
                <w:color w:val="auto"/>
                <w:sz w:val="24"/>
                <w:szCs w:val="24"/>
                <w:lang w:val="en-US" w:eastAsia="zh-CN"/>
              </w:rPr>
              <w:t>0.5m</w:t>
            </w:r>
            <w:r>
              <w:rPr>
                <w:rFonts w:hint="eastAsia" w:ascii="Times New Roman" w:hAnsi="Times New Roman" w:cs="Times New Roman"/>
                <w:color w:val="auto"/>
                <w:spacing w:val="-1"/>
                <w:sz w:val="24"/>
                <w:szCs w:val="24"/>
                <w:lang w:val="en-US" w:eastAsia="zh-CN"/>
              </w:rPr>
              <w:t>），与污染源距离为0.3m，</w:t>
            </w:r>
            <w:r>
              <w:rPr>
                <w:rFonts w:hint="eastAsia" w:ascii="Times New Roman" w:hAnsi="Times New Roman" w:cs="Times New Roman"/>
                <w:color w:val="auto"/>
                <w:spacing w:val="-1"/>
                <w:lang w:val="en-US" w:eastAsia="zh-CN"/>
              </w:rPr>
              <w:t>计算得集气罩风量为5080.32</w:t>
            </w:r>
            <w:r>
              <w:rPr>
                <w:rFonts w:hint="eastAsia" w:ascii="Times New Roman" w:hAnsi="Times New Roman"/>
                <w:color w:val="auto"/>
                <w:spacing w:val="3"/>
                <w:lang w:eastAsia="zh-CN"/>
              </w:rPr>
              <w:t>m</w:t>
            </w:r>
            <w:r>
              <w:rPr>
                <w:rFonts w:hint="eastAsia" w:ascii="Times New Roman" w:hAnsi="Times New Roman"/>
                <w:color w:val="auto"/>
                <w:spacing w:val="3"/>
                <w:vertAlign w:val="superscript"/>
                <w:lang w:eastAsia="zh-CN"/>
              </w:rPr>
              <w:t>3</w:t>
            </w:r>
            <w:r>
              <w:rPr>
                <w:rFonts w:hint="eastAsia" w:ascii="Times New Roman" w:hAnsi="Times New Roman"/>
                <w:color w:val="auto"/>
                <w:spacing w:val="3"/>
                <w:lang w:eastAsia="zh-CN"/>
              </w:rPr>
              <w:t>/h，</w:t>
            </w:r>
            <w:r>
              <w:rPr>
                <w:rFonts w:hint="eastAsia" w:ascii="Times New Roman" w:hAnsi="Times New Roman" w:cs="Times New Roman"/>
                <w:color w:val="auto"/>
                <w:spacing w:val="-1"/>
                <w:lang w:val="en-US" w:eastAsia="zh-CN"/>
              </w:rPr>
              <w:t>本项目拉挤机设计的集气罩风量为5500</w:t>
            </w:r>
            <w:r>
              <w:rPr>
                <w:rFonts w:hint="eastAsia" w:ascii="Times New Roman" w:hAnsi="Times New Roman"/>
                <w:color w:val="auto"/>
                <w:spacing w:val="3"/>
                <w:lang w:eastAsia="zh-CN"/>
              </w:rPr>
              <w:t>m</w:t>
            </w:r>
            <w:r>
              <w:rPr>
                <w:rFonts w:hint="eastAsia" w:ascii="Times New Roman" w:hAnsi="Times New Roman"/>
                <w:color w:val="auto"/>
                <w:spacing w:val="3"/>
                <w:vertAlign w:val="superscript"/>
                <w:lang w:eastAsia="zh-CN"/>
              </w:rPr>
              <w:t>3</w:t>
            </w:r>
            <w:r>
              <w:rPr>
                <w:rFonts w:hint="eastAsia" w:ascii="Times New Roman" w:hAnsi="Times New Roman"/>
                <w:color w:val="auto"/>
                <w:spacing w:val="3"/>
                <w:lang w:eastAsia="zh-CN"/>
              </w:rPr>
              <w:t>/h</w:t>
            </w:r>
            <w:r>
              <w:rPr>
                <w:rFonts w:hint="eastAsia" w:ascii="Times New Roman" w:hAnsi="Times New Roman" w:cs="Times New Roman"/>
                <w:color w:val="auto"/>
                <w:spacing w:val="-1"/>
                <w:lang w:val="en-US" w:eastAsia="zh-CN"/>
              </w:rPr>
              <w:t>，满足设计风量需求。</w:t>
            </w:r>
          </w:p>
          <w:p w14:paraId="12D8B64F">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②注塑废气</w:t>
            </w:r>
          </w:p>
          <w:p w14:paraId="29CCF74A">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ascii="Times New Roman" w:hAnsi="Times New Roman" w:eastAsia="宋体"/>
                <w:color w:val="auto"/>
                <w:sz w:val="24"/>
                <w:lang w:val="en-US" w:eastAsia="zh-CN"/>
              </w:rPr>
            </w:pPr>
            <w:r>
              <w:rPr>
                <w:rFonts w:hint="eastAsia"/>
                <w:bCs/>
                <w:color w:val="auto"/>
                <w:sz w:val="24"/>
                <w:szCs w:val="24"/>
                <w:lang w:val="en-US" w:eastAsia="zh-CN"/>
              </w:rPr>
              <w:t>本项目注塑</w:t>
            </w:r>
            <w:r>
              <w:rPr>
                <w:rFonts w:ascii="Times New Roman" w:hAnsi="Times New Roman" w:eastAsia="宋体"/>
                <w:bCs/>
                <w:color w:val="auto"/>
                <w:sz w:val="24"/>
                <w:szCs w:val="24"/>
              </w:rPr>
              <w:t>过程中会产生</w:t>
            </w:r>
            <w:r>
              <w:rPr>
                <w:rFonts w:hint="eastAsia" w:ascii="Times New Roman" w:hAnsi="Times New Roman" w:eastAsia="宋体"/>
                <w:bCs/>
                <w:color w:val="auto"/>
                <w:sz w:val="24"/>
                <w:szCs w:val="24"/>
                <w:lang w:val="en-US" w:eastAsia="zh-CN"/>
              </w:rPr>
              <w:t>有机废气（</w:t>
            </w:r>
            <w:r>
              <w:rPr>
                <w:rFonts w:ascii="Times New Roman" w:hAnsi="Times New Roman" w:eastAsia="宋体"/>
                <w:bCs/>
                <w:color w:val="auto"/>
                <w:sz w:val="24"/>
                <w:szCs w:val="24"/>
              </w:rPr>
              <w:t>以</w:t>
            </w:r>
            <w:r>
              <w:rPr>
                <w:rFonts w:hint="eastAsia" w:ascii="Times New Roman" w:hAnsi="Times New Roman" w:eastAsia="宋体"/>
                <w:bCs/>
                <w:color w:val="auto"/>
                <w:sz w:val="24"/>
                <w:szCs w:val="24"/>
                <w:lang w:val="en-US" w:eastAsia="zh-CN"/>
              </w:rPr>
              <w:t>非甲烷总烃</w:t>
            </w:r>
            <w:r>
              <w:rPr>
                <w:rFonts w:ascii="Times New Roman" w:hAnsi="Times New Roman" w:eastAsia="宋体"/>
                <w:bCs/>
                <w:color w:val="auto"/>
                <w:sz w:val="24"/>
                <w:szCs w:val="24"/>
              </w:rPr>
              <w:t>计</w:t>
            </w:r>
            <w:r>
              <w:rPr>
                <w:rFonts w:hint="eastAsia" w:ascii="Times New Roman" w:hAnsi="Times New Roman" w:eastAsia="宋体"/>
                <w:bCs/>
                <w:color w:val="auto"/>
                <w:sz w:val="24"/>
                <w:szCs w:val="24"/>
                <w:lang w:val="en-US" w:eastAsia="zh-CN"/>
              </w:rPr>
              <w:t>）</w:t>
            </w:r>
            <w:r>
              <w:rPr>
                <w:rFonts w:ascii="Times New Roman" w:hAnsi="Times New Roman" w:eastAsia="宋体"/>
                <w:bCs/>
                <w:color w:val="auto"/>
                <w:sz w:val="24"/>
                <w:szCs w:val="24"/>
              </w:rPr>
              <w:t>。</w:t>
            </w:r>
            <w:r>
              <w:rPr>
                <w:rFonts w:hint="eastAsia" w:ascii="Times New Roman" w:hAnsi="Times New Roman" w:eastAsia="宋体"/>
                <w:bCs/>
                <w:color w:val="auto"/>
                <w:sz w:val="24"/>
                <w:szCs w:val="24"/>
              </w:rPr>
              <w:t>本项目非甲烷总烃产污系数参考《排放源统计调查产排污核算方法和系数手册》</w:t>
            </w:r>
            <w:r>
              <w:rPr>
                <w:rFonts w:hint="eastAsia" w:ascii="Times New Roman" w:hAnsi="Times New Roman" w:eastAsia="宋体"/>
                <w:bCs/>
                <w:color w:val="auto"/>
                <w:sz w:val="24"/>
                <w:szCs w:val="24"/>
                <w:lang w:val="en-US" w:eastAsia="zh-CN"/>
              </w:rPr>
              <w:t>中</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292塑料制品业系数手册</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2929塑料零件及其他塑料制品制造行业系数表，塑料零件</w:t>
            </w:r>
            <w:r>
              <w:rPr>
                <w:rFonts w:hint="eastAsia" w:ascii="Times New Roman" w:hAnsi="Times New Roman"/>
                <w:bCs/>
                <w:color w:val="auto"/>
                <w:sz w:val="24"/>
                <w:szCs w:val="24"/>
                <w:lang w:val="en-US" w:eastAsia="zh-CN"/>
              </w:rPr>
              <w:t>注塑</w:t>
            </w:r>
            <w:r>
              <w:rPr>
                <w:rFonts w:hint="eastAsia" w:ascii="Times New Roman" w:hAnsi="Times New Roman" w:eastAsia="宋体"/>
                <w:bCs/>
                <w:color w:val="auto"/>
                <w:sz w:val="24"/>
                <w:szCs w:val="24"/>
                <w:lang w:val="en-US" w:eastAsia="zh-CN"/>
              </w:rPr>
              <w:t>有机废气的产污系数为2.7千克/吨-产品</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本项目</w:t>
            </w:r>
            <w:r>
              <w:rPr>
                <w:rFonts w:hint="eastAsia"/>
                <w:bCs/>
                <w:color w:val="auto"/>
                <w:sz w:val="24"/>
                <w:szCs w:val="24"/>
                <w:lang w:val="en-US" w:eastAsia="zh-CN"/>
              </w:rPr>
              <w:t>注塑工序手柄外壳的产量约为182t/a，经计算，</w:t>
            </w:r>
            <w:r>
              <w:rPr>
                <w:rFonts w:hint="eastAsia" w:ascii="Times New Roman" w:hAnsi="Times New Roman" w:eastAsia="宋体"/>
                <w:bCs/>
                <w:color w:val="auto"/>
                <w:sz w:val="24"/>
                <w:szCs w:val="24"/>
                <w:lang w:val="en-US" w:eastAsia="zh-CN"/>
              </w:rPr>
              <w:t>本</w:t>
            </w:r>
            <w:r>
              <w:rPr>
                <w:rFonts w:hint="eastAsia"/>
                <w:bCs/>
                <w:color w:val="auto"/>
                <w:sz w:val="24"/>
                <w:szCs w:val="24"/>
                <w:lang w:val="en-US" w:eastAsia="zh-CN"/>
              </w:rPr>
              <w:t>项目营运期间注塑工序非甲烷总烃产生量为0.491t/a</w:t>
            </w:r>
            <w:r>
              <w:rPr>
                <w:rFonts w:ascii="Times New Roman" w:hAnsi="Times New Roman" w:eastAsia="宋体"/>
                <w:bCs/>
                <w:color w:val="auto"/>
                <w:sz w:val="24"/>
                <w:szCs w:val="24"/>
              </w:rPr>
              <w:t>。</w:t>
            </w:r>
            <w:r>
              <w:rPr>
                <w:rFonts w:hint="eastAsia"/>
                <w:bCs/>
                <w:color w:val="auto"/>
                <w:sz w:val="24"/>
                <w:szCs w:val="24"/>
                <w:lang w:val="en-US" w:eastAsia="zh-CN"/>
              </w:rPr>
              <w:t xml:space="preserve">  </w:t>
            </w:r>
          </w:p>
          <w:p w14:paraId="77009772">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项目采用</w:t>
            </w:r>
            <w:r>
              <w:rPr>
                <w:rFonts w:hint="eastAsia" w:cs="Times New Roman"/>
                <w:color w:val="auto"/>
                <w:sz w:val="24"/>
                <w:lang w:val="en-US" w:eastAsia="zh-CN"/>
              </w:rPr>
              <w:t>集气罩</w:t>
            </w:r>
            <w:r>
              <w:rPr>
                <w:rFonts w:hint="eastAsia" w:ascii="Times New Roman" w:hAnsi="Times New Roman" w:eastAsia="宋体" w:cs="Times New Roman"/>
                <w:color w:val="auto"/>
                <w:sz w:val="24"/>
                <w:lang w:val="en-US" w:eastAsia="zh-CN"/>
              </w:rPr>
              <w:t>吸收废气，</w:t>
            </w:r>
            <w:r>
              <w:rPr>
                <w:rFonts w:hint="eastAsia" w:cs="Times New Roman"/>
                <w:color w:val="auto"/>
                <w:sz w:val="24"/>
                <w:lang w:val="en-US" w:eastAsia="zh-CN"/>
              </w:rPr>
              <w:t>收集效率可达到90%</w:t>
            </w:r>
            <w:r>
              <w:rPr>
                <w:rFonts w:hint="eastAsia" w:ascii="Times New Roman" w:hAnsi="Times New Roman" w:eastAsia="宋体" w:cs="Times New Roman"/>
                <w:color w:val="auto"/>
                <w:sz w:val="24"/>
                <w:lang w:val="en-US" w:eastAsia="zh-CN"/>
              </w:rPr>
              <w:t>。有机废气经集气罩收集</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二级活性炭吸附装置处理</w:t>
            </w:r>
            <w:r>
              <w:rPr>
                <w:rFonts w:hint="eastAsia" w:cs="Times New Roman"/>
                <w:color w:val="auto"/>
                <w:sz w:val="24"/>
                <w:lang w:val="en-US" w:eastAsia="zh-CN"/>
              </w:rPr>
              <w:t>，处理后废气</w:t>
            </w:r>
            <w:r>
              <w:rPr>
                <w:rFonts w:hint="eastAsia" w:ascii="Times New Roman" w:hAnsi="Times New Roman" w:eastAsia="宋体" w:cs="Times New Roman"/>
                <w:color w:val="auto"/>
                <w:sz w:val="24"/>
                <w:lang w:val="en-US" w:eastAsia="zh-CN"/>
              </w:rPr>
              <w:t>经15米高排气筒</w:t>
            </w:r>
            <w:r>
              <w:rPr>
                <w:rFonts w:hint="eastAsia" w:cs="Times New Roman"/>
                <w:color w:val="auto"/>
                <w:sz w:val="24"/>
                <w:lang w:val="en-US" w:eastAsia="zh-CN"/>
              </w:rPr>
              <w:t>DA001</w:t>
            </w:r>
            <w:r>
              <w:rPr>
                <w:rFonts w:hint="eastAsia" w:ascii="Times New Roman" w:hAnsi="Times New Roman" w:eastAsia="宋体" w:cs="Times New Roman"/>
                <w:color w:val="auto"/>
                <w:sz w:val="24"/>
                <w:lang w:val="en-US" w:eastAsia="zh-CN"/>
              </w:rPr>
              <w:t>排放。每年运行时间约</w:t>
            </w:r>
            <w:r>
              <w:rPr>
                <w:rFonts w:hint="eastAsia" w:cs="Times New Roman"/>
                <w:color w:val="auto"/>
                <w:sz w:val="24"/>
                <w:lang w:val="en-US" w:eastAsia="zh-CN"/>
              </w:rPr>
              <w:t>2400</w:t>
            </w:r>
            <w:r>
              <w:rPr>
                <w:rFonts w:hint="eastAsia" w:ascii="Times New Roman" w:hAnsi="Times New Roman" w:eastAsia="宋体" w:cs="Times New Roman"/>
                <w:color w:val="auto"/>
                <w:sz w:val="24"/>
                <w:lang w:val="en-US" w:eastAsia="zh-CN"/>
              </w:rPr>
              <w:t>h，二级活性炭吸附装置处理效率90%</w:t>
            </w:r>
            <w:r>
              <w:rPr>
                <w:rFonts w:hint="eastAsia" w:cs="Times New Roman"/>
                <w:color w:val="auto"/>
                <w:sz w:val="24"/>
                <w:lang w:val="en-US" w:eastAsia="zh-CN"/>
              </w:rPr>
              <w:t>。</w:t>
            </w:r>
          </w:p>
          <w:p w14:paraId="146321D8">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11台注塑机</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侧吸罩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0BF3C321">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（10X</w:t>
            </w:r>
            <w:r>
              <w:rPr>
                <w:rFonts w:hint="eastAsia" w:cs="Times New Roman"/>
                <w:color w:val="auto"/>
                <w:sz w:val="24"/>
                <w:vertAlign w:val="superscript"/>
                <w:lang w:val="en-US" w:eastAsia="zh-CN"/>
              </w:rPr>
              <w:t>2</w:t>
            </w:r>
            <w:r>
              <w:rPr>
                <w:rFonts w:hint="eastAsia" w:cs="Times New Roman"/>
                <w:color w:val="auto"/>
                <w:sz w:val="24"/>
                <w:lang w:val="en-US" w:eastAsia="zh-CN"/>
              </w:rPr>
              <w:t>+F）Vx</w:t>
            </w:r>
          </w:p>
          <w:p w14:paraId="67386B8F">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17D64D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auto"/>
                <w:sz w:val="24"/>
                <w:lang w:val="en-US" w:eastAsia="zh-CN"/>
              </w:rPr>
            </w:pPr>
            <w:r>
              <w:rPr>
                <w:rFonts w:hint="eastAsia" w:cs="Times New Roman"/>
                <w:color w:val="auto"/>
                <w:kern w:val="2"/>
                <w:sz w:val="24"/>
                <w:szCs w:val="24"/>
                <w:lang w:val="en-US" w:eastAsia="zh-CN" w:bidi="ar-SA"/>
              </w:rPr>
              <w:t>F</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rPr>
              <w:t>罩口</w:t>
            </w:r>
            <w:r>
              <w:rPr>
                <w:rFonts w:hint="eastAsia" w:cs="Times New Roman"/>
                <w:color w:val="auto"/>
                <w:sz w:val="24"/>
                <w:lang w:val="en-US" w:eastAsia="zh-CN"/>
              </w:rPr>
              <w:t>面积</w:t>
            </w:r>
            <w:r>
              <w:rPr>
                <w:rFonts w:hint="default" w:ascii="Times New Roman" w:hAnsi="Times New Roman" w:cs="Times New Roman"/>
                <w:color w:val="auto"/>
                <w:sz w:val="24"/>
              </w:rPr>
              <w:t>，m；</w:t>
            </w:r>
          </w:p>
          <w:p w14:paraId="742E16DF">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eastAsia" w:cs="Times New Roman"/>
                <w:color w:val="auto"/>
                <w:sz w:val="24"/>
                <w:lang w:val="en-US" w:eastAsia="zh-CN"/>
              </w:rPr>
              <w:t>X</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530262F1">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3BD17A7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eastAsia"/>
                <w:color w:val="auto"/>
                <w:lang w:val="en-US" w:eastAsia="zh-CN"/>
              </w:rPr>
            </w:pPr>
            <w:r>
              <w:rPr>
                <w:rFonts w:hint="eastAsia" w:ascii="Times New Roman" w:hAnsi="Times New Roman" w:cs="Times New Roman"/>
                <w:color w:val="auto"/>
                <w:spacing w:val="-1"/>
                <w:sz w:val="24"/>
                <w:lang w:val="en-US" w:eastAsia="zh-CN"/>
              </w:rPr>
              <w:t>本项目集气罩</w:t>
            </w:r>
            <w:r>
              <w:rPr>
                <w:rFonts w:hint="eastAsia" w:cs="Times New Roman"/>
                <w:color w:val="auto"/>
                <w:spacing w:val="-1"/>
                <w:sz w:val="24"/>
                <w:lang w:val="en-US" w:eastAsia="zh-CN"/>
              </w:rPr>
              <w:t>口罩</w:t>
            </w:r>
            <w:r>
              <w:rPr>
                <w:rFonts w:hint="eastAsia" w:ascii="Times New Roman" w:hAnsi="Times New Roman" w:cs="Times New Roman"/>
                <w:color w:val="auto"/>
                <w:spacing w:val="-1"/>
                <w:sz w:val="24"/>
                <w:lang w:val="en-US" w:eastAsia="zh-CN"/>
              </w:rPr>
              <w:t>规格为</w:t>
            </w:r>
            <w:r>
              <w:rPr>
                <w:rFonts w:hint="eastAsia" w:ascii="Times New Roman" w:hAnsi="Times New Roman" w:cs="Times New Roman"/>
                <w:color w:val="auto"/>
                <w:spacing w:val="-1"/>
                <w:sz w:val="24"/>
                <w:szCs w:val="24"/>
                <w:lang w:val="en-US" w:eastAsia="zh-CN"/>
              </w:rPr>
              <w:t>（</w:t>
            </w:r>
            <w:r>
              <w:rPr>
                <w:rFonts w:hint="eastAsia" w:cs="Times New Roman"/>
                <w:b w:val="0"/>
                <w:color w:val="auto"/>
                <w:sz w:val="24"/>
                <w:szCs w:val="24"/>
                <w:lang w:val="en-US" w:eastAsia="zh-CN"/>
              </w:rPr>
              <w:t>0.5</w:t>
            </w:r>
            <w:r>
              <w:rPr>
                <w:rFonts w:hint="eastAsia" w:ascii="Times New Roman" w:hAnsi="Times New Roman" w:cs="Times New Roman"/>
                <w:b w:val="0"/>
                <w:color w:val="auto"/>
                <w:sz w:val="24"/>
                <w:szCs w:val="24"/>
                <w:lang w:val="en-US" w:eastAsia="zh-CN"/>
              </w:rPr>
              <w:t>m</w:t>
            </w:r>
            <w:r>
              <w:rPr>
                <w:rFonts w:hint="default" w:ascii="Times New Roman" w:hAnsi="Times New Roman" w:cs="Times New Roman"/>
                <w:b w:val="0"/>
                <w:color w:val="auto"/>
                <w:sz w:val="24"/>
                <w:szCs w:val="24"/>
              </w:rPr>
              <w:t>*</w:t>
            </w:r>
            <w:r>
              <w:rPr>
                <w:rFonts w:hint="eastAsia" w:ascii="Times New Roman" w:hAnsi="Times New Roman" w:cs="Times New Roman"/>
                <w:b w:val="0"/>
                <w:color w:val="auto"/>
                <w:sz w:val="24"/>
                <w:szCs w:val="24"/>
                <w:lang w:val="en-US" w:eastAsia="zh-CN"/>
              </w:rPr>
              <w:t>0.</w:t>
            </w:r>
            <w:r>
              <w:rPr>
                <w:rFonts w:hint="eastAsia" w:cs="Times New Roman"/>
                <w:b w:val="0"/>
                <w:color w:val="auto"/>
                <w:sz w:val="24"/>
                <w:szCs w:val="24"/>
                <w:lang w:val="en-US" w:eastAsia="zh-CN"/>
              </w:rPr>
              <w:t>2</w:t>
            </w:r>
            <w:r>
              <w:rPr>
                <w:rFonts w:hint="eastAsia" w:ascii="Times New Roman" w:hAnsi="Times New Roman" w:cs="Times New Roman"/>
                <w:b w:val="0"/>
                <w:color w:val="auto"/>
                <w:sz w:val="24"/>
                <w:szCs w:val="24"/>
                <w:lang w:val="en-US" w:eastAsia="zh-CN"/>
              </w:rPr>
              <w:t>m</w:t>
            </w:r>
            <w:r>
              <w:rPr>
                <w:rFonts w:hint="eastAsia" w:ascii="Times New Roman" w:hAnsi="Times New Roman" w:cs="Times New Roman"/>
                <w:color w:val="auto"/>
                <w:spacing w:val="-1"/>
                <w:sz w:val="24"/>
                <w:szCs w:val="24"/>
                <w:lang w:val="en-US" w:eastAsia="zh-CN"/>
              </w:rPr>
              <w:t>），与污染源距离为0.</w:t>
            </w:r>
            <w:r>
              <w:rPr>
                <w:rFonts w:hint="eastAsia" w:cs="Times New Roman"/>
                <w:color w:val="auto"/>
                <w:spacing w:val="-1"/>
                <w:sz w:val="24"/>
                <w:szCs w:val="24"/>
                <w:lang w:val="en-US" w:eastAsia="zh-CN"/>
              </w:rPr>
              <w:t>2</w:t>
            </w:r>
            <w:r>
              <w:rPr>
                <w:rFonts w:hint="eastAsia" w:ascii="Times New Roman" w:hAnsi="Times New Roman" w:cs="Times New Roman"/>
                <w:color w:val="auto"/>
                <w:spacing w:val="-1"/>
                <w:sz w:val="24"/>
                <w:szCs w:val="24"/>
                <w:lang w:val="en-US" w:eastAsia="zh-CN"/>
              </w:rPr>
              <w:t>m，</w:t>
            </w:r>
            <w:r>
              <w:rPr>
                <w:rFonts w:hint="eastAsia" w:ascii="Times New Roman" w:hAnsi="Times New Roman" w:cs="Times New Roman"/>
                <w:color w:val="auto"/>
                <w:spacing w:val="-1"/>
                <w:sz w:val="24"/>
                <w:lang w:val="en-US" w:eastAsia="zh-CN"/>
              </w:rPr>
              <w:t>计算得集气罩风量为</w:t>
            </w:r>
            <w:r>
              <w:rPr>
                <w:rFonts w:hint="eastAsia" w:cs="Times New Roman"/>
                <w:color w:val="auto"/>
                <w:spacing w:val="-1"/>
                <w:sz w:val="24"/>
                <w:lang w:val="en-US" w:eastAsia="zh-CN"/>
              </w:rPr>
              <w:t>5940</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本项目</w:t>
            </w:r>
            <w:r>
              <w:rPr>
                <w:rFonts w:hint="eastAsia" w:cs="Times New Roman"/>
                <w:color w:val="auto"/>
                <w:spacing w:val="-1"/>
                <w:sz w:val="24"/>
                <w:lang w:val="en-US" w:eastAsia="zh-CN"/>
              </w:rPr>
              <w:t>注塑机</w:t>
            </w:r>
            <w:r>
              <w:rPr>
                <w:rFonts w:hint="eastAsia" w:ascii="Times New Roman" w:hAnsi="Times New Roman" w:cs="Times New Roman"/>
                <w:color w:val="auto"/>
                <w:spacing w:val="-1"/>
                <w:sz w:val="24"/>
                <w:lang w:val="en-US" w:eastAsia="zh-CN"/>
              </w:rPr>
              <w:t>配置的</w:t>
            </w:r>
            <w:r>
              <w:rPr>
                <w:rFonts w:hint="eastAsia" w:cs="Times New Roman"/>
                <w:color w:val="auto"/>
                <w:spacing w:val="-1"/>
                <w:sz w:val="24"/>
                <w:lang w:val="en-US" w:eastAsia="zh-CN"/>
              </w:rPr>
              <w:t>风机</w:t>
            </w:r>
            <w:r>
              <w:rPr>
                <w:rFonts w:hint="eastAsia" w:ascii="Times New Roman" w:hAnsi="Times New Roman" w:cs="Times New Roman"/>
                <w:color w:val="auto"/>
                <w:spacing w:val="-1"/>
                <w:sz w:val="24"/>
                <w:lang w:val="en-US" w:eastAsia="zh-CN"/>
              </w:rPr>
              <w:t>风量为</w:t>
            </w:r>
            <w:r>
              <w:rPr>
                <w:rFonts w:hint="eastAsia" w:cs="Times New Roman"/>
                <w:color w:val="auto"/>
                <w:spacing w:val="-1"/>
                <w:sz w:val="24"/>
                <w:lang w:val="en-US" w:eastAsia="zh-CN"/>
              </w:rPr>
              <w:t>65</w:t>
            </w:r>
            <w:r>
              <w:rPr>
                <w:rFonts w:hint="eastAsia" w:ascii="Times New Roman" w:hAnsi="Times New Roman" w:cs="Times New Roman"/>
                <w:color w:val="auto"/>
                <w:spacing w:val="-1"/>
                <w:sz w:val="24"/>
                <w:lang w:val="en-US" w:eastAsia="zh-CN"/>
              </w:rPr>
              <w:t>00</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，满足设计风量需求。</w:t>
            </w:r>
          </w:p>
          <w:p w14:paraId="35613DC8">
            <w:pPr>
              <w:pStyle w:val="19"/>
              <w:keepNext w:val="0"/>
              <w:keepLines w:val="0"/>
              <w:pageBreakBefore w:val="0"/>
              <w:widowControl w:val="0"/>
              <w:numPr>
                <w:ilvl w:val="0"/>
                <w:numId w:val="6"/>
              </w:numPr>
              <w:kinsoku/>
              <w:wordWrap/>
              <w:overflowPunct/>
              <w:topLinePunct w:val="0"/>
              <w:bidi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颗粒物</w:t>
            </w:r>
          </w:p>
          <w:p w14:paraId="000F27DA">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①切割粉尘</w:t>
            </w:r>
          </w:p>
          <w:p w14:paraId="6DB9E82C">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本项目切割工序会产生颗粒物，</w:t>
            </w:r>
            <w:r>
              <w:rPr>
                <w:rFonts w:hint="eastAsia" w:cs="Times New Roman"/>
                <w:b w:val="0"/>
                <w:bCs/>
                <w:color w:val="auto"/>
                <w:kern w:val="2"/>
                <w:sz w:val="24"/>
                <w:szCs w:val="24"/>
                <w:lang w:val="en-US" w:eastAsia="zh-CN" w:bidi="ar-SA"/>
              </w:rPr>
              <w:t>颗粒物产生系数参考</w:t>
            </w:r>
            <w:r>
              <w:rPr>
                <w:rFonts w:hint="eastAsia" w:ascii="Times New Roman" w:hAnsi="Times New Roman" w:cs="Times New Roman"/>
                <w:b w:val="0"/>
                <w:bCs/>
                <w:color w:val="auto"/>
                <w:kern w:val="2"/>
                <w:sz w:val="24"/>
                <w:szCs w:val="24"/>
                <w:lang w:val="en-US" w:eastAsia="zh-CN" w:bidi="ar-SA"/>
              </w:rPr>
              <w:t>《</w:t>
            </w:r>
            <w:r>
              <w:rPr>
                <w:rFonts w:hint="eastAsia" w:cs="Times New Roman"/>
                <w:b w:val="0"/>
                <w:bCs/>
                <w:color w:val="auto"/>
                <w:kern w:val="2"/>
                <w:sz w:val="24"/>
                <w:szCs w:val="24"/>
                <w:lang w:val="en-US" w:eastAsia="zh-CN" w:bidi="ar-SA"/>
              </w:rPr>
              <w:t>涟水县明飞塑料制品厂五金工具手柄制造项目</w:t>
            </w:r>
            <w:r>
              <w:rPr>
                <w:rFonts w:hint="eastAsia" w:ascii="Times New Roman" w:hAnsi="Times New Roman" w:cs="Times New Roman"/>
                <w:b w:val="0"/>
                <w:bCs/>
                <w:color w:val="auto"/>
                <w:kern w:val="2"/>
                <w:sz w:val="24"/>
                <w:szCs w:val="24"/>
                <w:lang w:val="en-US" w:eastAsia="zh-CN" w:bidi="ar-SA"/>
              </w:rPr>
              <w:t>竣工环境保护验收监测报告表》（20</w:t>
            </w:r>
            <w:r>
              <w:rPr>
                <w:rFonts w:hint="eastAsia" w:cs="Times New Roman"/>
                <w:b w:val="0"/>
                <w:bCs/>
                <w:color w:val="auto"/>
                <w:kern w:val="2"/>
                <w:sz w:val="24"/>
                <w:szCs w:val="24"/>
                <w:lang w:val="en-US" w:eastAsia="zh-CN" w:bidi="ar-SA"/>
              </w:rPr>
              <w:t>19</w:t>
            </w:r>
            <w:r>
              <w:rPr>
                <w:rFonts w:hint="eastAsia" w:ascii="Times New Roman" w:hAnsi="Times New Roman" w:cs="Times New Roman"/>
                <w:b w:val="0"/>
                <w:bCs/>
                <w:color w:val="auto"/>
                <w:kern w:val="2"/>
                <w:sz w:val="24"/>
                <w:szCs w:val="24"/>
                <w:lang w:val="en-US" w:eastAsia="zh-CN" w:bidi="ar-SA"/>
              </w:rPr>
              <w:t>年</w:t>
            </w:r>
            <w:r>
              <w:rPr>
                <w:rFonts w:hint="eastAsia" w:cs="Times New Roman"/>
                <w:b w:val="0"/>
                <w:bCs/>
                <w:color w:val="auto"/>
                <w:kern w:val="2"/>
                <w:sz w:val="24"/>
                <w:szCs w:val="24"/>
                <w:lang w:val="en-US" w:eastAsia="zh-CN" w:bidi="ar-SA"/>
              </w:rPr>
              <w:t>12</w:t>
            </w:r>
            <w:r>
              <w:rPr>
                <w:rFonts w:hint="eastAsia" w:ascii="Times New Roman" w:hAnsi="Times New Roman" w:cs="Times New Roman"/>
                <w:b w:val="0"/>
                <w:bCs/>
                <w:color w:val="auto"/>
                <w:kern w:val="2"/>
                <w:sz w:val="24"/>
                <w:szCs w:val="24"/>
                <w:lang w:val="en-US" w:eastAsia="zh-CN" w:bidi="ar-SA"/>
              </w:rPr>
              <w:t>月）</w:t>
            </w:r>
            <w:r>
              <w:rPr>
                <w:rFonts w:hint="eastAsia" w:cs="Times New Roman"/>
                <w:b w:val="0"/>
                <w:bCs/>
                <w:color w:val="auto"/>
                <w:kern w:val="2"/>
                <w:sz w:val="24"/>
                <w:szCs w:val="24"/>
                <w:lang w:val="en-US" w:eastAsia="zh-CN" w:bidi="ar-SA"/>
              </w:rPr>
              <w:t>，切割工序产污系数为原料用量的2%，本项目不饱和聚酯树脂用量为20t/a、玻璃纤维用量为40t/a，则切割工序颗粒物产生量为1.2t/a。</w:t>
            </w:r>
          </w:p>
          <w:p w14:paraId="00DE94CF">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项目采用</w:t>
            </w:r>
            <w:r>
              <w:rPr>
                <w:rFonts w:hint="eastAsia" w:cs="Times New Roman"/>
                <w:color w:val="auto"/>
                <w:sz w:val="24"/>
                <w:lang w:val="en-US" w:eastAsia="zh-CN"/>
              </w:rPr>
              <w:t>集气罩</w:t>
            </w:r>
            <w:r>
              <w:rPr>
                <w:rFonts w:hint="eastAsia" w:ascii="Times New Roman" w:hAnsi="Times New Roman" w:eastAsia="宋体" w:cs="Times New Roman"/>
                <w:color w:val="auto"/>
                <w:sz w:val="24"/>
                <w:lang w:val="en-US" w:eastAsia="zh-CN"/>
              </w:rPr>
              <w:t>吸收废气，</w:t>
            </w:r>
            <w:r>
              <w:rPr>
                <w:rFonts w:hint="eastAsia" w:cs="Times New Roman"/>
                <w:color w:val="auto"/>
                <w:sz w:val="24"/>
                <w:lang w:val="en-US" w:eastAsia="zh-CN"/>
              </w:rPr>
              <w:t>收集效率可达到90%</w:t>
            </w:r>
            <w:r>
              <w:rPr>
                <w:rFonts w:hint="eastAsia" w:ascii="Times New Roman" w:hAnsi="Times New Roman" w:eastAsia="宋体" w:cs="Times New Roman"/>
                <w:color w:val="auto"/>
                <w:sz w:val="24"/>
                <w:lang w:val="en-US" w:eastAsia="zh-CN"/>
              </w:rPr>
              <w:t>。颗粒物经集气罩收集</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布袋除尘器处理</w:t>
            </w:r>
            <w:r>
              <w:rPr>
                <w:rFonts w:hint="eastAsia" w:cs="Times New Roman"/>
                <w:color w:val="auto"/>
                <w:sz w:val="24"/>
                <w:lang w:val="en-US" w:eastAsia="zh-CN"/>
              </w:rPr>
              <w:t>，处理后废气</w:t>
            </w:r>
            <w:r>
              <w:rPr>
                <w:rFonts w:hint="eastAsia" w:ascii="Times New Roman" w:hAnsi="Times New Roman" w:eastAsia="宋体" w:cs="Times New Roman"/>
                <w:color w:val="auto"/>
                <w:sz w:val="24"/>
                <w:lang w:val="en-US" w:eastAsia="zh-CN"/>
              </w:rPr>
              <w:t>经15米高排气筒</w:t>
            </w:r>
            <w:r>
              <w:rPr>
                <w:rFonts w:hint="eastAsia" w:cs="Times New Roman"/>
                <w:color w:val="auto"/>
                <w:sz w:val="24"/>
                <w:lang w:val="en-US" w:eastAsia="zh-CN"/>
              </w:rPr>
              <w:t>DA002</w:t>
            </w:r>
            <w:r>
              <w:rPr>
                <w:rFonts w:hint="eastAsia" w:ascii="Times New Roman" w:hAnsi="Times New Roman" w:eastAsia="宋体" w:cs="Times New Roman"/>
                <w:color w:val="auto"/>
                <w:sz w:val="24"/>
                <w:lang w:val="en-US" w:eastAsia="zh-CN"/>
              </w:rPr>
              <w:t>排放。每年运行时间约</w:t>
            </w:r>
            <w:r>
              <w:rPr>
                <w:rFonts w:hint="eastAsia" w:cs="Times New Roman"/>
                <w:color w:val="auto"/>
                <w:sz w:val="24"/>
                <w:lang w:val="en-US" w:eastAsia="zh-CN"/>
              </w:rPr>
              <w:t>2400</w:t>
            </w:r>
            <w:r>
              <w:rPr>
                <w:rFonts w:hint="eastAsia" w:ascii="Times New Roman" w:hAnsi="Times New Roman" w:eastAsia="宋体" w:cs="Times New Roman"/>
                <w:color w:val="auto"/>
                <w:sz w:val="24"/>
                <w:lang w:val="en-US" w:eastAsia="zh-CN"/>
              </w:rPr>
              <w:t>h，布袋除尘器处理效率95%</w:t>
            </w:r>
            <w:r>
              <w:rPr>
                <w:rFonts w:hint="eastAsia" w:cs="Times New Roman"/>
                <w:color w:val="auto"/>
                <w:sz w:val="24"/>
                <w:lang w:val="en-US" w:eastAsia="zh-CN"/>
              </w:rPr>
              <w:t>。</w:t>
            </w:r>
          </w:p>
          <w:p w14:paraId="53341B3C">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2台自动切割机</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上部伞形罩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5A01E307">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1.4pHVx</w:t>
            </w:r>
          </w:p>
          <w:p w14:paraId="07E7C3D8">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02375D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auto"/>
                <w:sz w:val="24"/>
                <w:lang w:val="en-US" w:eastAsia="zh-CN"/>
              </w:rPr>
            </w:pPr>
            <w:r>
              <w:rPr>
                <w:rFonts w:hint="eastAsia" w:cs="Times New Roman"/>
                <w:color w:val="auto"/>
                <w:kern w:val="2"/>
                <w:sz w:val="24"/>
                <w:szCs w:val="24"/>
                <w:lang w:val="en-US" w:eastAsia="zh-CN" w:bidi="ar-SA"/>
              </w:rPr>
              <w:t>p</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rPr>
              <w:t>罩口</w:t>
            </w:r>
            <w:r>
              <w:rPr>
                <w:rFonts w:hint="eastAsia" w:cs="Times New Roman"/>
                <w:color w:val="auto"/>
                <w:sz w:val="24"/>
                <w:lang w:val="en-US" w:eastAsia="zh-CN"/>
              </w:rPr>
              <w:t>周长</w:t>
            </w:r>
            <w:r>
              <w:rPr>
                <w:rFonts w:hint="default" w:ascii="Times New Roman" w:hAnsi="Times New Roman" w:cs="Times New Roman"/>
                <w:color w:val="auto"/>
                <w:sz w:val="24"/>
              </w:rPr>
              <w:t>，m；</w:t>
            </w:r>
          </w:p>
          <w:p w14:paraId="0A7B3586">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06DA6D66">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05717BC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eastAsia"/>
                <w:color w:val="auto"/>
                <w:lang w:val="en-US" w:eastAsia="zh-CN"/>
              </w:rPr>
            </w:pPr>
            <w:r>
              <w:rPr>
                <w:rFonts w:hint="eastAsia" w:ascii="Times New Roman" w:hAnsi="Times New Roman" w:cs="Times New Roman"/>
                <w:color w:val="auto"/>
                <w:spacing w:val="-1"/>
                <w:sz w:val="24"/>
                <w:lang w:val="en-US" w:eastAsia="zh-CN"/>
              </w:rPr>
              <w:t>本项目集气罩罩口规格为</w:t>
            </w:r>
            <w:r>
              <w:rPr>
                <w:rFonts w:hint="eastAsia" w:ascii="Times New Roman" w:hAnsi="Times New Roman" w:cs="Times New Roman"/>
                <w:color w:val="auto"/>
                <w:spacing w:val="-1"/>
                <w:sz w:val="24"/>
                <w:szCs w:val="24"/>
                <w:lang w:val="en-US" w:eastAsia="zh-CN"/>
              </w:rPr>
              <w:t>（</w:t>
            </w:r>
            <w:r>
              <w:rPr>
                <w:rFonts w:hint="eastAsia" w:cs="Times New Roman"/>
                <w:b w:val="0"/>
                <w:color w:val="auto"/>
                <w:sz w:val="24"/>
                <w:szCs w:val="24"/>
                <w:lang w:val="en-US" w:eastAsia="zh-CN"/>
              </w:rPr>
              <w:t>0.8</w:t>
            </w:r>
            <w:r>
              <w:rPr>
                <w:rFonts w:hint="eastAsia" w:ascii="Times New Roman" w:hAnsi="Times New Roman" w:cs="Times New Roman"/>
                <w:b w:val="0"/>
                <w:color w:val="auto"/>
                <w:sz w:val="24"/>
                <w:szCs w:val="24"/>
                <w:lang w:val="en-US" w:eastAsia="zh-CN"/>
              </w:rPr>
              <w:t>m</w:t>
            </w:r>
            <w:r>
              <w:rPr>
                <w:rFonts w:hint="default" w:ascii="Times New Roman" w:hAnsi="Times New Roman" w:cs="Times New Roman"/>
                <w:b w:val="0"/>
                <w:color w:val="auto"/>
                <w:sz w:val="24"/>
                <w:szCs w:val="24"/>
              </w:rPr>
              <w:t>*</w:t>
            </w:r>
            <w:r>
              <w:rPr>
                <w:rFonts w:hint="eastAsia" w:ascii="Times New Roman" w:hAnsi="Times New Roman" w:cs="Times New Roman"/>
                <w:b w:val="0"/>
                <w:color w:val="auto"/>
                <w:sz w:val="24"/>
                <w:szCs w:val="24"/>
                <w:lang w:val="en-US" w:eastAsia="zh-CN"/>
              </w:rPr>
              <w:t>0.</w:t>
            </w:r>
            <w:r>
              <w:rPr>
                <w:rFonts w:hint="eastAsia" w:cs="Times New Roman"/>
                <w:b w:val="0"/>
                <w:color w:val="auto"/>
                <w:sz w:val="24"/>
                <w:szCs w:val="24"/>
                <w:lang w:val="en-US" w:eastAsia="zh-CN"/>
              </w:rPr>
              <w:t>6</w:t>
            </w:r>
            <w:r>
              <w:rPr>
                <w:rFonts w:hint="eastAsia" w:ascii="Times New Roman" w:hAnsi="Times New Roman" w:cs="Times New Roman"/>
                <w:b w:val="0"/>
                <w:color w:val="auto"/>
                <w:sz w:val="24"/>
                <w:szCs w:val="24"/>
                <w:lang w:val="en-US" w:eastAsia="zh-CN"/>
              </w:rPr>
              <w:t>m</w:t>
            </w:r>
            <w:r>
              <w:rPr>
                <w:rFonts w:hint="eastAsia" w:ascii="Times New Roman" w:hAnsi="Times New Roman" w:cs="Times New Roman"/>
                <w:color w:val="auto"/>
                <w:spacing w:val="-1"/>
                <w:sz w:val="24"/>
                <w:szCs w:val="24"/>
                <w:lang w:val="en-US" w:eastAsia="zh-CN"/>
              </w:rPr>
              <w:t>），与污染源距离为0.4m，</w:t>
            </w:r>
            <w:r>
              <w:rPr>
                <w:rFonts w:hint="eastAsia" w:ascii="Times New Roman" w:hAnsi="Times New Roman" w:cs="Times New Roman"/>
                <w:color w:val="auto"/>
                <w:spacing w:val="-1"/>
                <w:sz w:val="24"/>
                <w:lang w:val="en-US" w:eastAsia="zh-CN"/>
              </w:rPr>
              <w:t>计算得集气罩风量为</w:t>
            </w:r>
            <w:r>
              <w:rPr>
                <w:rFonts w:hint="eastAsia" w:cs="Times New Roman"/>
                <w:color w:val="auto"/>
                <w:spacing w:val="-1"/>
                <w:sz w:val="24"/>
                <w:lang w:val="en-US" w:eastAsia="zh-CN"/>
              </w:rPr>
              <w:t>3386.88</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本项目</w:t>
            </w:r>
            <w:r>
              <w:rPr>
                <w:rFonts w:hint="eastAsia" w:cs="Times New Roman"/>
                <w:color w:val="auto"/>
                <w:spacing w:val="-1"/>
                <w:sz w:val="24"/>
                <w:lang w:val="en-US" w:eastAsia="zh-CN"/>
              </w:rPr>
              <w:t>自动切割机</w:t>
            </w:r>
            <w:r>
              <w:rPr>
                <w:rFonts w:hint="eastAsia" w:ascii="Times New Roman" w:hAnsi="Times New Roman" w:cs="Times New Roman"/>
                <w:color w:val="auto"/>
                <w:spacing w:val="-1"/>
                <w:sz w:val="24"/>
                <w:lang w:val="en-US" w:eastAsia="zh-CN"/>
              </w:rPr>
              <w:t>配置的</w:t>
            </w:r>
            <w:r>
              <w:rPr>
                <w:rFonts w:hint="eastAsia" w:cs="Times New Roman"/>
                <w:color w:val="auto"/>
                <w:spacing w:val="-1"/>
                <w:sz w:val="24"/>
                <w:lang w:val="en-US" w:eastAsia="zh-CN"/>
              </w:rPr>
              <w:t>风机</w:t>
            </w:r>
            <w:r>
              <w:rPr>
                <w:rFonts w:hint="eastAsia" w:ascii="Times New Roman" w:hAnsi="Times New Roman" w:cs="Times New Roman"/>
                <w:color w:val="auto"/>
                <w:spacing w:val="-1"/>
                <w:sz w:val="24"/>
                <w:lang w:val="en-US" w:eastAsia="zh-CN"/>
              </w:rPr>
              <w:t>风量为</w:t>
            </w:r>
            <w:r>
              <w:rPr>
                <w:rFonts w:hint="eastAsia" w:cs="Times New Roman"/>
                <w:color w:val="auto"/>
                <w:spacing w:val="-1"/>
                <w:sz w:val="24"/>
                <w:lang w:val="en-US" w:eastAsia="zh-CN"/>
              </w:rPr>
              <w:t>4000</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，满足设计风量需求。</w:t>
            </w:r>
          </w:p>
          <w:p w14:paraId="4781FC0A">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②打磨粉尘</w:t>
            </w:r>
          </w:p>
          <w:p w14:paraId="40ABA108">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本项目</w:t>
            </w:r>
            <w:r>
              <w:rPr>
                <w:rFonts w:hint="eastAsia" w:cs="Times New Roman"/>
                <w:b w:val="0"/>
                <w:bCs/>
                <w:color w:val="auto"/>
                <w:kern w:val="2"/>
                <w:sz w:val="24"/>
                <w:szCs w:val="24"/>
                <w:lang w:val="en-US" w:eastAsia="zh-CN" w:bidi="ar-SA"/>
              </w:rPr>
              <w:t>打磨</w:t>
            </w:r>
            <w:r>
              <w:rPr>
                <w:rFonts w:hint="eastAsia" w:ascii="Times New Roman" w:hAnsi="Times New Roman" w:cs="Times New Roman"/>
                <w:b w:val="0"/>
                <w:bCs/>
                <w:color w:val="auto"/>
                <w:kern w:val="2"/>
                <w:sz w:val="24"/>
                <w:szCs w:val="24"/>
                <w:lang w:val="en-US" w:eastAsia="zh-CN" w:bidi="ar-SA"/>
              </w:rPr>
              <w:t>工序会产生颗粒物，</w:t>
            </w:r>
            <w:r>
              <w:rPr>
                <w:rFonts w:hint="eastAsia" w:cs="Times New Roman"/>
                <w:b w:val="0"/>
                <w:bCs/>
                <w:color w:val="auto"/>
                <w:kern w:val="2"/>
                <w:sz w:val="24"/>
                <w:szCs w:val="24"/>
                <w:lang w:val="en-US" w:eastAsia="zh-CN" w:bidi="ar-SA"/>
              </w:rPr>
              <w:t>颗粒物产生系数参考</w:t>
            </w:r>
            <w:r>
              <w:rPr>
                <w:rFonts w:hint="eastAsia" w:ascii="Times New Roman" w:hAnsi="Times New Roman" w:cs="Times New Roman"/>
                <w:b w:val="0"/>
                <w:bCs/>
                <w:color w:val="auto"/>
                <w:kern w:val="2"/>
                <w:sz w:val="24"/>
                <w:szCs w:val="24"/>
                <w:lang w:val="en-US" w:eastAsia="zh-CN" w:bidi="ar-SA"/>
              </w:rPr>
              <w:t>《</w:t>
            </w:r>
            <w:r>
              <w:rPr>
                <w:rFonts w:hint="eastAsia" w:cs="Times New Roman"/>
                <w:b w:val="0"/>
                <w:bCs/>
                <w:color w:val="auto"/>
                <w:kern w:val="2"/>
                <w:sz w:val="24"/>
                <w:szCs w:val="24"/>
                <w:lang w:val="en-US" w:eastAsia="zh-CN" w:bidi="ar-SA"/>
              </w:rPr>
              <w:t>山东越轮船舶科技有限公司年产10套玻璃钢配件项目</w:t>
            </w:r>
            <w:r>
              <w:rPr>
                <w:rFonts w:hint="eastAsia" w:ascii="Times New Roman" w:hAnsi="Times New Roman" w:cs="Times New Roman"/>
                <w:b w:val="0"/>
                <w:bCs/>
                <w:color w:val="auto"/>
                <w:kern w:val="2"/>
                <w:sz w:val="24"/>
                <w:szCs w:val="24"/>
                <w:lang w:val="en-US" w:eastAsia="zh-CN" w:bidi="ar-SA"/>
              </w:rPr>
              <w:t>竣工环境保护验收监测报告表》（20</w:t>
            </w:r>
            <w:r>
              <w:rPr>
                <w:rFonts w:hint="eastAsia" w:cs="Times New Roman"/>
                <w:b w:val="0"/>
                <w:bCs/>
                <w:color w:val="auto"/>
                <w:kern w:val="2"/>
                <w:sz w:val="24"/>
                <w:szCs w:val="24"/>
                <w:lang w:val="en-US" w:eastAsia="zh-CN" w:bidi="ar-SA"/>
              </w:rPr>
              <w:t>25</w:t>
            </w:r>
            <w:r>
              <w:rPr>
                <w:rFonts w:hint="eastAsia" w:ascii="Times New Roman" w:hAnsi="Times New Roman" w:cs="Times New Roman"/>
                <w:b w:val="0"/>
                <w:bCs/>
                <w:color w:val="auto"/>
                <w:kern w:val="2"/>
                <w:sz w:val="24"/>
                <w:szCs w:val="24"/>
                <w:lang w:val="en-US" w:eastAsia="zh-CN" w:bidi="ar-SA"/>
              </w:rPr>
              <w:t>年</w:t>
            </w:r>
            <w:r>
              <w:rPr>
                <w:rFonts w:hint="eastAsia" w:cs="Times New Roman"/>
                <w:b w:val="0"/>
                <w:bCs/>
                <w:color w:val="auto"/>
                <w:kern w:val="2"/>
                <w:sz w:val="24"/>
                <w:szCs w:val="24"/>
                <w:lang w:val="en-US" w:eastAsia="zh-CN" w:bidi="ar-SA"/>
              </w:rPr>
              <w:t>4</w:t>
            </w:r>
            <w:r>
              <w:rPr>
                <w:rFonts w:hint="eastAsia" w:ascii="Times New Roman" w:hAnsi="Times New Roman" w:cs="Times New Roman"/>
                <w:b w:val="0"/>
                <w:bCs/>
                <w:color w:val="auto"/>
                <w:kern w:val="2"/>
                <w:sz w:val="24"/>
                <w:szCs w:val="24"/>
                <w:lang w:val="en-US" w:eastAsia="zh-CN" w:bidi="ar-SA"/>
              </w:rPr>
              <w:t>月）</w:t>
            </w:r>
            <w:r>
              <w:rPr>
                <w:rFonts w:hint="eastAsia" w:cs="Times New Roman"/>
                <w:b w:val="0"/>
                <w:bCs/>
                <w:color w:val="auto"/>
                <w:kern w:val="2"/>
                <w:sz w:val="24"/>
                <w:szCs w:val="24"/>
                <w:lang w:val="en-US" w:eastAsia="zh-CN" w:bidi="ar-SA"/>
              </w:rPr>
              <w:t>，打磨工序产污系数为产品产量的1%，本项目产品产量约为原料使用量，不饱和聚酯树脂用量为20t/a、玻璃纤维用量为40t/a，则打磨工序颗粒物产生量为0.6t/a。</w:t>
            </w:r>
          </w:p>
          <w:p w14:paraId="0F6912B2">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1台自动打磨机和2台手工磨槽</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上部伞形罩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336BECA9">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1.4pHVx</w:t>
            </w:r>
          </w:p>
          <w:p w14:paraId="1C78563E">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050DC5C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auto"/>
                <w:sz w:val="24"/>
                <w:lang w:val="en-US" w:eastAsia="zh-CN"/>
              </w:rPr>
            </w:pPr>
            <w:r>
              <w:rPr>
                <w:rFonts w:hint="eastAsia" w:cs="Times New Roman"/>
                <w:color w:val="auto"/>
                <w:kern w:val="2"/>
                <w:sz w:val="24"/>
                <w:szCs w:val="24"/>
                <w:lang w:val="en-US" w:eastAsia="zh-CN" w:bidi="ar-SA"/>
              </w:rPr>
              <w:t>p</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rPr>
              <w:t>罩口</w:t>
            </w:r>
            <w:r>
              <w:rPr>
                <w:rFonts w:hint="eastAsia" w:cs="Times New Roman"/>
                <w:color w:val="auto"/>
                <w:sz w:val="24"/>
                <w:lang w:val="en-US" w:eastAsia="zh-CN"/>
              </w:rPr>
              <w:t>周长</w:t>
            </w:r>
            <w:r>
              <w:rPr>
                <w:rFonts w:hint="default" w:ascii="Times New Roman" w:hAnsi="Times New Roman" w:cs="Times New Roman"/>
                <w:color w:val="auto"/>
                <w:sz w:val="24"/>
              </w:rPr>
              <w:t>，m；</w:t>
            </w:r>
          </w:p>
          <w:p w14:paraId="67D20262">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05ECF257">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6FBDB30E">
            <w:pPr>
              <w:keepNext w:val="0"/>
              <w:keepLines w:val="0"/>
              <w:pageBreakBefore w:val="0"/>
              <w:widowControl w:val="0"/>
              <w:kinsoku/>
              <w:wordWrap/>
              <w:overflowPunct/>
              <w:topLinePunct w:val="0"/>
              <w:bidi w:val="0"/>
              <w:spacing w:line="360" w:lineRule="auto"/>
              <w:ind w:firstLine="476" w:firstLineChars="200"/>
              <w:jc w:val="both"/>
              <w:textAlignment w:val="auto"/>
              <w:rPr>
                <w:rFonts w:hint="eastAsia" w:ascii="Times New Roman" w:hAnsi="Times New Roman" w:cs="Times New Roman"/>
                <w:color w:val="auto"/>
                <w:spacing w:val="-1"/>
                <w:sz w:val="24"/>
                <w:lang w:val="en-US" w:eastAsia="zh-CN"/>
              </w:rPr>
            </w:pPr>
            <w:r>
              <w:rPr>
                <w:rFonts w:hint="eastAsia" w:ascii="Times New Roman" w:hAnsi="Times New Roman" w:cs="Times New Roman"/>
                <w:color w:val="auto"/>
                <w:spacing w:val="-1"/>
                <w:sz w:val="24"/>
                <w:lang w:val="en-US" w:eastAsia="zh-CN"/>
              </w:rPr>
              <w:t>本项目集气罩罩口规格为</w:t>
            </w:r>
            <w:r>
              <w:rPr>
                <w:rFonts w:hint="eastAsia" w:ascii="Times New Roman" w:hAnsi="Times New Roman" w:cs="Times New Roman"/>
                <w:color w:val="auto"/>
                <w:spacing w:val="-1"/>
                <w:sz w:val="24"/>
                <w:szCs w:val="24"/>
                <w:lang w:val="en-US" w:eastAsia="zh-CN"/>
              </w:rPr>
              <w:t>（</w:t>
            </w:r>
            <w:r>
              <w:rPr>
                <w:rFonts w:hint="eastAsia" w:cs="Times New Roman"/>
                <w:b w:val="0"/>
                <w:color w:val="auto"/>
                <w:sz w:val="24"/>
                <w:szCs w:val="24"/>
                <w:lang w:val="en-US" w:eastAsia="zh-CN"/>
              </w:rPr>
              <w:t>0.8</w:t>
            </w:r>
            <w:r>
              <w:rPr>
                <w:rFonts w:hint="eastAsia" w:ascii="Times New Roman" w:hAnsi="Times New Roman" w:cs="Times New Roman"/>
                <w:b w:val="0"/>
                <w:color w:val="auto"/>
                <w:sz w:val="24"/>
                <w:szCs w:val="24"/>
                <w:lang w:val="en-US" w:eastAsia="zh-CN"/>
              </w:rPr>
              <w:t>m</w:t>
            </w:r>
            <w:r>
              <w:rPr>
                <w:rFonts w:hint="default" w:ascii="Times New Roman" w:hAnsi="Times New Roman" w:cs="Times New Roman"/>
                <w:b w:val="0"/>
                <w:color w:val="auto"/>
                <w:sz w:val="24"/>
                <w:szCs w:val="24"/>
              </w:rPr>
              <w:t>*</w:t>
            </w:r>
            <w:r>
              <w:rPr>
                <w:rFonts w:hint="eastAsia" w:ascii="Times New Roman" w:hAnsi="Times New Roman" w:cs="Times New Roman"/>
                <w:b w:val="0"/>
                <w:color w:val="auto"/>
                <w:sz w:val="24"/>
                <w:szCs w:val="24"/>
                <w:lang w:val="en-US" w:eastAsia="zh-CN"/>
              </w:rPr>
              <w:t>0.</w:t>
            </w:r>
            <w:r>
              <w:rPr>
                <w:rFonts w:hint="eastAsia" w:cs="Times New Roman"/>
                <w:b w:val="0"/>
                <w:color w:val="auto"/>
                <w:sz w:val="24"/>
                <w:szCs w:val="24"/>
                <w:lang w:val="en-US" w:eastAsia="zh-CN"/>
              </w:rPr>
              <w:t>7</w:t>
            </w:r>
            <w:r>
              <w:rPr>
                <w:rFonts w:hint="eastAsia" w:ascii="Times New Roman" w:hAnsi="Times New Roman" w:cs="Times New Roman"/>
                <w:b w:val="0"/>
                <w:color w:val="auto"/>
                <w:sz w:val="24"/>
                <w:szCs w:val="24"/>
                <w:lang w:val="en-US" w:eastAsia="zh-CN"/>
              </w:rPr>
              <w:t>m</w:t>
            </w:r>
            <w:r>
              <w:rPr>
                <w:rFonts w:hint="eastAsia" w:ascii="Times New Roman" w:hAnsi="Times New Roman" w:cs="Times New Roman"/>
                <w:color w:val="auto"/>
                <w:spacing w:val="-1"/>
                <w:sz w:val="24"/>
                <w:szCs w:val="24"/>
                <w:lang w:val="en-US" w:eastAsia="zh-CN"/>
              </w:rPr>
              <w:t>），与污染源距离为0.4m，</w:t>
            </w:r>
            <w:r>
              <w:rPr>
                <w:rFonts w:hint="eastAsia" w:ascii="Times New Roman" w:hAnsi="Times New Roman" w:cs="Times New Roman"/>
                <w:color w:val="auto"/>
                <w:spacing w:val="-1"/>
                <w:sz w:val="24"/>
                <w:lang w:val="en-US" w:eastAsia="zh-CN"/>
              </w:rPr>
              <w:t>计算得集气罩风量为</w:t>
            </w:r>
            <w:r>
              <w:rPr>
                <w:rFonts w:hint="eastAsia" w:cs="Times New Roman"/>
                <w:color w:val="auto"/>
                <w:spacing w:val="-1"/>
                <w:sz w:val="24"/>
                <w:lang w:val="en-US" w:eastAsia="zh-CN"/>
              </w:rPr>
              <w:t>5443.2</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本项目</w:t>
            </w:r>
            <w:r>
              <w:rPr>
                <w:rFonts w:hint="eastAsia" w:ascii="Times New Roman" w:hAnsi="Times New Roman" w:cs="Times New Roman"/>
                <w:b w:val="0"/>
                <w:color w:val="auto"/>
                <w:sz w:val="24"/>
                <w:lang w:val="en-US" w:eastAsia="zh-CN"/>
              </w:rPr>
              <w:t>1台自动打磨机和2台手工磨槽</w:t>
            </w:r>
            <w:r>
              <w:rPr>
                <w:rFonts w:hint="eastAsia" w:ascii="Times New Roman" w:hAnsi="Times New Roman" w:cs="Times New Roman"/>
                <w:color w:val="auto"/>
                <w:spacing w:val="-1"/>
                <w:sz w:val="24"/>
                <w:lang w:val="en-US" w:eastAsia="zh-CN"/>
              </w:rPr>
              <w:t>配置的</w:t>
            </w:r>
            <w:r>
              <w:rPr>
                <w:rFonts w:hint="eastAsia" w:cs="Times New Roman"/>
                <w:color w:val="auto"/>
                <w:spacing w:val="-1"/>
                <w:sz w:val="24"/>
                <w:lang w:val="en-US" w:eastAsia="zh-CN"/>
              </w:rPr>
              <w:t>风机</w:t>
            </w:r>
            <w:r>
              <w:rPr>
                <w:rFonts w:hint="eastAsia" w:ascii="Times New Roman" w:hAnsi="Times New Roman" w:cs="Times New Roman"/>
                <w:color w:val="auto"/>
                <w:spacing w:val="-1"/>
                <w:sz w:val="24"/>
                <w:lang w:val="en-US" w:eastAsia="zh-CN"/>
              </w:rPr>
              <w:t>风量为</w:t>
            </w:r>
            <w:r>
              <w:rPr>
                <w:rFonts w:hint="eastAsia" w:cs="Times New Roman"/>
                <w:color w:val="auto"/>
                <w:spacing w:val="-1"/>
                <w:sz w:val="24"/>
                <w:lang w:val="en-US" w:eastAsia="zh-CN"/>
              </w:rPr>
              <w:t>6000</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，满足设计风量需求。</w:t>
            </w:r>
          </w:p>
          <w:p w14:paraId="187CDABE">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eastAsia="宋体" w:cs="Times New Roman"/>
                <w:color w:val="auto"/>
                <w:sz w:val="24"/>
                <w:lang w:val="en-US" w:eastAsia="zh-CN"/>
              </w:rPr>
              <w:t>项目采用</w:t>
            </w:r>
            <w:r>
              <w:rPr>
                <w:rFonts w:hint="eastAsia" w:cs="Times New Roman"/>
                <w:color w:val="auto"/>
                <w:sz w:val="24"/>
                <w:lang w:val="en-US" w:eastAsia="zh-CN"/>
              </w:rPr>
              <w:t>集气罩</w:t>
            </w:r>
            <w:r>
              <w:rPr>
                <w:rFonts w:hint="eastAsia" w:ascii="Times New Roman" w:hAnsi="Times New Roman" w:eastAsia="宋体" w:cs="Times New Roman"/>
                <w:color w:val="auto"/>
                <w:sz w:val="24"/>
                <w:lang w:val="en-US" w:eastAsia="zh-CN"/>
              </w:rPr>
              <w:t>吸收废气，</w:t>
            </w:r>
            <w:r>
              <w:rPr>
                <w:rFonts w:hint="eastAsia" w:cs="Times New Roman"/>
                <w:color w:val="auto"/>
                <w:sz w:val="24"/>
                <w:lang w:val="en-US" w:eastAsia="zh-CN"/>
              </w:rPr>
              <w:t>收集效率可达到90%</w:t>
            </w:r>
            <w:r>
              <w:rPr>
                <w:rFonts w:hint="eastAsia" w:ascii="Times New Roman" w:hAnsi="Times New Roman" w:eastAsia="宋体" w:cs="Times New Roman"/>
                <w:color w:val="auto"/>
                <w:sz w:val="24"/>
                <w:lang w:val="en-US" w:eastAsia="zh-CN"/>
              </w:rPr>
              <w:t>。颗粒物经集气罩收集</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布袋除尘器处理</w:t>
            </w:r>
            <w:r>
              <w:rPr>
                <w:rFonts w:hint="eastAsia" w:cs="Times New Roman"/>
                <w:color w:val="auto"/>
                <w:sz w:val="24"/>
                <w:lang w:val="en-US" w:eastAsia="zh-CN"/>
              </w:rPr>
              <w:t>，处理后废气</w:t>
            </w:r>
            <w:r>
              <w:rPr>
                <w:rFonts w:hint="eastAsia" w:ascii="Times New Roman" w:hAnsi="Times New Roman" w:eastAsia="宋体" w:cs="Times New Roman"/>
                <w:color w:val="auto"/>
                <w:sz w:val="24"/>
                <w:lang w:val="en-US" w:eastAsia="zh-CN"/>
              </w:rPr>
              <w:t>经15米高排气筒</w:t>
            </w:r>
            <w:r>
              <w:rPr>
                <w:rFonts w:hint="eastAsia" w:cs="Times New Roman"/>
                <w:color w:val="auto"/>
                <w:sz w:val="24"/>
                <w:lang w:val="en-US" w:eastAsia="zh-CN"/>
              </w:rPr>
              <w:t>DA002</w:t>
            </w:r>
            <w:r>
              <w:rPr>
                <w:rFonts w:hint="eastAsia" w:ascii="Times New Roman" w:hAnsi="Times New Roman" w:eastAsia="宋体" w:cs="Times New Roman"/>
                <w:color w:val="auto"/>
                <w:sz w:val="24"/>
                <w:lang w:val="en-US" w:eastAsia="zh-CN"/>
              </w:rPr>
              <w:t>排放。每年运行时间约</w:t>
            </w:r>
            <w:r>
              <w:rPr>
                <w:rFonts w:hint="eastAsia" w:cs="Times New Roman"/>
                <w:color w:val="auto"/>
                <w:sz w:val="24"/>
                <w:lang w:val="en-US" w:eastAsia="zh-CN"/>
              </w:rPr>
              <w:t>2400</w:t>
            </w:r>
            <w:r>
              <w:rPr>
                <w:rFonts w:hint="eastAsia" w:ascii="Times New Roman" w:hAnsi="Times New Roman" w:eastAsia="宋体" w:cs="Times New Roman"/>
                <w:color w:val="auto"/>
                <w:sz w:val="24"/>
                <w:lang w:val="en-US" w:eastAsia="zh-CN"/>
              </w:rPr>
              <w:t>h，布袋除尘器处理效率95%</w:t>
            </w:r>
            <w:r>
              <w:rPr>
                <w:rFonts w:hint="eastAsia" w:cs="Times New Roman"/>
                <w:color w:val="auto"/>
                <w:sz w:val="24"/>
                <w:lang w:val="en-US" w:eastAsia="zh-CN"/>
              </w:rPr>
              <w:t>。</w:t>
            </w:r>
          </w:p>
          <w:p w14:paraId="66E8158E">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③打孔粉尘</w:t>
            </w:r>
          </w:p>
          <w:p w14:paraId="15E7A5AA">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b w:val="0"/>
                <w:bCs/>
                <w:color w:val="auto"/>
                <w:sz w:val="24"/>
                <w:szCs w:val="24"/>
                <w:lang w:val="en-US" w:eastAsia="zh-CN"/>
              </w:rPr>
            </w:pPr>
            <w:r>
              <w:rPr>
                <w:rFonts w:hint="eastAsia" w:ascii="Times New Roman" w:hAnsi="Times New Roman"/>
                <w:b w:val="0"/>
                <w:bCs/>
                <w:color w:val="auto"/>
                <w:sz w:val="24"/>
                <w:szCs w:val="24"/>
                <w:lang w:val="en-US" w:eastAsia="zh-CN"/>
              </w:rPr>
              <w:t>本项目手柄芯需要进行打孔处理，打孔工序会产生粉尘，</w:t>
            </w:r>
            <w:r>
              <w:rPr>
                <w:rFonts w:hint="eastAsia" w:ascii="Times New Roman" w:hAnsi="Times New Roman" w:eastAsia="宋体"/>
                <w:b w:val="0"/>
                <w:bCs/>
                <w:color w:val="auto"/>
                <w:sz w:val="24"/>
                <w:szCs w:val="24"/>
                <w:lang w:val="en-US" w:eastAsia="zh-CN"/>
              </w:rPr>
              <w:t>由于</w:t>
            </w:r>
            <w:r>
              <w:rPr>
                <w:rFonts w:hint="eastAsia" w:ascii="Times New Roman" w:hAnsi="Times New Roman"/>
                <w:b w:val="0"/>
                <w:bCs/>
                <w:color w:val="auto"/>
                <w:sz w:val="24"/>
                <w:szCs w:val="24"/>
                <w:lang w:val="en-US" w:eastAsia="zh-CN"/>
              </w:rPr>
              <w:t>打孔量</w:t>
            </w:r>
            <w:r>
              <w:rPr>
                <w:rFonts w:hint="eastAsia" w:ascii="Times New Roman" w:hAnsi="Times New Roman" w:eastAsia="宋体"/>
                <w:b w:val="0"/>
                <w:bCs/>
                <w:color w:val="auto"/>
                <w:sz w:val="24"/>
                <w:szCs w:val="24"/>
                <w:lang w:val="en-US" w:eastAsia="zh-CN"/>
              </w:rPr>
              <w:t>少、</w:t>
            </w:r>
            <w:r>
              <w:rPr>
                <w:rFonts w:hint="eastAsia" w:ascii="Times New Roman" w:hAnsi="Times New Roman"/>
                <w:b w:val="0"/>
                <w:bCs/>
                <w:color w:val="auto"/>
                <w:sz w:val="24"/>
                <w:szCs w:val="24"/>
                <w:lang w:val="en-US" w:eastAsia="zh-CN"/>
              </w:rPr>
              <w:t>打孔</w:t>
            </w:r>
            <w:r>
              <w:rPr>
                <w:rFonts w:hint="eastAsia" w:ascii="Times New Roman" w:hAnsi="Times New Roman" w:eastAsia="宋体"/>
                <w:b w:val="0"/>
                <w:bCs/>
                <w:color w:val="auto"/>
                <w:sz w:val="24"/>
                <w:szCs w:val="24"/>
                <w:lang w:val="en-US" w:eastAsia="zh-CN"/>
              </w:rPr>
              <w:t>时间短</w:t>
            </w:r>
            <w:r>
              <w:rPr>
                <w:rFonts w:hint="eastAsia" w:ascii="Times New Roman" w:hAnsi="Times New Roman"/>
                <w:b w:val="0"/>
                <w:bCs/>
                <w:color w:val="auto"/>
                <w:sz w:val="24"/>
                <w:szCs w:val="24"/>
                <w:lang w:val="en-US" w:eastAsia="zh-CN"/>
              </w:rPr>
              <w:t>，平均每天打孔时间为1小时</w:t>
            </w:r>
            <w:r>
              <w:rPr>
                <w:rFonts w:hint="eastAsia" w:ascii="Times New Roman" w:hAnsi="Times New Roman" w:eastAsia="宋体"/>
                <w:b w:val="0"/>
                <w:bCs/>
                <w:color w:val="auto"/>
                <w:sz w:val="24"/>
                <w:szCs w:val="24"/>
                <w:lang w:val="en-US" w:eastAsia="zh-CN"/>
              </w:rPr>
              <w:t>，</w:t>
            </w:r>
            <w:r>
              <w:rPr>
                <w:rFonts w:hint="eastAsia" w:ascii="Times New Roman" w:hAnsi="Times New Roman"/>
                <w:b w:val="0"/>
                <w:bCs/>
                <w:color w:val="auto"/>
                <w:sz w:val="24"/>
                <w:szCs w:val="24"/>
                <w:lang w:val="en-US" w:eastAsia="zh-CN"/>
              </w:rPr>
              <w:t>打孔</w:t>
            </w:r>
            <w:r>
              <w:rPr>
                <w:rFonts w:hint="eastAsia" w:ascii="Times New Roman" w:hAnsi="Times New Roman" w:eastAsia="宋体"/>
                <w:b w:val="0"/>
                <w:bCs/>
                <w:color w:val="auto"/>
                <w:sz w:val="24"/>
                <w:szCs w:val="24"/>
                <w:lang w:val="en-US" w:eastAsia="zh-CN"/>
              </w:rPr>
              <w:t>过程产生的</w:t>
            </w:r>
            <w:r>
              <w:rPr>
                <w:rFonts w:hint="eastAsia" w:ascii="Times New Roman" w:hAnsi="Times New Roman"/>
                <w:b w:val="0"/>
                <w:bCs/>
                <w:color w:val="auto"/>
                <w:sz w:val="24"/>
                <w:szCs w:val="24"/>
                <w:lang w:val="en-US" w:eastAsia="zh-CN"/>
              </w:rPr>
              <w:t>粉尘量</w:t>
            </w:r>
            <w:r>
              <w:rPr>
                <w:rFonts w:hint="eastAsia" w:ascii="Times New Roman" w:hAnsi="Times New Roman" w:eastAsia="宋体"/>
                <w:b w:val="0"/>
                <w:bCs/>
                <w:color w:val="auto"/>
                <w:sz w:val="24"/>
                <w:szCs w:val="24"/>
                <w:lang w:val="en-US" w:eastAsia="zh-CN"/>
              </w:rPr>
              <w:t>极少。因此，本项目对</w:t>
            </w:r>
            <w:r>
              <w:rPr>
                <w:rFonts w:hint="eastAsia" w:ascii="Times New Roman" w:hAnsi="Times New Roman"/>
                <w:b w:val="0"/>
                <w:bCs/>
                <w:color w:val="auto"/>
                <w:sz w:val="24"/>
                <w:szCs w:val="24"/>
                <w:lang w:val="en-US" w:eastAsia="zh-CN"/>
              </w:rPr>
              <w:t>打孔工序</w:t>
            </w:r>
            <w:r>
              <w:rPr>
                <w:rFonts w:hint="eastAsia" w:ascii="Times New Roman" w:hAnsi="Times New Roman" w:eastAsia="宋体"/>
                <w:b w:val="0"/>
                <w:bCs/>
                <w:color w:val="auto"/>
                <w:sz w:val="24"/>
                <w:szCs w:val="24"/>
                <w:lang w:val="en-US" w:eastAsia="zh-CN"/>
              </w:rPr>
              <w:t>产生的</w:t>
            </w:r>
            <w:r>
              <w:rPr>
                <w:rFonts w:hint="eastAsia" w:ascii="Times New Roman" w:hAnsi="Times New Roman"/>
                <w:b w:val="0"/>
                <w:bCs/>
                <w:color w:val="auto"/>
                <w:sz w:val="24"/>
                <w:szCs w:val="24"/>
                <w:lang w:val="en-US" w:eastAsia="zh-CN"/>
              </w:rPr>
              <w:t>粉尘</w:t>
            </w:r>
            <w:r>
              <w:rPr>
                <w:rFonts w:hint="eastAsia" w:ascii="Times New Roman" w:hAnsi="Times New Roman" w:eastAsia="宋体"/>
                <w:b w:val="0"/>
                <w:bCs/>
                <w:color w:val="auto"/>
                <w:sz w:val="24"/>
                <w:szCs w:val="24"/>
                <w:lang w:val="en-US" w:eastAsia="zh-CN"/>
              </w:rPr>
              <w:t>不进行定量分析。</w:t>
            </w:r>
          </w:p>
          <w:p w14:paraId="28A7051C">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color w:val="auto"/>
                <w:kern w:val="2"/>
                <w:sz w:val="24"/>
                <w:szCs w:val="24"/>
                <w:lang w:val="en-US" w:eastAsia="zh-CN" w:bidi="ar-SA"/>
              </w:rPr>
            </w:pPr>
            <w:r>
              <w:rPr>
                <w:rFonts w:hint="eastAsia" w:ascii="Times New Roman" w:hAnsi="Times New Roman" w:cs="Times New Roman"/>
                <w:b w:val="0"/>
                <w:bCs/>
                <w:color w:val="auto"/>
                <w:kern w:val="2"/>
                <w:sz w:val="24"/>
                <w:szCs w:val="24"/>
                <w:lang w:val="en-US" w:eastAsia="zh-CN" w:bidi="ar-SA"/>
              </w:rPr>
              <w:t>④破碎粉尘</w:t>
            </w:r>
          </w:p>
          <w:p w14:paraId="33DEF4BC">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lang w:val="en-US" w:eastAsia="zh-CN" w:bidi="ar-SA"/>
              </w:rPr>
            </w:pPr>
            <w:r>
              <w:rPr>
                <w:rFonts w:hint="eastAsia" w:ascii="Times New Roman" w:hAnsi="Times New Roman" w:eastAsia="宋体"/>
                <w:b w:val="0"/>
                <w:bCs/>
                <w:color w:val="FF0000"/>
                <w:sz w:val="24"/>
                <w:szCs w:val="24"/>
                <w:lang w:val="en-US" w:eastAsia="zh-CN"/>
              </w:rPr>
              <w:t>本项目</w:t>
            </w:r>
            <w:r>
              <w:rPr>
                <w:rFonts w:hint="eastAsia" w:ascii="Times New Roman" w:hAnsi="Times New Roman"/>
                <w:b w:val="0"/>
                <w:bCs/>
                <w:color w:val="FF0000"/>
                <w:sz w:val="24"/>
                <w:szCs w:val="24"/>
                <w:lang w:val="en-US" w:eastAsia="zh-CN"/>
              </w:rPr>
              <w:t>手柄外壳</w:t>
            </w:r>
            <w:r>
              <w:rPr>
                <w:rFonts w:hint="eastAsia" w:ascii="Times New Roman" w:hAnsi="Times New Roman" w:eastAsia="宋体"/>
                <w:b w:val="0"/>
                <w:bCs/>
                <w:color w:val="FF0000"/>
                <w:sz w:val="24"/>
                <w:szCs w:val="24"/>
                <w:lang w:val="en-US" w:eastAsia="zh-CN"/>
              </w:rPr>
              <w:t>破碎</w:t>
            </w:r>
            <w:r>
              <w:rPr>
                <w:rFonts w:ascii="Times New Roman" w:hAnsi="Times New Roman" w:eastAsia="宋体"/>
                <w:b w:val="0"/>
                <w:bCs/>
                <w:color w:val="FF0000"/>
                <w:sz w:val="24"/>
                <w:szCs w:val="24"/>
              </w:rPr>
              <w:t>过程中会产生</w:t>
            </w:r>
            <w:r>
              <w:rPr>
                <w:rFonts w:hint="eastAsia" w:ascii="Times New Roman" w:hAnsi="Times New Roman" w:eastAsia="宋体"/>
                <w:b w:val="0"/>
                <w:bCs/>
                <w:color w:val="FF0000"/>
                <w:sz w:val="24"/>
                <w:szCs w:val="24"/>
                <w:lang w:val="en-US" w:eastAsia="zh-CN"/>
              </w:rPr>
              <w:t>破碎粉尘</w:t>
            </w:r>
            <w:r>
              <w:rPr>
                <w:rFonts w:ascii="Times New Roman" w:hAnsi="Times New Roman" w:eastAsia="宋体"/>
                <w:b w:val="0"/>
                <w:bCs/>
                <w:color w:val="FF0000"/>
                <w:sz w:val="24"/>
                <w:szCs w:val="24"/>
              </w:rPr>
              <w:t>。</w:t>
            </w:r>
            <w:r>
              <w:rPr>
                <w:rFonts w:hint="eastAsia" w:ascii="Times New Roman" w:hAnsi="Times New Roman" w:eastAsia="宋体"/>
                <w:b w:val="0"/>
                <w:bCs/>
                <w:color w:val="auto"/>
                <w:sz w:val="24"/>
                <w:szCs w:val="24"/>
                <w:lang w:val="en-US" w:eastAsia="zh-CN"/>
              </w:rPr>
              <w:t>破碎工序颗粒物</w:t>
            </w:r>
            <w:r>
              <w:rPr>
                <w:rFonts w:hint="eastAsia" w:ascii="Times New Roman" w:hAnsi="Times New Roman" w:eastAsia="宋体"/>
                <w:b w:val="0"/>
                <w:bCs/>
                <w:color w:val="auto"/>
                <w:sz w:val="24"/>
                <w:szCs w:val="24"/>
              </w:rPr>
              <w:t>产污系数参考《排放源统计调查产排污核算方法和系数手册》</w:t>
            </w:r>
            <w:r>
              <w:rPr>
                <w:rFonts w:hint="eastAsia" w:ascii="Times New Roman" w:hAnsi="Times New Roman" w:eastAsia="宋体"/>
                <w:b w:val="0"/>
                <w:bCs/>
                <w:color w:val="auto"/>
                <w:sz w:val="24"/>
                <w:szCs w:val="24"/>
                <w:lang w:val="en-US" w:eastAsia="zh-CN"/>
              </w:rPr>
              <w:t>中</w:t>
            </w:r>
            <w:r>
              <w:rPr>
                <w:rFonts w:hint="eastAsia"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42 废弃资源综合利用行业系数手册</w:t>
            </w:r>
            <w:r>
              <w:rPr>
                <w:rFonts w:hint="eastAsia"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4220 非金属废料和碎屑加工处理行业系数表，废PE/PP干法破碎颗粒物的产污系数为375克/吨-原料</w:t>
            </w:r>
            <w:r>
              <w:rPr>
                <w:rFonts w:hint="eastAsia"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本项目</w:t>
            </w:r>
            <w:r>
              <w:rPr>
                <w:rFonts w:hint="eastAsia" w:ascii="Times New Roman" w:hAnsi="Times New Roman"/>
                <w:b w:val="0"/>
                <w:bCs/>
                <w:color w:val="auto"/>
                <w:sz w:val="24"/>
                <w:szCs w:val="24"/>
                <w:lang w:val="en-US" w:eastAsia="zh-CN"/>
              </w:rPr>
              <w:t>不合格品产生量约为原料的1%，则</w:t>
            </w:r>
            <w:r>
              <w:rPr>
                <w:rFonts w:hint="eastAsia" w:ascii="Times New Roman" w:hAnsi="Times New Roman" w:eastAsia="宋体"/>
                <w:b w:val="0"/>
                <w:bCs/>
                <w:color w:val="auto"/>
                <w:sz w:val="24"/>
                <w:szCs w:val="24"/>
                <w:lang w:val="en-US" w:eastAsia="zh-CN"/>
              </w:rPr>
              <w:t>破碎工序原料量约为</w:t>
            </w:r>
            <w:r>
              <w:rPr>
                <w:rFonts w:hint="eastAsia" w:ascii="Times New Roman" w:hAnsi="Times New Roman"/>
                <w:b w:val="0"/>
                <w:bCs/>
                <w:color w:val="auto"/>
                <w:sz w:val="24"/>
                <w:szCs w:val="24"/>
                <w:lang w:val="en-US" w:eastAsia="zh-CN"/>
              </w:rPr>
              <w:t>1.8</w:t>
            </w:r>
            <w:r>
              <w:rPr>
                <w:rFonts w:hint="eastAsia" w:ascii="Times New Roman" w:hAnsi="Times New Roman" w:eastAsia="宋体"/>
                <w:b w:val="0"/>
                <w:bCs/>
                <w:color w:val="auto"/>
                <w:sz w:val="24"/>
                <w:szCs w:val="24"/>
                <w:lang w:val="en-US" w:eastAsia="zh-CN"/>
              </w:rPr>
              <w:t>2t/a，经计算，本项目营运期间破碎工序颗粒物产生量为0.0</w:t>
            </w:r>
            <w:r>
              <w:rPr>
                <w:rFonts w:hint="eastAsia" w:ascii="Times New Roman" w:hAnsi="Times New Roman"/>
                <w:b w:val="0"/>
                <w:bCs/>
                <w:color w:val="auto"/>
                <w:sz w:val="24"/>
                <w:szCs w:val="24"/>
                <w:lang w:val="en-US" w:eastAsia="zh-CN"/>
              </w:rPr>
              <w:t>01</w:t>
            </w:r>
            <w:r>
              <w:rPr>
                <w:rFonts w:hint="eastAsia" w:ascii="Times New Roman" w:hAnsi="Times New Roman" w:eastAsia="宋体"/>
                <w:b w:val="0"/>
                <w:bCs/>
                <w:color w:val="auto"/>
                <w:sz w:val="24"/>
                <w:szCs w:val="24"/>
                <w:lang w:val="en-US" w:eastAsia="zh-CN"/>
              </w:rPr>
              <w:t>t/a</w:t>
            </w:r>
            <w:r>
              <w:rPr>
                <w:rFonts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由于破碎工序颗粒物产生量极少，因此本项目破碎粉尘直接无组织排放。</w:t>
            </w:r>
          </w:p>
          <w:p w14:paraId="25FA4B7C">
            <w:pPr>
              <w:pStyle w:val="19"/>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Times New Roman" w:hAnsi="Times New Roman" w:cs="Times New Roman"/>
                <w:b w:val="0"/>
                <w:bCs/>
                <w:color w:val="auto"/>
                <w:lang w:val="en-US" w:eastAsia="zh-CN"/>
              </w:rPr>
            </w:pPr>
            <w:r>
              <w:rPr>
                <w:rFonts w:hint="default" w:ascii="Times New Roman" w:hAnsi="Times New Roman" w:eastAsia="宋体" w:cs="Times New Roman"/>
                <w:b w:val="0"/>
                <w:bCs/>
                <w:color w:val="auto"/>
                <w:kern w:val="2"/>
                <w:sz w:val="24"/>
                <w:szCs w:val="24"/>
                <w:lang w:val="en-US" w:eastAsia="zh-CN" w:bidi="ar-SA"/>
              </w:rPr>
              <w:t>（</w:t>
            </w:r>
            <w:r>
              <w:rPr>
                <w:rFonts w:hint="eastAsia" w:ascii="Times New Roman" w:hAnsi="Times New Roman" w:cs="Times New Roman"/>
                <w:b w:val="0"/>
                <w:bCs/>
                <w:color w:val="auto"/>
                <w:kern w:val="2"/>
                <w:sz w:val="24"/>
                <w:szCs w:val="24"/>
                <w:lang w:val="en-US" w:eastAsia="zh-CN" w:bidi="ar-SA"/>
              </w:rPr>
              <w:t>3</w:t>
            </w:r>
            <w:r>
              <w:rPr>
                <w:rFonts w:hint="default" w:ascii="Times New Roman" w:hAnsi="Times New Roman" w:eastAsia="宋体" w:cs="Times New Roman"/>
                <w:b w:val="0"/>
                <w:bCs/>
                <w:color w:val="auto"/>
                <w:kern w:val="2"/>
                <w:sz w:val="24"/>
                <w:szCs w:val="24"/>
                <w:lang w:val="en-US" w:eastAsia="zh-CN" w:bidi="ar-SA"/>
              </w:rPr>
              <w:t>）</w:t>
            </w:r>
            <w:r>
              <w:rPr>
                <w:rFonts w:hint="default" w:ascii="Times New Roman" w:hAnsi="Times New Roman" w:cs="Times New Roman"/>
                <w:b w:val="0"/>
                <w:bCs/>
                <w:color w:val="auto"/>
                <w:sz w:val="24"/>
                <w:lang w:val="en-US" w:eastAsia="zh-CN"/>
              </w:rPr>
              <w:t>异味影响分析</w:t>
            </w:r>
          </w:p>
          <w:p w14:paraId="1455480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color w:val="auto"/>
                <w:lang w:val="en-US" w:eastAsia="zh-CN"/>
              </w:rPr>
            </w:pPr>
            <w:r>
              <w:rPr>
                <w:rFonts w:hint="eastAsia"/>
                <w:color w:val="auto"/>
                <w:lang w:val="en-US" w:eastAsia="zh-CN"/>
              </w:rPr>
              <w:t>本项目为塑料手柄生产项目，由于项目不饱和聚酯树脂在高温下进行拉挤会产生有恶臭的气味等，但产生量较小。恶臭气体经收集采用二级活性炭吸附设备处理后高空排放，对周围环境影响较小。因此本项目废气对周围环境无明显的异味影响。</w:t>
            </w:r>
          </w:p>
          <w:p w14:paraId="5FBF3A04">
            <w:pPr>
              <w:pStyle w:val="19"/>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b w:val="0"/>
                <w:bCs/>
                <w:color w:val="auto"/>
                <w:sz w:val="24"/>
              </w:rPr>
            </w:pP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4</w:t>
            </w:r>
            <w:r>
              <w:rPr>
                <w:rFonts w:hint="eastAsia" w:ascii="Times New Roman" w:hAnsi="Times New Roman" w:eastAsia="宋体"/>
                <w:b w:val="0"/>
                <w:bCs/>
                <w:color w:val="auto"/>
                <w:sz w:val="24"/>
              </w:rPr>
              <w:t>）</w:t>
            </w:r>
            <w:r>
              <w:rPr>
                <w:rFonts w:hint="eastAsia" w:ascii="Times New Roman" w:hAnsi="Times New Roman"/>
                <w:b w:val="0"/>
                <w:bCs/>
                <w:color w:val="auto"/>
                <w:sz w:val="24"/>
                <w:lang w:eastAsia="zh-CN"/>
              </w:rPr>
              <w:t>危废贮存库</w:t>
            </w:r>
            <w:r>
              <w:rPr>
                <w:rFonts w:hint="eastAsia" w:ascii="Times New Roman" w:hAnsi="Times New Roman" w:eastAsia="宋体"/>
                <w:b w:val="0"/>
                <w:bCs/>
                <w:color w:val="auto"/>
                <w:sz w:val="24"/>
              </w:rPr>
              <w:t>废气</w:t>
            </w:r>
          </w:p>
          <w:p w14:paraId="20A3ED1F">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b/>
                <w:bCs/>
                <w:color w:val="auto"/>
              </w:rPr>
            </w:pPr>
            <w:r>
              <w:rPr>
                <w:rFonts w:hint="eastAsia" w:ascii="Times New Roman" w:hAnsi="Times New Roman" w:eastAsia="宋体"/>
                <w:b w:val="0"/>
                <w:bCs/>
                <w:color w:val="auto"/>
                <w:sz w:val="24"/>
              </w:rPr>
              <w:t>项目</w:t>
            </w:r>
            <w:r>
              <w:rPr>
                <w:rFonts w:hint="eastAsia" w:ascii="Times New Roman" w:hAnsi="Times New Roman"/>
                <w:b w:val="0"/>
                <w:bCs/>
                <w:color w:val="auto"/>
                <w:sz w:val="24"/>
                <w:lang w:eastAsia="zh-CN"/>
              </w:rPr>
              <w:t>危废贮存库</w:t>
            </w:r>
            <w:r>
              <w:rPr>
                <w:rFonts w:hint="eastAsia" w:ascii="Times New Roman" w:hAnsi="Times New Roman" w:eastAsia="宋体"/>
                <w:b w:val="0"/>
                <w:bCs/>
                <w:color w:val="auto"/>
                <w:sz w:val="24"/>
              </w:rPr>
              <w:t>中暂存的废活性炭可能会逸散微量有机废气，但是本项目更换后的废活性炭均使用太空袋进行密封包装，故本次评价不考虑</w:t>
            </w:r>
            <w:r>
              <w:rPr>
                <w:rFonts w:hint="eastAsia" w:ascii="Times New Roman" w:hAnsi="Times New Roman" w:eastAsia="宋体"/>
                <w:b w:val="0"/>
                <w:bCs/>
                <w:color w:val="auto"/>
                <w:sz w:val="24"/>
                <w:lang w:val="en-US" w:eastAsia="zh-CN"/>
              </w:rPr>
              <w:t>危险废物</w:t>
            </w:r>
            <w:r>
              <w:rPr>
                <w:rFonts w:hint="eastAsia" w:ascii="Times New Roman" w:hAnsi="Times New Roman" w:eastAsia="宋体"/>
                <w:b w:val="0"/>
                <w:bCs/>
                <w:color w:val="auto"/>
                <w:sz w:val="24"/>
              </w:rPr>
              <w:t>储运过程中的有机废气的挥发。</w:t>
            </w:r>
          </w:p>
        </w:tc>
      </w:tr>
    </w:tbl>
    <w:p w14:paraId="4F030DB3">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pPr w:leftFromText="180" w:rightFromText="180" w:vertAnchor="text" w:horzAnchor="page" w:tblpX="817" w:tblpY="382"/>
        <w:tblOverlap w:val="never"/>
        <w:tblW w:w="15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208"/>
      </w:tblGrid>
      <w:tr w14:paraId="4EF2F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511" w:type="dxa"/>
            <w:noWrap w:val="0"/>
            <w:tcMar>
              <w:left w:w="28" w:type="dxa"/>
              <w:right w:w="28" w:type="dxa"/>
            </w:tcMar>
            <w:vAlign w:val="center"/>
          </w:tcPr>
          <w:p w14:paraId="0B1B1B60">
            <w:pPr>
              <w:adjustRightInd w:val="0"/>
              <w:snapToGrid w:val="0"/>
              <w:jc w:val="center"/>
              <w:rPr>
                <w:rFonts w:ascii="宋体" w:hAnsi="宋体" w:cs="宋体"/>
                <w:bCs/>
                <w:color w:val="auto"/>
                <w:szCs w:val="21"/>
              </w:rPr>
            </w:pPr>
          </w:p>
        </w:tc>
        <w:tc>
          <w:tcPr>
            <w:tcW w:w="15208" w:type="dxa"/>
            <w:noWrap w:val="0"/>
            <w:vAlign w:val="top"/>
          </w:tcPr>
          <w:p w14:paraId="2CACA9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表4-1</w:t>
            </w:r>
            <w:r>
              <w:rPr>
                <w:rFonts w:hint="eastAsia" w:cs="Times New Roman"/>
                <w:b/>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建设项目废气污染源源强核算结果及相关参数一览表</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63"/>
              <w:gridCol w:w="569"/>
              <w:gridCol w:w="798"/>
              <w:gridCol w:w="1118"/>
              <w:gridCol w:w="832"/>
              <w:gridCol w:w="982"/>
              <w:gridCol w:w="982"/>
              <w:gridCol w:w="941"/>
              <w:gridCol w:w="845"/>
              <w:gridCol w:w="1515"/>
              <w:gridCol w:w="591"/>
              <w:gridCol w:w="771"/>
              <w:gridCol w:w="939"/>
              <w:gridCol w:w="939"/>
              <w:gridCol w:w="975"/>
              <w:gridCol w:w="921"/>
              <w:gridCol w:w="705"/>
            </w:tblGrid>
            <w:tr w14:paraId="15D24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restart"/>
                  <w:noWrap w:val="0"/>
                  <w:vAlign w:val="center"/>
                </w:tcPr>
                <w:p w14:paraId="76D1D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工序/生产线</w:t>
                  </w:r>
                </w:p>
              </w:tc>
              <w:tc>
                <w:tcPr>
                  <w:tcW w:w="189" w:type="pct"/>
                  <w:vMerge w:val="restart"/>
                  <w:noWrap w:val="0"/>
                  <w:vAlign w:val="center"/>
                </w:tcPr>
                <w:p w14:paraId="49C86E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编号</w:t>
                  </w:r>
                </w:p>
              </w:tc>
              <w:tc>
                <w:tcPr>
                  <w:tcW w:w="266" w:type="pct"/>
                  <w:vMerge w:val="restart"/>
                  <w:noWrap w:val="0"/>
                  <w:vAlign w:val="center"/>
                </w:tcPr>
                <w:p w14:paraId="745EDE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373" w:type="pct"/>
                  <w:vMerge w:val="restart"/>
                  <w:noWrap w:val="0"/>
                  <w:vAlign w:val="center"/>
                </w:tcPr>
                <w:p w14:paraId="2E6C47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w:t>
                  </w:r>
                </w:p>
              </w:tc>
              <w:tc>
                <w:tcPr>
                  <w:tcW w:w="1528" w:type="pct"/>
                  <w:gridSpan w:val="5"/>
                  <w:noWrap w:val="0"/>
                  <w:vAlign w:val="center"/>
                </w:tcPr>
                <w:p w14:paraId="28848A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污染物产生</w:t>
                  </w:r>
                </w:p>
              </w:tc>
              <w:tc>
                <w:tcPr>
                  <w:tcW w:w="702" w:type="pct"/>
                  <w:gridSpan w:val="2"/>
                  <w:noWrap w:val="0"/>
                  <w:vAlign w:val="center"/>
                </w:tcPr>
                <w:p w14:paraId="00EE6D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1516" w:type="pct"/>
                  <w:gridSpan w:val="5"/>
                  <w:noWrap w:val="0"/>
                  <w:vAlign w:val="center"/>
                </w:tcPr>
                <w:p w14:paraId="7607F4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污染物排放</w:t>
                  </w:r>
                </w:p>
              </w:tc>
              <w:tc>
                <w:tcPr>
                  <w:tcW w:w="235" w:type="pct"/>
                  <w:vMerge w:val="restart"/>
                  <w:noWrap w:val="0"/>
                  <w:vAlign w:val="center"/>
                </w:tcPr>
                <w:p w14:paraId="283A41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0EB968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 w:val="0"/>
                      <w:bCs/>
                      <w:color w:val="auto"/>
                      <w:kern w:val="0"/>
                      <w:sz w:val="21"/>
                      <w:szCs w:val="21"/>
                    </w:rPr>
                    <w:t>（h）</w:t>
                  </w:r>
                </w:p>
              </w:tc>
            </w:tr>
            <w:tr w14:paraId="5B9CBC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31C20B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531C34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6" w:type="pct"/>
                  <w:vMerge w:val="continue"/>
                  <w:noWrap w:val="0"/>
                  <w:vAlign w:val="center"/>
                </w:tcPr>
                <w:p w14:paraId="1F6B85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73" w:type="pct"/>
                  <w:vMerge w:val="continue"/>
                  <w:noWrap w:val="0"/>
                  <w:vAlign w:val="center"/>
                </w:tcPr>
                <w:p w14:paraId="3FAF28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7" w:type="pct"/>
                  <w:vMerge w:val="restart"/>
                  <w:noWrap w:val="0"/>
                  <w:vAlign w:val="center"/>
                </w:tcPr>
                <w:p w14:paraId="7AAEDA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BE2E5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27" w:type="pct"/>
                  <w:vMerge w:val="restart"/>
                  <w:noWrap w:val="0"/>
                  <w:vAlign w:val="center"/>
                </w:tcPr>
                <w:p w14:paraId="5A24AA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327" w:type="pct"/>
                  <w:vMerge w:val="restart"/>
                  <w:noWrap w:val="0"/>
                  <w:vAlign w:val="center"/>
                </w:tcPr>
                <w:p w14:paraId="3CC4509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595" w:type="pct"/>
                  <w:gridSpan w:val="2"/>
                  <w:noWrap w:val="0"/>
                  <w:vAlign w:val="center"/>
                </w:tcPr>
                <w:p w14:paraId="474E4E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w:t>
                  </w:r>
                </w:p>
              </w:tc>
              <w:tc>
                <w:tcPr>
                  <w:tcW w:w="505" w:type="pct"/>
                  <w:vMerge w:val="restart"/>
                  <w:noWrap w:val="0"/>
                  <w:vAlign w:val="center"/>
                </w:tcPr>
                <w:p w14:paraId="5AFC3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197" w:type="pct"/>
                  <w:vMerge w:val="restart"/>
                  <w:noWrap w:val="0"/>
                  <w:vAlign w:val="center"/>
                </w:tcPr>
                <w:p w14:paraId="6B07AE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257" w:type="pct"/>
                  <w:vMerge w:val="restart"/>
                  <w:noWrap w:val="0"/>
                  <w:vAlign w:val="center"/>
                </w:tcPr>
                <w:p w14:paraId="2BFE51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554E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13" w:type="pct"/>
                  <w:vMerge w:val="restart"/>
                  <w:noWrap w:val="0"/>
                  <w:vAlign w:val="center"/>
                </w:tcPr>
                <w:p w14:paraId="2FE076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废气排放量(m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313" w:type="pct"/>
                  <w:vMerge w:val="restart"/>
                  <w:noWrap w:val="0"/>
                  <w:vAlign w:val="center"/>
                </w:tcPr>
                <w:p w14:paraId="03C280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632" w:type="pct"/>
                  <w:gridSpan w:val="2"/>
                  <w:noWrap w:val="0"/>
                  <w:vAlign w:val="center"/>
                </w:tcPr>
                <w:p w14:paraId="3259285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w:t>
                  </w:r>
                </w:p>
              </w:tc>
              <w:tc>
                <w:tcPr>
                  <w:tcW w:w="235" w:type="pct"/>
                  <w:vMerge w:val="continue"/>
                  <w:noWrap w:val="0"/>
                  <w:vAlign w:val="center"/>
                </w:tcPr>
                <w:p w14:paraId="4BB8C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r>
            <w:tr w14:paraId="3E115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4028CD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3E1BE2E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6" w:type="pct"/>
                  <w:vMerge w:val="continue"/>
                  <w:noWrap w:val="0"/>
                  <w:vAlign w:val="center"/>
                </w:tcPr>
                <w:p w14:paraId="7767BF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73" w:type="pct"/>
                  <w:vMerge w:val="continue"/>
                  <w:noWrap w:val="0"/>
                  <w:vAlign w:val="center"/>
                </w:tcPr>
                <w:p w14:paraId="473846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7" w:type="pct"/>
                  <w:vMerge w:val="continue"/>
                  <w:noWrap w:val="0"/>
                  <w:vAlign w:val="center"/>
                </w:tcPr>
                <w:p w14:paraId="70D289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7" w:type="pct"/>
                  <w:vMerge w:val="continue"/>
                  <w:noWrap w:val="0"/>
                  <w:vAlign w:val="center"/>
                </w:tcPr>
                <w:p w14:paraId="43F4E6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7" w:type="pct"/>
                  <w:vMerge w:val="continue"/>
                  <w:noWrap w:val="0"/>
                  <w:vAlign w:val="center"/>
                </w:tcPr>
                <w:p w14:paraId="3A9642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noWrap w:val="0"/>
                  <w:vAlign w:val="center"/>
                </w:tcPr>
                <w:p w14:paraId="20EF6F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281" w:type="pct"/>
                  <w:noWrap w:val="0"/>
                  <w:vAlign w:val="center"/>
                </w:tcPr>
                <w:p w14:paraId="465E3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（t/a）</w:t>
                  </w:r>
                </w:p>
              </w:tc>
              <w:tc>
                <w:tcPr>
                  <w:tcW w:w="505" w:type="pct"/>
                  <w:vMerge w:val="continue"/>
                  <w:noWrap w:val="0"/>
                  <w:vAlign w:val="center"/>
                </w:tcPr>
                <w:p w14:paraId="5C43A7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7" w:type="pct"/>
                  <w:vMerge w:val="continue"/>
                  <w:noWrap w:val="0"/>
                  <w:vAlign w:val="center"/>
                </w:tcPr>
                <w:p w14:paraId="07B4A0F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7" w:type="pct"/>
                  <w:vMerge w:val="continue"/>
                  <w:noWrap w:val="0"/>
                  <w:vAlign w:val="center"/>
                </w:tcPr>
                <w:p w14:paraId="216486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vMerge w:val="continue"/>
                  <w:noWrap w:val="0"/>
                  <w:vAlign w:val="center"/>
                </w:tcPr>
                <w:p w14:paraId="27210D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vMerge w:val="continue"/>
                  <w:noWrap w:val="0"/>
                  <w:vAlign w:val="center"/>
                </w:tcPr>
                <w:p w14:paraId="65A2E2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noWrap w:val="0"/>
                  <w:vAlign w:val="center"/>
                </w:tcPr>
                <w:p w14:paraId="724D55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307" w:type="pct"/>
                  <w:noWrap w:val="0"/>
                  <w:vAlign w:val="center"/>
                </w:tcPr>
                <w:p w14:paraId="173A59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（t/a）</w:t>
                  </w:r>
                </w:p>
              </w:tc>
              <w:tc>
                <w:tcPr>
                  <w:tcW w:w="235" w:type="pct"/>
                  <w:vMerge w:val="continue"/>
                  <w:noWrap w:val="0"/>
                  <w:vAlign w:val="center"/>
                </w:tcPr>
                <w:p w14:paraId="75FDC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r w14:paraId="19F26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restart"/>
                  <w:noWrap w:val="0"/>
                  <w:vAlign w:val="center"/>
                </w:tcPr>
                <w:p w14:paraId="47FE2CE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裹树脂、</w:t>
                  </w:r>
                  <w:r>
                    <w:rPr>
                      <w:rFonts w:hint="eastAsia" w:ascii="Times New Roman" w:hAnsi="Times New Roman" w:eastAsia="宋体" w:cs="Times New Roman"/>
                      <w:bCs/>
                      <w:color w:val="auto"/>
                      <w:sz w:val="21"/>
                      <w:szCs w:val="21"/>
                      <w:lang w:val="en-US" w:eastAsia="zh-CN"/>
                    </w:rPr>
                    <w:t>拉挤</w:t>
                  </w:r>
                </w:p>
              </w:tc>
              <w:tc>
                <w:tcPr>
                  <w:tcW w:w="189" w:type="pct"/>
                  <w:vMerge w:val="restart"/>
                  <w:noWrap w:val="0"/>
                  <w:vAlign w:val="center"/>
                </w:tcPr>
                <w:p w14:paraId="69C7338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vertAlign w:val="subscript"/>
                      <w:lang w:val="en-US" w:eastAsia="zh-CN"/>
                    </w:rPr>
                    <w:t>1-1</w:t>
                  </w:r>
                  <w:r>
                    <w:rPr>
                      <w:rFonts w:hint="eastAsia" w:ascii="Times New Roman" w:hAnsi="Times New Roman" w:eastAsia="宋体" w:cs="Times New Roman"/>
                      <w:bCs/>
                      <w:color w:val="auto"/>
                      <w:sz w:val="21"/>
                      <w:szCs w:val="21"/>
                      <w:vertAlign w:val="baseline"/>
                      <w:lang w:val="en-US" w:eastAsia="zh-CN"/>
                    </w:rPr>
                    <w:t>、G</w:t>
                  </w:r>
                  <w:r>
                    <w:rPr>
                      <w:rFonts w:hint="eastAsia" w:ascii="Times New Roman" w:hAnsi="Times New Roman" w:eastAsia="宋体" w:cs="Times New Roman"/>
                      <w:bCs/>
                      <w:color w:val="auto"/>
                      <w:sz w:val="21"/>
                      <w:szCs w:val="21"/>
                      <w:vertAlign w:val="subscript"/>
                      <w:lang w:val="en-US" w:eastAsia="zh-CN"/>
                    </w:rPr>
                    <w:t>1-2</w:t>
                  </w:r>
                </w:p>
              </w:tc>
              <w:tc>
                <w:tcPr>
                  <w:tcW w:w="266" w:type="pct"/>
                  <w:noWrap w:val="0"/>
                  <w:vAlign w:val="center"/>
                </w:tcPr>
                <w:p w14:paraId="23A0F9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有组织</w:t>
                  </w:r>
                </w:p>
              </w:tc>
              <w:tc>
                <w:tcPr>
                  <w:tcW w:w="373" w:type="pct"/>
                  <w:vMerge w:val="restart"/>
                  <w:noWrap w:val="0"/>
                  <w:vAlign w:val="center"/>
                </w:tcPr>
                <w:p w14:paraId="393C797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非甲烷总烃</w:t>
                  </w:r>
                </w:p>
              </w:tc>
              <w:tc>
                <w:tcPr>
                  <w:tcW w:w="277" w:type="pct"/>
                  <w:vMerge w:val="restart"/>
                  <w:noWrap w:val="0"/>
                  <w:vAlign w:val="center"/>
                </w:tcPr>
                <w:p w14:paraId="548E4C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eastAsia="zh-CN"/>
                    </w:rPr>
                  </w:pPr>
                  <w:r>
                    <w:rPr>
                      <w:rFonts w:hint="eastAsia" w:ascii="Times New Roman" w:hAnsi="Times New Roman" w:eastAsia="宋体" w:cs="Times New Roman"/>
                      <w:bCs/>
                      <w:color w:val="auto"/>
                      <w:kern w:val="0"/>
                      <w:sz w:val="21"/>
                      <w:szCs w:val="21"/>
                      <w:lang w:val="en-US" w:eastAsia="zh-CN"/>
                    </w:rPr>
                    <w:t>物料平衡法</w:t>
                  </w:r>
                </w:p>
              </w:tc>
              <w:tc>
                <w:tcPr>
                  <w:tcW w:w="327" w:type="pct"/>
                  <w:shd w:val="clear" w:color="auto" w:fill="auto"/>
                  <w:noWrap w:val="0"/>
                  <w:vAlign w:val="center"/>
                </w:tcPr>
                <w:p w14:paraId="35ADF392">
                  <w:pPr>
                    <w:keepNext w:val="0"/>
                    <w:keepLines w:val="0"/>
                    <w:widowControl/>
                    <w:suppressLineNumbers w:val="0"/>
                    <w:jc w:val="center"/>
                    <w:textAlignment w:val="center"/>
                    <w:rPr>
                      <w:rFonts w:hint="default" w:ascii="Times New Roman" w:hAnsi="Times New Roman" w:eastAsia="宋体" w:cs="宋体"/>
                      <w:i w:val="0"/>
                      <w:iCs w:val="0"/>
                      <w:color w:val="auto"/>
                      <w:kern w:val="2"/>
                      <w:sz w:val="21"/>
                      <w:szCs w:val="22"/>
                      <w:u w:val="none"/>
                      <w:lang w:val="en-US" w:eastAsia="zh-CN" w:bidi="ar-SA"/>
                    </w:rPr>
                  </w:pPr>
                  <w:r>
                    <w:rPr>
                      <w:rFonts w:hint="eastAsia" w:cs="宋体"/>
                      <w:i w:val="0"/>
                      <w:iCs w:val="0"/>
                      <w:color w:val="auto"/>
                      <w:kern w:val="0"/>
                      <w:sz w:val="21"/>
                      <w:szCs w:val="22"/>
                      <w:u w:val="none"/>
                      <w:lang w:val="en-US" w:eastAsia="zh-CN" w:bidi="ar"/>
                    </w:rPr>
                    <w:t>55</w:t>
                  </w:r>
                  <w:r>
                    <w:rPr>
                      <w:rFonts w:hint="eastAsia" w:ascii="Times New Roman" w:hAnsi="Times New Roman" w:eastAsia="宋体" w:cs="宋体"/>
                      <w:i w:val="0"/>
                      <w:iCs w:val="0"/>
                      <w:color w:val="auto"/>
                      <w:kern w:val="0"/>
                      <w:sz w:val="21"/>
                      <w:szCs w:val="22"/>
                      <w:u w:val="none"/>
                      <w:lang w:val="en-US" w:eastAsia="zh-CN" w:bidi="ar"/>
                    </w:rPr>
                    <w:t>00</w:t>
                  </w:r>
                </w:p>
              </w:tc>
              <w:tc>
                <w:tcPr>
                  <w:tcW w:w="327" w:type="pct"/>
                  <w:noWrap w:val="0"/>
                  <w:vAlign w:val="center"/>
                </w:tcPr>
                <w:p w14:paraId="63A1F737">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宋体"/>
                      <w:i w:val="0"/>
                      <w:iCs w:val="0"/>
                      <w:color w:val="auto"/>
                      <w:kern w:val="0"/>
                      <w:sz w:val="21"/>
                      <w:szCs w:val="21"/>
                      <w:u w:val="none"/>
                      <w:lang w:val="en-US" w:eastAsia="zh-CN" w:bidi="ar"/>
                    </w:rPr>
                    <w:t>411.477</w:t>
                  </w:r>
                </w:p>
              </w:tc>
              <w:tc>
                <w:tcPr>
                  <w:tcW w:w="313" w:type="pct"/>
                  <w:noWrap w:val="0"/>
                  <w:vAlign w:val="center"/>
                </w:tcPr>
                <w:p w14:paraId="39889B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2.263</w:t>
                  </w:r>
                </w:p>
              </w:tc>
              <w:tc>
                <w:tcPr>
                  <w:tcW w:w="281" w:type="pct"/>
                  <w:noWrap w:val="0"/>
                  <w:vAlign w:val="center"/>
                </w:tcPr>
                <w:p w14:paraId="3C1E8B47">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5.432</w:t>
                  </w:r>
                </w:p>
              </w:tc>
              <w:tc>
                <w:tcPr>
                  <w:tcW w:w="505" w:type="pct"/>
                  <w:noWrap w:val="0"/>
                  <w:vAlign w:val="center"/>
                </w:tcPr>
                <w:p w14:paraId="1345FF7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二级活性炭吸附装置</w:t>
                  </w:r>
                </w:p>
              </w:tc>
              <w:tc>
                <w:tcPr>
                  <w:tcW w:w="197" w:type="pct"/>
                  <w:noWrap w:val="0"/>
                  <w:vAlign w:val="center"/>
                </w:tcPr>
                <w:p w14:paraId="2D2D96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90%</w:t>
                  </w:r>
                </w:p>
              </w:tc>
              <w:tc>
                <w:tcPr>
                  <w:tcW w:w="257" w:type="pct"/>
                  <w:vMerge w:val="restart"/>
                  <w:noWrap w:val="0"/>
                  <w:vAlign w:val="center"/>
                </w:tcPr>
                <w:p w14:paraId="325F73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313" w:type="pct"/>
                  <w:noWrap w:val="0"/>
                  <w:vAlign w:val="center"/>
                </w:tcPr>
                <w:p w14:paraId="2714FD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w:t>
                  </w:r>
                  <w:r>
                    <w:rPr>
                      <w:rFonts w:hint="eastAsia" w:ascii="Times New Roman" w:hAnsi="Times New Roman" w:eastAsia="宋体" w:cs="Times New Roman"/>
                      <w:i w:val="0"/>
                      <w:iCs w:val="0"/>
                      <w:color w:val="auto"/>
                      <w:kern w:val="0"/>
                      <w:sz w:val="21"/>
                      <w:szCs w:val="21"/>
                      <w:u w:val="none"/>
                      <w:lang w:val="en-US" w:eastAsia="zh-CN" w:bidi="ar"/>
                    </w:rPr>
                    <w:t>00</w:t>
                  </w:r>
                </w:p>
              </w:tc>
              <w:tc>
                <w:tcPr>
                  <w:tcW w:w="313" w:type="pct"/>
                  <w:shd w:val="clear" w:color="auto" w:fill="auto"/>
                  <w:noWrap w:val="0"/>
                  <w:vAlign w:val="center"/>
                </w:tcPr>
                <w:p w14:paraId="5D23F3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1"/>
                      <w:szCs w:val="22"/>
                      <w:u w:val="none"/>
                      <w:lang w:val="en-US" w:eastAsia="zh-CN" w:bidi="ar"/>
                    </w:rPr>
                    <w:t>41.148</w:t>
                  </w:r>
                </w:p>
              </w:tc>
              <w:tc>
                <w:tcPr>
                  <w:tcW w:w="325" w:type="pct"/>
                  <w:shd w:val="clear" w:color="auto" w:fill="auto"/>
                  <w:noWrap w:val="0"/>
                  <w:vAlign w:val="center"/>
                </w:tcPr>
                <w:p w14:paraId="7A0E681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226</w:t>
                  </w:r>
                </w:p>
              </w:tc>
              <w:tc>
                <w:tcPr>
                  <w:tcW w:w="307" w:type="pct"/>
                  <w:shd w:val="clear" w:color="auto" w:fill="auto"/>
                  <w:noWrap w:val="0"/>
                  <w:vAlign w:val="center"/>
                </w:tcPr>
                <w:p w14:paraId="52AD8F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0.543</w:t>
                  </w:r>
                </w:p>
              </w:tc>
              <w:tc>
                <w:tcPr>
                  <w:tcW w:w="235" w:type="pct"/>
                  <w:vMerge w:val="restart"/>
                  <w:noWrap w:val="0"/>
                  <w:vAlign w:val="center"/>
                </w:tcPr>
                <w:p w14:paraId="48C489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24</w:t>
                  </w:r>
                  <w:r>
                    <w:rPr>
                      <w:rFonts w:hint="eastAsia" w:ascii="Times New Roman" w:hAnsi="Times New Roman" w:eastAsia="宋体" w:cs="Times New Roman"/>
                      <w:bCs/>
                      <w:color w:val="auto"/>
                      <w:kern w:val="0"/>
                      <w:sz w:val="21"/>
                      <w:szCs w:val="21"/>
                      <w:lang w:val="en-US" w:eastAsia="zh-CN" w:bidi="ar"/>
                    </w:rPr>
                    <w:t>00</w:t>
                  </w:r>
                </w:p>
              </w:tc>
            </w:tr>
            <w:tr w14:paraId="6453E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2A588CD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74D33B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33B5ED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无组织</w:t>
                  </w:r>
                </w:p>
              </w:tc>
              <w:tc>
                <w:tcPr>
                  <w:tcW w:w="373" w:type="pct"/>
                  <w:vMerge w:val="continue"/>
                  <w:noWrap w:val="0"/>
                  <w:vAlign w:val="center"/>
                </w:tcPr>
                <w:p w14:paraId="18C932F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77" w:type="pct"/>
                  <w:vMerge w:val="continue"/>
                  <w:noWrap w:val="0"/>
                  <w:vAlign w:val="center"/>
                </w:tcPr>
                <w:p w14:paraId="1AB921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27" w:type="pct"/>
                  <w:noWrap w:val="0"/>
                  <w:vAlign w:val="center"/>
                </w:tcPr>
                <w:p w14:paraId="3B348E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647DE4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13" w:type="pct"/>
                  <w:noWrap w:val="0"/>
                  <w:vAlign w:val="center"/>
                </w:tcPr>
                <w:p w14:paraId="31D40C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0.</w:t>
                  </w:r>
                  <w:r>
                    <w:rPr>
                      <w:rFonts w:hint="eastAsia" w:cs="宋体"/>
                      <w:i w:val="0"/>
                      <w:iCs w:val="0"/>
                      <w:color w:val="auto"/>
                      <w:kern w:val="0"/>
                      <w:sz w:val="21"/>
                      <w:szCs w:val="21"/>
                      <w:u w:val="none"/>
                      <w:lang w:val="en-US" w:eastAsia="zh-CN" w:bidi="ar"/>
                    </w:rPr>
                    <w:t>251</w:t>
                  </w:r>
                </w:p>
              </w:tc>
              <w:tc>
                <w:tcPr>
                  <w:tcW w:w="281" w:type="pct"/>
                  <w:noWrap w:val="0"/>
                  <w:vAlign w:val="center"/>
                </w:tcPr>
                <w:p w14:paraId="017CC364">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0.603</w:t>
                  </w:r>
                </w:p>
              </w:tc>
              <w:tc>
                <w:tcPr>
                  <w:tcW w:w="505" w:type="pct"/>
                  <w:noWrap w:val="0"/>
                  <w:vAlign w:val="center"/>
                </w:tcPr>
                <w:p w14:paraId="5C9C901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197" w:type="pct"/>
                  <w:noWrap w:val="0"/>
                  <w:vAlign w:val="center"/>
                </w:tcPr>
                <w:p w14:paraId="3291E9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257" w:type="pct"/>
                  <w:vMerge w:val="continue"/>
                  <w:noWrap w:val="0"/>
                  <w:vAlign w:val="center"/>
                </w:tcPr>
                <w:p w14:paraId="69A3224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289367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13" w:type="pct"/>
                  <w:shd w:val="clear" w:color="auto" w:fill="auto"/>
                  <w:noWrap w:val="0"/>
                  <w:vAlign w:val="center"/>
                </w:tcPr>
                <w:p w14:paraId="5ADFA1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25" w:type="pct"/>
                  <w:shd w:val="clear" w:color="auto" w:fill="auto"/>
                  <w:noWrap w:val="0"/>
                  <w:vAlign w:val="center"/>
                </w:tcPr>
                <w:p w14:paraId="1CD454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0.</w:t>
                  </w:r>
                  <w:r>
                    <w:rPr>
                      <w:rFonts w:hint="eastAsia" w:cs="宋体"/>
                      <w:i w:val="0"/>
                      <w:iCs w:val="0"/>
                      <w:color w:val="auto"/>
                      <w:kern w:val="0"/>
                      <w:sz w:val="21"/>
                      <w:szCs w:val="21"/>
                      <w:u w:val="none"/>
                      <w:lang w:val="en-US" w:eastAsia="zh-CN" w:bidi="ar"/>
                    </w:rPr>
                    <w:t>251</w:t>
                  </w:r>
                </w:p>
              </w:tc>
              <w:tc>
                <w:tcPr>
                  <w:tcW w:w="307" w:type="pct"/>
                  <w:shd w:val="clear" w:color="auto" w:fill="auto"/>
                  <w:noWrap w:val="0"/>
                  <w:vAlign w:val="center"/>
                </w:tcPr>
                <w:p w14:paraId="1D82AA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0.603</w:t>
                  </w:r>
                </w:p>
              </w:tc>
              <w:tc>
                <w:tcPr>
                  <w:tcW w:w="235" w:type="pct"/>
                  <w:vMerge w:val="continue"/>
                  <w:noWrap w:val="0"/>
                  <w:vAlign w:val="center"/>
                </w:tcPr>
                <w:p w14:paraId="10C469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r w14:paraId="23B092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7A03FEF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315D50E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4F8A861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有组织</w:t>
                  </w:r>
                </w:p>
              </w:tc>
              <w:tc>
                <w:tcPr>
                  <w:tcW w:w="373" w:type="pct"/>
                  <w:vMerge w:val="restart"/>
                  <w:noWrap w:val="0"/>
                  <w:vAlign w:val="center"/>
                </w:tcPr>
                <w:p w14:paraId="78ECE8F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苯乙烯</w:t>
                  </w:r>
                </w:p>
              </w:tc>
              <w:tc>
                <w:tcPr>
                  <w:tcW w:w="277" w:type="pct"/>
                  <w:vMerge w:val="restart"/>
                  <w:noWrap w:val="0"/>
                  <w:vAlign w:val="center"/>
                </w:tcPr>
                <w:p w14:paraId="0836E64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327" w:type="pct"/>
                  <w:noWrap w:val="0"/>
                  <w:vAlign w:val="center"/>
                </w:tcPr>
                <w:p w14:paraId="37644B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55</w:t>
                  </w:r>
                  <w:r>
                    <w:rPr>
                      <w:rFonts w:hint="eastAsia" w:ascii="Times New Roman" w:hAnsi="Times New Roman" w:eastAsia="宋体" w:cs="Times New Roman"/>
                      <w:bCs/>
                      <w:color w:val="auto"/>
                      <w:sz w:val="21"/>
                      <w:szCs w:val="21"/>
                      <w:lang w:val="en-US" w:eastAsia="zh-CN"/>
                    </w:rPr>
                    <w:t>00</w:t>
                  </w:r>
                </w:p>
              </w:tc>
              <w:tc>
                <w:tcPr>
                  <w:tcW w:w="327" w:type="pct"/>
                  <w:noWrap w:val="0"/>
                  <w:vAlign w:val="center"/>
                </w:tcPr>
                <w:p w14:paraId="15E10753">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宋体"/>
                      <w:i w:val="0"/>
                      <w:iCs w:val="0"/>
                      <w:color w:val="auto"/>
                      <w:kern w:val="0"/>
                      <w:sz w:val="21"/>
                      <w:szCs w:val="22"/>
                      <w:u w:val="none"/>
                      <w:lang w:val="en-US" w:eastAsia="zh-CN" w:bidi="ar"/>
                    </w:rPr>
                    <w:t>409.091</w:t>
                  </w:r>
                </w:p>
              </w:tc>
              <w:tc>
                <w:tcPr>
                  <w:tcW w:w="313" w:type="pct"/>
                  <w:noWrap w:val="0"/>
                  <w:vAlign w:val="center"/>
                </w:tcPr>
                <w:p w14:paraId="3BA80435">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2.25</w:t>
                  </w:r>
                </w:p>
              </w:tc>
              <w:tc>
                <w:tcPr>
                  <w:tcW w:w="281" w:type="pct"/>
                  <w:noWrap w:val="0"/>
                  <w:vAlign w:val="center"/>
                </w:tcPr>
                <w:p w14:paraId="202F869C">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5.4</w:t>
                  </w:r>
                </w:p>
              </w:tc>
              <w:tc>
                <w:tcPr>
                  <w:tcW w:w="505" w:type="pct"/>
                  <w:noWrap w:val="0"/>
                  <w:vAlign w:val="center"/>
                </w:tcPr>
                <w:p w14:paraId="43CF21B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二级活性炭吸附装置</w:t>
                  </w:r>
                </w:p>
              </w:tc>
              <w:tc>
                <w:tcPr>
                  <w:tcW w:w="197" w:type="pct"/>
                  <w:noWrap w:val="0"/>
                  <w:vAlign w:val="center"/>
                </w:tcPr>
                <w:p w14:paraId="00AFB3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90%</w:t>
                  </w:r>
                </w:p>
              </w:tc>
              <w:tc>
                <w:tcPr>
                  <w:tcW w:w="257" w:type="pct"/>
                  <w:vMerge w:val="restart"/>
                  <w:noWrap w:val="0"/>
                  <w:vAlign w:val="center"/>
                </w:tcPr>
                <w:p w14:paraId="458839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313" w:type="pct"/>
                  <w:noWrap w:val="0"/>
                  <w:vAlign w:val="center"/>
                </w:tcPr>
                <w:p w14:paraId="1BBB37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w:t>
                  </w:r>
                  <w:r>
                    <w:rPr>
                      <w:rFonts w:hint="eastAsia" w:ascii="Times New Roman" w:hAnsi="Times New Roman" w:eastAsia="宋体" w:cs="Times New Roman"/>
                      <w:i w:val="0"/>
                      <w:iCs w:val="0"/>
                      <w:color w:val="auto"/>
                      <w:kern w:val="0"/>
                      <w:sz w:val="21"/>
                      <w:szCs w:val="21"/>
                      <w:u w:val="none"/>
                      <w:lang w:val="en-US" w:eastAsia="zh-CN" w:bidi="ar"/>
                    </w:rPr>
                    <w:t>00</w:t>
                  </w:r>
                </w:p>
              </w:tc>
              <w:tc>
                <w:tcPr>
                  <w:tcW w:w="313" w:type="pct"/>
                  <w:shd w:val="clear" w:color="auto" w:fill="auto"/>
                  <w:noWrap w:val="0"/>
                  <w:vAlign w:val="center"/>
                </w:tcPr>
                <w:p w14:paraId="53B0C0A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1"/>
                      <w:szCs w:val="22"/>
                      <w:u w:val="none"/>
                      <w:lang w:val="en-US" w:eastAsia="zh-CN" w:bidi="ar"/>
                    </w:rPr>
                    <w:t>40.909</w:t>
                  </w:r>
                </w:p>
              </w:tc>
              <w:tc>
                <w:tcPr>
                  <w:tcW w:w="325" w:type="pct"/>
                  <w:shd w:val="clear" w:color="auto" w:fill="auto"/>
                  <w:noWrap w:val="0"/>
                  <w:vAlign w:val="center"/>
                </w:tcPr>
                <w:p w14:paraId="4BA61033">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0.225</w:t>
                  </w:r>
                </w:p>
              </w:tc>
              <w:tc>
                <w:tcPr>
                  <w:tcW w:w="307" w:type="pct"/>
                  <w:shd w:val="clear" w:color="auto" w:fill="auto"/>
                  <w:noWrap w:val="0"/>
                  <w:vAlign w:val="center"/>
                </w:tcPr>
                <w:p w14:paraId="389DFE25">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w:t>
                  </w:r>
                </w:p>
              </w:tc>
              <w:tc>
                <w:tcPr>
                  <w:tcW w:w="235" w:type="pct"/>
                  <w:vMerge w:val="restart"/>
                  <w:noWrap w:val="0"/>
                  <w:vAlign w:val="center"/>
                </w:tcPr>
                <w:p w14:paraId="289F63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olor w:val="auto"/>
                      <w:sz w:val="21"/>
                      <w:lang w:val="en-US" w:eastAsia="zh-CN"/>
                    </w:rPr>
                  </w:pPr>
                  <w:r>
                    <w:rPr>
                      <w:rFonts w:hint="eastAsia" w:cs="Times New Roman"/>
                      <w:bCs/>
                      <w:color w:val="auto"/>
                      <w:kern w:val="0"/>
                      <w:sz w:val="21"/>
                      <w:szCs w:val="21"/>
                      <w:lang w:val="en-US" w:eastAsia="zh-CN" w:bidi="ar"/>
                    </w:rPr>
                    <w:t>24</w:t>
                  </w:r>
                  <w:r>
                    <w:rPr>
                      <w:rFonts w:hint="eastAsia" w:ascii="Times New Roman" w:hAnsi="Times New Roman" w:eastAsia="宋体" w:cs="Times New Roman"/>
                      <w:bCs/>
                      <w:color w:val="auto"/>
                      <w:kern w:val="0"/>
                      <w:sz w:val="21"/>
                      <w:szCs w:val="21"/>
                      <w:lang w:val="en-US" w:eastAsia="zh-CN" w:bidi="ar"/>
                    </w:rPr>
                    <w:t>00</w:t>
                  </w:r>
                </w:p>
              </w:tc>
            </w:tr>
            <w:tr w14:paraId="763225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42E2C2B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537AA59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0F9270F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无组织</w:t>
                  </w:r>
                </w:p>
              </w:tc>
              <w:tc>
                <w:tcPr>
                  <w:tcW w:w="373" w:type="pct"/>
                  <w:vMerge w:val="continue"/>
                  <w:noWrap w:val="0"/>
                  <w:vAlign w:val="center"/>
                </w:tcPr>
                <w:p w14:paraId="76B5290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77" w:type="pct"/>
                  <w:vMerge w:val="continue"/>
                  <w:noWrap w:val="0"/>
                  <w:vAlign w:val="center"/>
                </w:tcPr>
                <w:p w14:paraId="333BD87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27" w:type="pct"/>
                  <w:noWrap w:val="0"/>
                  <w:vAlign w:val="center"/>
                </w:tcPr>
                <w:p w14:paraId="3E48AC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3DD6EE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13" w:type="pct"/>
                  <w:noWrap w:val="0"/>
                  <w:vAlign w:val="center"/>
                </w:tcPr>
                <w:p w14:paraId="201CA1B9">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25</w:t>
                  </w:r>
                </w:p>
              </w:tc>
              <w:tc>
                <w:tcPr>
                  <w:tcW w:w="281" w:type="pct"/>
                  <w:noWrap w:val="0"/>
                  <w:vAlign w:val="center"/>
                </w:tcPr>
                <w:p w14:paraId="723CF3F3">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0.6</w:t>
                  </w:r>
                </w:p>
              </w:tc>
              <w:tc>
                <w:tcPr>
                  <w:tcW w:w="505" w:type="pct"/>
                  <w:noWrap w:val="0"/>
                  <w:vAlign w:val="center"/>
                </w:tcPr>
                <w:p w14:paraId="514943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197" w:type="pct"/>
                  <w:noWrap w:val="0"/>
                  <w:vAlign w:val="center"/>
                </w:tcPr>
                <w:p w14:paraId="2056BF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257" w:type="pct"/>
                  <w:vMerge w:val="continue"/>
                  <w:noWrap w:val="0"/>
                  <w:vAlign w:val="center"/>
                </w:tcPr>
                <w:p w14:paraId="1166192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64DAF5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13" w:type="pct"/>
                  <w:shd w:val="clear" w:color="auto" w:fill="auto"/>
                  <w:noWrap w:val="0"/>
                  <w:vAlign w:val="center"/>
                </w:tcPr>
                <w:p w14:paraId="62CABA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25" w:type="pct"/>
                  <w:shd w:val="clear" w:color="auto" w:fill="auto"/>
                  <w:noWrap w:val="0"/>
                  <w:vAlign w:val="center"/>
                </w:tcPr>
                <w:p w14:paraId="748D3493">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25</w:t>
                  </w:r>
                </w:p>
              </w:tc>
              <w:tc>
                <w:tcPr>
                  <w:tcW w:w="307" w:type="pct"/>
                  <w:shd w:val="clear" w:color="auto" w:fill="auto"/>
                  <w:noWrap w:val="0"/>
                  <w:vAlign w:val="center"/>
                </w:tcPr>
                <w:p w14:paraId="5BAFE4DE">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0.6</w:t>
                  </w:r>
                </w:p>
              </w:tc>
              <w:tc>
                <w:tcPr>
                  <w:tcW w:w="235" w:type="pct"/>
                  <w:vMerge w:val="continue"/>
                  <w:noWrap w:val="0"/>
                  <w:vAlign w:val="center"/>
                </w:tcPr>
                <w:p w14:paraId="2E1ECE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r w14:paraId="6E6704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7D8F7E3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168CB3B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3F0C732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有组织</w:t>
                  </w:r>
                </w:p>
              </w:tc>
              <w:tc>
                <w:tcPr>
                  <w:tcW w:w="373" w:type="pct"/>
                  <w:vMerge w:val="restart"/>
                  <w:noWrap w:val="0"/>
                  <w:vAlign w:val="center"/>
                </w:tcPr>
                <w:p w14:paraId="39F7070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苯系物</w:t>
                  </w:r>
                </w:p>
              </w:tc>
              <w:tc>
                <w:tcPr>
                  <w:tcW w:w="277" w:type="pct"/>
                  <w:vMerge w:val="restart"/>
                  <w:noWrap w:val="0"/>
                  <w:vAlign w:val="center"/>
                </w:tcPr>
                <w:p w14:paraId="5E756E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327" w:type="pct"/>
                  <w:noWrap w:val="0"/>
                  <w:vAlign w:val="center"/>
                </w:tcPr>
                <w:p w14:paraId="4E90B1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55</w:t>
                  </w:r>
                  <w:r>
                    <w:rPr>
                      <w:rFonts w:hint="eastAsia" w:ascii="Times New Roman" w:hAnsi="Times New Roman" w:eastAsia="宋体" w:cs="Times New Roman"/>
                      <w:bCs/>
                      <w:color w:val="auto"/>
                      <w:sz w:val="21"/>
                      <w:szCs w:val="21"/>
                      <w:lang w:val="en-US" w:eastAsia="zh-CN"/>
                    </w:rPr>
                    <w:t>00</w:t>
                  </w:r>
                </w:p>
              </w:tc>
              <w:tc>
                <w:tcPr>
                  <w:tcW w:w="982" w:type="dxa"/>
                  <w:noWrap w:val="0"/>
                  <w:vAlign w:val="center"/>
                </w:tcPr>
                <w:p w14:paraId="107A6D10">
                  <w:pPr>
                    <w:keepNext w:val="0"/>
                    <w:keepLines w:val="0"/>
                    <w:widowControl/>
                    <w:suppressLineNumbers w:val="0"/>
                    <w:jc w:val="center"/>
                    <w:textAlignment w:val="center"/>
                    <w:rPr>
                      <w:rFonts w:hint="eastAsia" w:ascii="Times New Roman" w:hAnsi="Times New Roman" w:eastAsia="宋体" w:cs="Times New Roman"/>
                      <w:bCs/>
                      <w:color w:val="auto"/>
                      <w:sz w:val="21"/>
                      <w:szCs w:val="21"/>
                      <w:lang w:val="en-US" w:eastAsia="zh-CN"/>
                    </w:rPr>
                  </w:pPr>
                  <w:r>
                    <w:rPr>
                      <w:rFonts w:hint="eastAsia" w:cs="宋体"/>
                      <w:i w:val="0"/>
                      <w:iCs w:val="0"/>
                      <w:color w:val="auto"/>
                      <w:kern w:val="0"/>
                      <w:sz w:val="21"/>
                      <w:szCs w:val="22"/>
                      <w:u w:val="none"/>
                      <w:lang w:val="en-US" w:eastAsia="zh-CN" w:bidi="ar"/>
                    </w:rPr>
                    <w:t>409.091</w:t>
                  </w:r>
                </w:p>
              </w:tc>
              <w:tc>
                <w:tcPr>
                  <w:tcW w:w="941" w:type="dxa"/>
                  <w:noWrap w:val="0"/>
                  <w:vAlign w:val="center"/>
                </w:tcPr>
                <w:p w14:paraId="373E6945">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2.25</w:t>
                  </w:r>
                </w:p>
              </w:tc>
              <w:tc>
                <w:tcPr>
                  <w:tcW w:w="281" w:type="pct"/>
                  <w:noWrap w:val="0"/>
                  <w:vAlign w:val="center"/>
                </w:tcPr>
                <w:p w14:paraId="2DC070CD">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5.4</w:t>
                  </w:r>
                </w:p>
              </w:tc>
              <w:tc>
                <w:tcPr>
                  <w:tcW w:w="505" w:type="pct"/>
                  <w:noWrap w:val="0"/>
                  <w:vAlign w:val="center"/>
                </w:tcPr>
                <w:p w14:paraId="2974C5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二级活性炭吸附装置</w:t>
                  </w:r>
                </w:p>
              </w:tc>
              <w:tc>
                <w:tcPr>
                  <w:tcW w:w="197" w:type="pct"/>
                  <w:noWrap w:val="0"/>
                  <w:vAlign w:val="center"/>
                </w:tcPr>
                <w:p w14:paraId="24E28E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90%</w:t>
                  </w:r>
                </w:p>
              </w:tc>
              <w:tc>
                <w:tcPr>
                  <w:tcW w:w="257" w:type="pct"/>
                  <w:vMerge w:val="restart"/>
                  <w:noWrap w:val="0"/>
                  <w:vAlign w:val="center"/>
                </w:tcPr>
                <w:p w14:paraId="06FBF10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313" w:type="pct"/>
                  <w:noWrap w:val="0"/>
                  <w:vAlign w:val="center"/>
                </w:tcPr>
                <w:p w14:paraId="59979B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55</w:t>
                  </w:r>
                  <w:r>
                    <w:rPr>
                      <w:rFonts w:hint="eastAsia" w:ascii="Times New Roman" w:hAnsi="Times New Roman" w:eastAsia="宋体" w:cs="Times New Roman"/>
                      <w:i w:val="0"/>
                      <w:iCs w:val="0"/>
                      <w:color w:val="auto"/>
                      <w:kern w:val="0"/>
                      <w:sz w:val="21"/>
                      <w:szCs w:val="21"/>
                      <w:u w:val="none"/>
                      <w:lang w:val="en-US" w:eastAsia="zh-CN" w:bidi="ar"/>
                    </w:rPr>
                    <w:t>00</w:t>
                  </w:r>
                </w:p>
              </w:tc>
              <w:tc>
                <w:tcPr>
                  <w:tcW w:w="939" w:type="dxa"/>
                  <w:shd w:val="clear" w:color="auto" w:fill="auto"/>
                  <w:noWrap w:val="0"/>
                  <w:vAlign w:val="center"/>
                </w:tcPr>
                <w:p w14:paraId="405E632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1"/>
                      <w:szCs w:val="22"/>
                      <w:u w:val="none"/>
                      <w:lang w:val="en-US" w:eastAsia="zh-CN" w:bidi="ar"/>
                    </w:rPr>
                    <w:t>40.909</w:t>
                  </w:r>
                </w:p>
              </w:tc>
              <w:tc>
                <w:tcPr>
                  <w:tcW w:w="975" w:type="dxa"/>
                  <w:shd w:val="clear" w:color="auto" w:fill="auto"/>
                  <w:noWrap w:val="0"/>
                  <w:vAlign w:val="center"/>
                </w:tcPr>
                <w:p w14:paraId="540851BA">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0.225</w:t>
                  </w:r>
                </w:p>
              </w:tc>
              <w:tc>
                <w:tcPr>
                  <w:tcW w:w="921" w:type="dxa"/>
                  <w:shd w:val="clear" w:color="auto" w:fill="auto"/>
                  <w:noWrap w:val="0"/>
                  <w:vAlign w:val="center"/>
                </w:tcPr>
                <w:p w14:paraId="28A02C35">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w:t>
                  </w:r>
                </w:p>
              </w:tc>
              <w:tc>
                <w:tcPr>
                  <w:tcW w:w="235" w:type="pct"/>
                  <w:vMerge w:val="restart"/>
                  <w:noWrap w:val="0"/>
                  <w:vAlign w:val="center"/>
                </w:tcPr>
                <w:p w14:paraId="7F9B34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olor w:val="auto"/>
                      <w:sz w:val="21"/>
                      <w:lang w:val="en-US" w:eastAsia="zh-CN"/>
                    </w:rPr>
                  </w:pPr>
                  <w:r>
                    <w:rPr>
                      <w:rFonts w:hint="eastAsia" w:cs="Times New Roman"/>
                      <w:bCs/>
                      <w:color w:val="auto"/>
                      <w:kern w:val="0"/>
                      <w:sz w:val="21"/>
                      <w:szCs w:val="21"/>
                      <w:lang w:val="en-US" w:eastAsia="zh-CN" w:bidi="ar"/>
                    </w:rPr>
                    <w:t>24</w:t>
                  </w:r>
                  <w:r>
                    <w:rPr>
                      <w:rFonts w:hint="eastAsia" w:ascii="Times New Roman" w:hAnsi="Times New Roman" w:eastAsia="宋体" w:cs="Times New Roman"/>
                      <w:bCs/>
                      <w:color w:val="auto"/>
                      <w:kern w:val="0"/>
                      <w:sz w:val="21"/>
                      <w:szCs w:val="21"/>
                      <w:lang w:val="en-US" w:eastAsia="zh-CN" w:bidi="ar"/>
                    </w:rPr>
                    <w:t>00</w:t>
                  </w:r>
                </w:p>
              </w:tc>
            </w:tr>
            <w:tr w14:paraId="5059E8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6E684DB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7F44303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0CC16B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无组织</w:t>
                  </w:r>
                </w:p>
              </w:tc>
              <w:tc>
                <w:tcPr>
                  <w:tcW w:w="373" w:type="pct"/>
                  <w:vMerge w:val="continue"/>
                  <w:noWrap w:val="0"/>
                  <w:vAlign w:val="center"/>
                </w:tcPr>
                <w:p w14:paraId="77549CE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77" w:type="pct"/>
                  <w:vMerge w:val="continue"/>
                  <w:noWrap w:val="0"/>
                  <w:vAlign w:val="center"/>
                </w:tcPr>
                <w:p w14:paraId="39BFBC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27" w:type="pct"/>
                  <w:noWrap w:val="0"/>
                  <w:vAlign w:val="center"/>
                </w:tcPr>
                <w:p w14:paraId="5F4D62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6B529A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941" w:type="dxa"/>
                  <w:noWrap w:val="0"/>
                  <w:vAlign w:val="center"/>
                </w:tcPr>
                <w:p w14:paraId="7E1B999F">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25</w:t>
                  </w:r>
                </w:p>
              </w:tc>
              <w:tc>
                <w:tcPr>
                  <w:tcW w:w="845" w:type="dxa"/>
                  <w:noWrap w:val="0"/>
                  <w:vAlign w:val="center"/>
                </w:tcPr>
                <w:p w14:paraId="7D04A4DF">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0.6</w:t>
                  </w:r>
                </w:p>
              </w:tc>
              <w:tc>
                <w:tcPr>
                  <w:tcW w:w="505" w:type="pct"/>
                  <w:noWrap w:val="0"/>
                  <w:vAlign w:val="center"/>
                </w:tcPr>
                <w:p w14:paraId="3345E88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197" w:type="pct"/>
                  <w:noWrap w:val="0"/>
                  <w:vAlign w:val="center"/>
                </w:tcPr>
                <w:p w14:paraId="17C812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257" w:type="pct"/>
                  <w:vMerge w:val="continue"/>
                  <w:noWrap w:val="0"/>
                  <w:vAlign w:val="center"/>
                </w:tcPr>
                <w:p w14:paraId="46C1D96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68AE5D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939" w:type="dxa"/>
                  <w:shd w:val="clear" w:color="auto" w:fill="auto"/>
                  <w:noWrap w:val="0"/>
                  <w:vAlign w:val="center"/>
                </w:tcPr>
                <w:p w14:paraId="1B0602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975" w:type="dxa"/>
                  <w:shd w:val="clear" w:color="auto" w:fill="auto"/>
                  <w:noWrap w:val="0"/>
                  <w:vAlign w:val="center"/>
                </w:tcPr>
                <w:p w14:paraId="0B144AB3">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25</w:t>
                  </w:r>
                </w:p>
              </w:tc>
              <w:tc>
                <w:tcPr>
                  <w:tcW w:w="921" w:type="dxa"/>
                  <w:shd w:val="clear" w:color="auto" w:fill="auto"/>
                  <w:noWrap w:val="0"/>
                  <w:vAlign w:val="center"/>
                </w:tcPr>
                <w:p w14:paraId="2D01A66C">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0.6</w:t>
                  </w:r>
                </w:p>
              </w:tc>
              <w:tc>
                <w:tcPr>
                  <w:tcW w:w="235" w:type="pct"/>
                  <w:vMerge w:val="continue"/>
                  <w:noWrap w:val="0"/>
                  <w:vAlign w:val="center"/>
                </w:tcPr>
                <w:p w14:paraId="4749D8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r w14:paraId="128AF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restart"/>
                  <w:noWrap w:val="0"/>
                  <w:vAlign w:val="center"/>
                </w:tcPr>
                <w:p w14:paraId="2B73091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切割</w:t>
                  </w:r>
                </w:p>
              </w:tc>
              <w:tc>
                <w:tcPr>
                  <w:tcW w:w="189" w:type="pct"/>
                  <w:vMerge w:val="restart"/>
                  <w:noWrap w:val="0"/>
                  <w:vAlign w:val="center"/>
                </w:tcPr>
                <w:p w14:paraId="0C9139C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vertAlign w:val="subscript"/>
                      <w:lang w:val="en-US" w:eastAsia="zh-CN"/>
                    </w:rPr>
                    <w:t>1-3</w:t>
                  </w:r>
                </w:p>
              </w:tc>
              <w:tc>
                <w:tcPr>
                  <w:tcW w:w="266" w:type="pct"/>
                  <w:noWrap w:val="0"/>
                  <w:vAlign w:val="center"/>
                </w:tcPr>
                <w:p w14:paraId="5A3CA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有组织</w:t>
                  </w:r>
                </w:p>
              </w:tc>
              <w:tc>
                <w:tcPr>
                  <w:tcW w:w="373" w:type="pct"/>
                  <w:vMerge w:val="restart"/>
                  <w:noWrap w:val="0"/>
                  <w:vAlign w:val="center"/>
                </w:tcPr>
                <w:p w14:paraId="40CFE47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颗粒物</w:t>
                  </w:r>
                </w:p>
              </w:tc>
              <w:tc>
                <w:tcPr>
                  <w:tcW w:w="277" w:type="pct"/>
                  <w:vMerge w:val="restart"/>
                  <w:noWrap w:val="0"/>
                  <w:vAlign w:val="center"/>
                </w:tcPr>
                <w:p w14:paraId="297A1A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27" w:type="pct"/>
                  <w:noWrap w:val="0"/>
                  <w:vAlign w:val="center"/>
                </w:tcPr>
                <w:p w14:paraId="70C0FB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40</w:t>
                  </w:r>
                  <w:r>
                    <w:rPr>
                      <w:rFonts w:hint="eastAsia" w:ascii="Times New Roman" w:hAnsi="Times New Roman" w:eastAsia="宋体" w:cs="Times New Roman"/>
                      <w:bCs/>
                      <w:color w:val="auto"/>
                      <w:sz w:val="21"/>
                      <w:szCs w:val="21"/>
                      <w:lang w:val="en-US" w:eastAsia="zh-CN"/>
                    </w:rPr>
                    <w:t>00</w:t>
                  </w:r>
                </w:p>
              </w:tc>
              <w:tc>
                <w:tcPr>
                  <w:tcW w:w="327" w:type="pct"/>
                  <w:noWrap w:val="0"/>
                  <w:vAlign w:val="center"/>
                </w:tcPr>
                <w:p w14:paraId="7DF99F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112.5</w:t>
                  </w:r>
                </w:p>
              </w:tc>
              <w:tc>
                <w:tcPr>
                  <w:tcW w:w="313" w:type="pct"/>
                  <w:noWrap w:val="0"/>
                  <w:vAlign w:val="center"/>
                </w:tcPr>
                <w:p w14:paraId="5D65DC6E">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45</w:t>
                  </w:r>
                </w:p>
              </w:tc>
              <w:tc>
                <w:tcPr>
                  <w:tcW w:w="281" w:type="pct"/>
                  <w:noWrap w:val="0"/>
                  <w:vAlign w:val="center"/>
                </w:tcPr>
                <w:p w14:paraId="2FE9E418">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1.08</w:t>
                  </w:r>
                </w:p>
              </w:tc>
              <w:tc>
                <w:tcPr>
                  <w:tcW w:w="505" w:type="pct"/>
                  <w:noWrap w:val="0"/>
                  <w:vAlign w:val="center"/>
                </w:tcPr>
                <w:p w14:paraId="456C846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布袋除尘器</w:t>
                  </w:r>
                </w:p>
              </w:tc>
              <w:tc>
                <w:tcPr>
                  <w:tcW w:w="197" w:type="pct"/>
                  <w:noWrap w:val="0"/>
                  <w:vAlign w:val="center"/>
                </w:tcPr>
                <w:p w14:paraId="111941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95%</w:t>
                  </w:r>
                </w:p>
              </w:tc>
              <w:tc>
                <w:tcPr>
                  <w:tcW w:w="257" w:type="pct"/>
                  <w:vMerge w:val="restart"/>
                  <w:noWrap w:val="0"/>
                  <w:vAlign w:val="center"/>
                </w:tcPr>
                <w:p w14:paraId="342D9F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13" w:type="pct"/>
                  <w:noWrap w:val="0"/>
                  <w:vAlign w:val="center"/>
                </w:tcPr>
                <w:p w14:paraId="2D25BA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40</w:t>
                  </w:r>
                  <w:r>
                    <w:rPr>
                      <w:rFonts w:hint="eastAsia" w:ascii="Times New Roman" w:hAnsi="Times New Roman" w:eastAsia="宋体" w:cs="Times New Roman"/>
                      <w:i w:val="0"/>
                      <w:iCs w:val="0"/>
                      <w:color w:val="auto"/>
                      <w:kern w:val="0"/>
                      <w:sz w:val="21"/>
                      <w:szCs w:val="21"/>
                      <w:u w:val="none"/>
                      <w:lang w:val="en-US" w:eastAsia="zh-CN" w:bidi="ar"/>
                    </w:rPr>
                    <w:t>00</w:t>
                  </w:r>
                </w:p>
              </w:tc>
              <w:tc>
                <w:tcPr>
                  <w:tcW w:w="313" w:type="pct"/>
                  <w:shd w:val="clear" w:color="auto" w:fill="auto"/>
                  <w:noWrap w:val="0"/>
                  <w:vAlign w:val="center"/>
                </w:tcPr>
                <w:p w14:paraId="5E7C68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5.625</w:t>
                  </w:r>
                </w:p>
              </w:tc>
              <w:tc>
                <w:tcPr>
                  <w:tcW w:w="325" w:type="pct"/>
                  <w:shd w:val="clear" w:color="auto" w:fill="auto"/>
                  <w:noWrap w:val="0"/>
                  <w:vAlign w:val="center"/>
                </w:tcPr>
                <w:p w14:paraId="0A13E2B4">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23</w:t>
                  </w:r>
                </w:p>
              </w:tc>
              <w:tc>
                <w:tcPr>
                  <w:tcW w:w="307" w:type="pct"/>
                  <w:shd w:val="clear" w:color="auto" w:fill="auto"/>
                  <w:noWrap w:val="0"/>
                  <w:vAlign w:val="center"/>
                </w:tcPr>
                <w:p w14:paraId="09F77127">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0.054</w:t>
                  </w:r>
                </w:p>
              </w:tc>
              <w:tc>
                <w:tcPr>
                  <w:tcW w:w="235" w:type="pct"/>
                  <w:vMerge w:val="restart"/>
                  <w:noWrap w:val="0"/>
                  <w:vAlign w:val="center"/>
                </w:tcPr>
                <w:p w14:paraId="0E57D2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olor w:val="auto"/>
                      <w:sz w:val="21"/>
                      <w:lang w:val="en-US" w:eastAsia="zh-CN"/>
                    </w:rPr>
                  </w:pPr>
                  <w:r>
                    <w:rPr>
                      <w:rFonts w:hint="eastAsia" w:cs="Times New Roman"/>
                      <w:bCs/>
                      <w:color w:val="auto"/>
                      <w:kern w:val="0"/>
                      <w:sz w:val="21"/>
                      <w:szCs w:val="21"/>
                      <w:lang w:val="en-US" w:eastAsia="zh-CN" w:bidi="ar"/>
                    </w:rPr>
                    <w:t>24</w:t>
                  </w:r>
                  <w:r>
                    <w:rPr>
                      <w:rFonts w:hint="eastAsia" w:ascii="Times New Roman" w:hAnsi="Times New Roman" w:eastAsia="宋体" w:cs="Times New Roman"/>
                      <w:bCs/>
                      <w:color w:val="auto"/>
                      <w:kern w:val="0"/>
                      <w:sz w:val="21"/>
                      <w:szCs w:val="21"/>
                      <w:lang w:val="en-US" w:eastAsia="zh-CN" w:bidi="ar"/>
                    </w:rPr>
                    <w:t>00</w:t>
                  </w:r>
                </w:p>
              </w:tc>
            </w:tr>
            <w:tr w14:paraId="18B190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0CF004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3B5170D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0A596A1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无组织</w:t>
                  </w:r>
                </w:p>
              </w:tc>
              <w:tc>
                <w:tcPr>
                  <w:tcW w:w="373" w:type="pct"/>
                  <w:vMerge w:val="continue"/>
                  <w:noWrap w:val="0"/>
                  <w:vAlign w:val="center"/>
                </w:tcPr>
                <w:p w14:paraId="36C16C6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77" w:type="pct"/>
                  <w:vMerge w:val="continue"/>
                  <w:noWrap w:val="0"/>
                  <w:vAlign w:val="center"/>
                </w:tcPr>
                <w:p w14:paraId="23CDF62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27" w:type="pct"/>
                  <w:noWrap w:val="0"/>
                  <w:vAlign w:val="center"/>
                </w:tcPr>
                <w:p w14:paraId="5E1708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38AA7A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13" w:type="pct"/>
                  <w:noWrap w:val="0"/>
                  <w:vAlign w:val="center"/>
                </w:tcPr>
                <w:p w14:paraId="2598B3ED">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0.05</w:t>
                  </w:r>
                </w:p>
              </w:tc>
              <w:tc>
                <w:tcPr>
                  <w:tcW w:w="281" w:type="pct"/>
                  <w:noWrap w:val="0"/>
                  <w:vAlign w:val="center"/>
                </w:tcPr>
                <w:p w14:paraId="4F099D3F">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0.12</w:t>
                  </w:r>
                </w:p>
              </w:tc>
              <w:tc>
                <w:tcPr>
                  <w:tcW w:w="505" w:type="pct"/>
                  <w:noWrap w:val="0"/>
                  <w:vAlign w:val="center"/>
                </w:tcPr>
                <w:p w14:paraId="3EB441E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197" w:type="pct"/>
                  <w:noWrap w:val="0"/>
                  <w:vAlign w:val="center"/>
                </w:tcPr>
                <w:p w14:paraId="5D4064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257" w:type="pct"/>
                  <w:vMerge w:val="continue"/>
                  <w:noWrap w:val="0"/>
                  <w:vAlign w:val="center"/>
                </w:tcPr>
                <w:p w14:paraId="63CE921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68DACC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13" w:type="pct"/>
                  <w:shd w:val="clear" w:color="auto" w:fill="auto"/>
                  <w:noWrap w:val="0"/>
                  <w:vAlign w:val="center"/>
                </w:tcPr>
                <w:p w14:paraId="52B61C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25" w:type="pct"/>
                  <w:shd w:val="clear" w:color="auto" w:fill="auto"/>
                  <w:noWrap w:val="0"/>
                  <w:vAlign w:val="center"/>
                </w:tcPr>
                <w:p w14:paraId="7B8BB1D9">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5</w:t>
                  </w:r>
                </w:p>
              </w:tc>
              <w:tc>
                <w:tcPr>
                  <w:tcW w:w="307" w:type="pct"/>
                  <w:shd w:val="clear" w:color="auto" w:fill="auto"/>
                  <w:noWrap w:val="0"/>
                  <w:vAlign w:val="center"/>
                </w:tcPr>
                <w:p w14:paraId="557E8AA0">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0.12</w:t>
                  </w:r>
                </w:p>
              </w:tc>
              <w:tc>
                <w:tcPr>
                  <w:tcW w:w="235" w:type="pct"/>
                  <w:vMerge w:val="continue"/>
                  <w:noWrap w:val="0"/>
                  <w:vAlign w:val="center"/>
                </w:tcPr>
                <w:p w14:paraId="713050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r w14:paraId="3DD9B2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restart"/>
                  <w:noWrap w:val="0"/>
                  <w:vAlign w:val="center"/>
                </w:tcPr>
                <w:p w14:paraId="1403F61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打磨</w:t>
                  </w:r>
                </w:p>
              </w:tc>
              <w:tc>
                <w:tcPr>
                  <w:tcW w:w="189" w:type="pct"/>
                  <w:vMerge w:val="restart"/>
                  <w:noWrap w:val="0"/>
                  <w:vAlign w:val="center"/>
                </w:tcPr>
                <w:p w14:paraId="088279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vertAlign w:val="subscript"/>
                      <w:lang w:val="en-US" w:eastAsia="zh-CN"/>
                    </w:rPr>
                    <w:t>1-</w:t>
                  </w:r>
                  <w:r>
                    <w:rPr>
                      <w:rFonts w:hint="eastAsia" w:cs="Times New Roman"/>
                      <w:bCs/>
                      <w:color w:val="auto"/>
                      <w:sz w:val="21"/>
                      <w:szCs w:val="21"/>
                      <w:vertAlign w:val="subscript"/>
                      <w:lang w:val="en-US" w:eastAsia="zh-CN"/>
                    </w:rPr>
                    <w:t>4</w:t>
                  </w:r>
                </w:p>
              </w:tc>
              <w:tc>
                <w:tcPr>
                  <w:tcW w:w="266" w:type="pct"/>
                  <w:noWrap w:val="0"/>
                  <w:vAlign w:val="center"/>
                </w:tcPr>
                <w:p w14:paraId="0640020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有组织</w:t>
                  </w:r>
                </w:p>
              </w:tc>
              <w:tc>
                <w:tcPr>
                  <w:tcW w:w="373" w:type="pct"/>
                  <w:vMerge w:val="restart"/>
                  <w:noWrap w:val="0"/>
                  <w:vAlign w:val="center"/>
                </w:tcPr>
                <w:p w14:paraId="072E2E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颗粒物</w:t>
                  </w:r>
                </w:p>
              </w:tc>
              <w:tc>
                <w:tcPr>
                  <w:tcW w:w="277" w:type="pct"/>
                  <w:vMerge w:val="restart"/>
                  <w:noWrap w:val="0"/>
                  <w:vAlign w:val="center"/>
                </w:tcPr>
                <w:p w14:paraId="2609160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27" w:type="pct"/>
                  <w:noWrap w:val="0"/>
                  <w:vAlign w:val="center"/>
                </w:tcPr>
                <w:p w14:paraId="3BB2F0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6000</w:t>
                  </w:r>
                </w:p>
              </w:tc>
              <w:tc>
                <w:tcPr>
                  <w:tcW w:w="327" w:type="pct"/>
                  <w:noWrap w:val="0"/>
                  <w:vAlign w:val="center"/>
                </w:tcPr>
                <w:p w14:paraId="278854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37.5</w:t>
                  </w:r>
                </w:p>
              </w:tc>
              <w:tc>
                <w:tcPr>
                  <w:tcW w:w="313" w:type="pct"/>
                  <w:noWrap w:val="0"/>
                  <w:vAlign w:val="center"/>
                </w:tcPr>
                <w:p w14:paraId="46C32284">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0.225</w:t>
                  </w:r>
                </w:p>
              </w:tc>
              <w:tc>
                <w:tcPr>
                  <w:tcW w:w="281" w:type="pct"/>
                  <w:noWrap w:val="0"/>
                  <w:vAlign w:val="center"/>
                </w:tcPr>
                <w:p w14:paraId="69BB1E48">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0.54</w:t>
                  </w:r>
                </w:p>
              </w:tc>
              <w:tc>
                <w:tcPr>
                  <w:tcW w:w="505" w:type="pct"/>
                  <w:noWrap w:val="0"/>
                  <w:vAlign w:val="center"/>
                </w:tcPr>
                <w:p w14:paraId="1327C17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布袋除尘器</w:t>
                  </w:r>
                </w:p>
              </w:tc>
              <w:tc>
                <w:tcPr>
                  <w:tcW w:w="197" w:type="pct"/>
                  <w:noWrap w:val="0"/>
                  <w:vAlign w:val="center"/>
                </w:tcPr>
                <w:p w14:paraId="50D4FF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95%</w:t>
                  </w:r>
                </w:p>
              </w:tc>
              <w:tc>
                <w:tcPr>
                  <w:tcW w:w="257" w:type="pct"/>
                  <w:vMerge w:val="restart"/>
                  <w:noWrap w:val="0"/>
                  <w:vAlign w:val="center"/>
                </w:tcPr>
                <w:p w14:paraId="4D9D72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13" w:type="pct"/>
                  <w:noWrap w:val="0"/>
                  <w:vAlign w:val="center"/>
                </w:tcPr>
                <w:p w14:paraId="711D41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6000</w:t>
                  </w:r>
                </w:p>
              </w:tc>
              <w:tc>
                <w:tcPr>
                  <w:tcW w:w="313" w:type="pct"/>
                  <w:shd w:val="clear" w:color="auto" w:fill="auto"/>
                  <w:noWrap w:val="0"/>
                  <w:vAlign w:val="center"/>
                </w:tcPr>
                <w:p w14:paraId="657800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1.875</w:t>
                  </w:r>
                </w:p>
              </w:tc>
              <w:tc>
                <w:tcPr>
                  <w:tcW w:w="325" w:type="pct"/>
                  <w:shd w:val="clear" w:color="auto" w:fill="auto"/>
                  <w:noWrap w:val="0"/>
                  <w:vAlign w:val="center"/>
                </w:tcPr>
                <w:p w14:paraId="6CF035D2">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0.011</w:t>
                  </w:r>
                </w:p>
              </w:tc>
              <w:tc>
                <w:tcPr>
                  <w:tcW w:w="307" w:type="pct"/>
                  <w:shd w:val="clear" w:color="auto" w:fill="auto"/>
                  <w:noWrap w:val="0"/>
                  <w:vAlign w:val="center"/>
                </w:tcPr>
                <w:p w14:paraId="09901C92">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0.027</w:t>
                  </w:r>
                </w:p>
              </w:tc>
              <w:tc>
                <w:tcPr>
                  <w:tcW w:w="235" w:type="pct"/>
                  <w:vMerge w:val="restart"/>
                  <w:noWrap w:val="0"/>
                  <w:vAlign w:val="center"/>
                </w:tcPr>
                <w:p w14:paraId="789FAB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2400</w:t>
                  </w:r>
                </w:p>
              </w:tc>
            </w:tr>
            <w:tr w14:paraId="13FB55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735D2EF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0DE0D2C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4A17606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无组织</w:t>
                  </w:r>
                </w:p>
              </w:tc>
              <w:tc>
                <w:tcPr>
                  <w:tcW w:w="373" w:type="pct"/>
                  <w:vMerge w:val="continue"/>
                  <w:noWrap w:val="0"/>
                  <w:vAlign w:val="center"/>
                </w:tcPr>
                <w:p w14:paraId="27E7CCF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77" w:type="pct"/>
                  <w:vMerge w:val="continue"/>
                  <w:noWrap w:val="0"/>
                  <w:vAlign w:val="center"/>
                </w:tcPr>
                <w:p w14:paraId="3D6497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27" w:type="pct"/>
                  <w:noWrap w:val="0"/>
                  <w:vAlign w:val="center"/>
                </w:tcPr>
                <w:p w14:paraId="072155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65ED7E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13" w:type="pct"/>
                  <w:noWrap w:val="0"/>
                  <w:vAlign w:val="center"/>
                </w:tcPr>
                <w:p w14:paraId="746ADC46">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0.025</w:t>
                  </w:r>
                </w:p>
              </w:tc>
              <w:tc>
                <w:tcPr>
                  <w:tcW w:w="281" w:type="pct"/>
                  <w:noWrap w:val="0"/>
                  <w:vAlign w:val="center"/>
                </w:tcPr>
                <w:p w14:paraId="066B0601">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0.06</w:t>
                  </w:r>
                </w:p>
              </w:tc>
              <w:tc>
                <w:tcPr>
                  <w:tcW w:w="505" w:type="pct"/>
                  <w:noWrap w:val="0"/>
                  <w:vAlign w:val="center"/>
                </w:tcPr>
                <w:p w14:paraId="37012FA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197" w:type="pct"/>
                  <w:noWrap w:val="0"/>
                  <w:vAlign w:val="center"/>
                </w:tcPr>
                <w:p w14:paraId="4B71BE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257" w:type="pct"/>
                  <w:vMerge w:val="continue"/>
                  <w:noWrap w:val="0"/>
                  <w:vAlign w:val="center"/>
                </w:tcPr>
                <w:p w14:paraId="2548D25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5D6C0A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Cs/>
                      <w:color w:val="auto"/>
                      <w:sz w:val="21"/>
                      <w:szCs w:val="21"/>
                      <w:lang w:val="en-US" w:eastAsia="zh-CN"/>
                    </w:rPr>
                    <w:t>/</w:t>
                  </w:r>
                </w:p>
              </w:tc>
              <w:tc>
                <w:tcPr>
                  <w:tcW w:w="313" w:type="pct"/>
                  <w:shd w:val="clear" w:color="auto" w:fill="auto"/>
                  <w:noWrap w:val="0"/>
                  <w:vAlign w:val="center"/>
                </w:tcPr>
                <w:p w14:paraId="1785BA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Cs/>
                      <w:color w:val="auto"/>
                      <w:sz w:val="21"/>
                      <w:szCs w:val="21"/>
                      <w:lang w:val="en-US" w:eastAsia="zh-CN"/>
                    </w:rPr>
                    <w:t>/</w:t>
                  </w:r>
                </w:p>
              </w:tc>
              <w:tc>
                <w:tcPr>
                  <w:tcW w:w="325" w:type="pct"/>
                  <w:shd w:val="clear" w:color="auto" w:fill="auto"/>
                  <w:noWrap w:val="0"/>
                  <w:vAlign w:val="center"/>
                </w:tcPr>
                <w:p w14:paraId="3D754E9F">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0.025</w:t>
                  </w:r>
                </w:p>
              </w:tc>
              <w:tc>
                <w:tcPr>
                  <w:tcW w:w="307" w:type="pct"/>
                  <w:shd w:val="clear" w:color="auto" w:fill="auto"/>
                  <w:noWrap w:val="0"/>
                  <w:vAlign w:val="center"/>
                </w:tcPr>
                <w:p w14:paraId="073BE519">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0.06</w:t>
                  </w:r>
                </w:p>
              </w:tc>
              <w:tc>
                <w:tcPr>
                  <w:tcW w:w="235" w:type="pct"/>
                  <w:vMerge w:val="continue"/>
                  <w:noWrap w:val="0"/>
                  <w:vAlign w:val="center"/>
                </w:tcPr>
                <w:p w14:paraId="00C950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r w14:paraId="7F5E82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noWrap w:val="0"/>
                  <w:vAlign w:val="center"/>
                </w:tcPr>
                <w:p w14:paraId="135B09F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打孔</w:t>
                  </w:r>
                </w:p>
              </w:tc>
              <w:tc>
                <w:tcPr>
                  <w:tcW w:w="189" w:type="pct"/>
                  <w:noWrap w:val="0"/>
                  <w:vAlign w:val="center"/>
                </w:tcPr>
                <w:p w14:paraId="2E44ACA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vertAlign w:val="subscript"/>
                      <w:lang w:val="en-US" w:eastAsia="zh-CN"/>
                    </w:rPr>
                    <w:t>1-</w:t>
                  </w:r>
                  <w:r>
                    <w:rPr>
                      <w:rFonts w:hint="eastAsia" w:cs="Times New Roman"/>
                      <w:bCs/>
                      <w:color w:val="auto"/>
                      <w:sz w:val="21"/>
                      <w:szCs w:val="21"/>
                      <w:vertAlign w:val="subscript"/>
                      <w:lang w:val="en-US" w:eastAsia="zh-CN"/>
                    </w:rPr>
                    <w:t>5</w:t>
                  </w:r>
                </w:p>
              </w:tc>
              <w:tc>
                <w:tcPr>
                  <w:tcW w:w="266" w:type="pct"/>
                  <w:noWrap w:val="0"/>
                  <w:vAlign w:val="center"/>
                </w:tcPr>
                <w:p w14:paraId="0D2C376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无组织</w:t>
                  </w:r>
                </w:p>
              </w:tc>
              <w:tc>
                <w:tcPr>
                  <w:tcW w:w="373" w:type="pct"/>
                  <w:noWrap w:val="0"/>
                  <w:vAlign w:val="center"/>
                </w:tcPr>
                <w:p w14:paraId="15FB702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颗粒物</w:t>
                  </w:r>
                </w:p>
              </w:tc>
              <w:tc>
                <w:tcPr>
                  <w:tcW w:w="277" w:type="pct"/>
                  <w:noWrap w:val="0"/>
                  <w:vAlign w:val="center"/>
                </w:tcPr>
                <w:p w14:paraId="51AC9BD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327" w:type="pct"/>
                  <w:noWrap w:val="0"/>
                  <w:vAlign w:val="center"/>
                </w:tcPr>
                <w:p w14:paraId="083AAA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szCs w:val="21"/>
                      <w:lang w:val="en-US" w:eastAsia="zh-CN"/>
                    </w:rPr>
                  </w:pPr>
                  <w:r>
                    <w:rPr>
                      <w:rFonts w:hint="eastAsia" w:cs="Times New Roman"/>
                      <w:bCs/>
                      <w:color w:val="auto"/>
                      <w:kern w:val="0"/>
                      <w:sz w:val="21"/>
                      <w:szCs w:val="21"/>
                      <w:lang w:val="en-US" w:eastAsia="zh-CN"/>
                    </w:rPr>
                    <w:t>/</w:t>
                  </w:r>
                </w:p>
              </w:tc>
              <w:tc>
                <w:tcPr>
                  <w:tcW w:w="327" w:type="pct"/>
                  <w:noWrap w:val="0"/>
                  <w:vAlign w:val="center"/>
                </w:tcPr>
                <w:p w14:paraId="3467BF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sz w:val="21"/>
                      <w:szCs w:val="21"/>
                      <w:lang w:val="en-US" w:eastAsia="zh-CN"/>
                    </w:rPr>
                  </w:pPr>
                  <w:r>
                    <w:rPr>
                      <w:rFonts w:hint="eastAsia" w:cs="Times New Roman"/>
                      <w:bCs/>
                      <w:color w:val="auto"/>
                      <w:kern w:val="0"/>
                      <w:sz w:val="21"/>
                      <w:szCs w:val="21"/>
                      <w:lang w:val="en-US" w:eastAsia="zh-CN"/>
                    </w:rPr>
                    <w:t>/</w:t>
                  </w:r>
                </w:p>
              </w:tc>
              <w:tc>
                <w:tcPr>
                  <w:tcW w:w="313" w:type="pct"/>
                  <w:noWrap w:val="0"/>
                  <w:vAlign w:val="center"/>
                </w:tcPr>
                <w:p w14:paraId="04828D20">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Times New Roman"/>
                      <w:bCs/>
                      <w:color w:val="auto"/>
                      <w:kern w:val="0"/>
                      <w:sz w:val="21"/>
                      <w:szCs w:val="21"/>
                      <w:lang w:val="en-US" w:eastAsia="zh-CN"/>
                    </w:rPr>
                    <w:t>/</w:t>
                  </w:r>
                </w:p>
              </w:tc>
              <w:tc>
                <w:tcPr>
                  <w:tcW w:w="281" w:type="pct"/>
                  <w:noWrap w:val="0"/>
                  <w:vAlign w:val="center"/>
                </w:tcPr>
                <w:p w14:paraId="6EF96D0F">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Times New Roman"/>
                      <w:bCs/>
                      <w:color w:val="auto"/>
                      <w:kern w:val="0"/>
                      <w:sz w:val="21"/>
                      <w:szCs w:val="21"/>
                      <w:lang w:val="en-US" w:eastAsia="zh-CN"/>
                    </w:rPr>
                    <w:t>/</w:t>
                  </w:r>
                </w:p>
              </w:tc>
              <w:tc>
                <w:tcPr>
                  <w:tcW w:w="505" w:type="pct"/>
                  <w:noWrap w:val="0"/>
                  <w:vAlign w:val="center"/>
                </w:tcPr>
                <w:p w14:paraId="4F1C909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197" w:type="pct"/>
                  <w:noWrap w:val="0"/>
                  <w:vAlign w:val="center"/>
                </w:tcPr>
                <w:p w14:paraId="3B2BF3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257" w:type="pct"/>
                  <w:noWrap w:val="0"/>
                  <w:vAlign w:val="center"/>
                </w:tcPr>
                <w:p w14:paraId="7BFCA18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cs="Times New Roman"/>
                      <w:bCs/>
                      <w:color w:val="auto"/>
                      <w:kern w:val="0"/>
                      <w:sz w:val="21"/>
                      <w:szCs w:val="21"/>
                      <w:lang w:val="en-US" w:eastAsia="zh-CN"/>
                    </w:rPr>
                    <w:t>/</w:t>
                  </w:r>
                </w:p>
              </w:tc>
              <w:tc>
                <w:tcPr>
                  <w:tcW w:w="313" w:type="pct"/>
                  <w:noWrap w:val="0"/>
                  <w:vAlign w:val="center"/>
                </w:tcPr>
                <w:p w14:paraId="6950F2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bCs/>
                      <w:color w:val="auto"/>
                      <w:kern w:val="0"/>
                      <w:sz w:val="21"/>
                      <w:szCs w:val="21"/>
                      <w:lang w:val="en-US" w:eastAsia="zh-CN"/>
                    </w:rPr>
                    <w:t>/</w:t>
                  </w:r>
                </w:p>
              </w:tc>
              <w:tc>
                <w:tcPr>
                  <w:tcW w:w="313" w:type="pct"/>
                  <w:shd w:val="clear" w:color="auto" w:fill="auto"/>
                  <w:noWrap w:val="0"/>
                  <w:vAlign w:val="center"/>
                </w:tcPr>
                <w:p w14:paraId="50DB1A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bCs/>
                      <w:color w:val="auto"/>
                      <w:kern w:val="0"/>
                      <w:sz w:val="21"/>
                      <w:szCs w:val="21"/>
                      <w:lang w:val="en-US" w:eastAsia="zh-CN"/>
                    </w:rPr>
                    <w:t>/</w:t>
                  </w:r>
                </w:p>
              </w:tc>
              <w:tc>
                <w:tcPr>
                  <w:tcW w:w="325" w:type="pct"/>
                  <w:shd w:val="clear" w:color="auto" w:fill="auto"/>
                  <w:noWrap w:val="0"/>
                  <w:vAlign w:val="center"/>
                </w:tcPr>
                <w:p w14:paraId="7679D36D">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Times New Roman"/>
                      <w:bCs/>
                      <w:color w:val="auto"/>
                      <w:kern w:val="0"/>
                      <w:sz w:val="21"/>
                      <w:szCs w:val="21"/>
                      <w:lang w:val="en-US" w:eastAsia="zh-CN"/>
                    </w:rPr>
                    <w:t>/</w:t>
                  </w:r>
                </w:p>
              </w:tc>
              <w:tc>
                <w:tcPr>
                  <w:tcW w:w="307" w:type="pct"/>
                  <w:shd w:val="clear" w:color="auto" w:fill="auto"/>
                  <w:noWrap w:val="0"/>
                  <w:vAlign w:val="center"/>
                </w:tcPr>
                <w:p w14:paraId="309D7652">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Times New Roman"/>
                      <w:bCs/>
                      <w:color w:val="auto"/>
                      <w:kern w:val="0"/>
                      <w:sz w:val="21"/>
                      <w:szCs w:val="21"/>
                      <w:lang w:val="en-US" w:eastAsia="zh-CN"/>
                    </w:rPr>
                    <w:t>/</w:t>
                  </w:r>
                </w:p>
              </w:tc>
              <w:tc>
                <w:tcPr>
                  <w:tcW w:w="235" w:type="pct"/>
                  <w:noWrap w:val="0"/>
                  <w:vAlign w:val="center"/>
                </w:tcPr>
                <w:p w14:paraId="5A6745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rPr>
                    <w:t>300</w:t>
                  </w:r>
                </w:p>
              </w:tc>
            </w:tr>
            <w:tr w14:paraId="211D9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restart"/>
                  <w:noWrap w:val="0"/>
                  <w:vAlign w:val="center"/>
                </w:tcPr>
                <w:p w14:paraId="5077586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注塑</w:t>
                  </w:r>
                </w:p>
              </w:tc>
              <w:tc>
                <w:tcPr>
                  <w:tcW w:w="189" w:type="pct"/>
                  <w:vMerge w:val="restart"/>
                  <w:noWrap w:val="0"/>
                  <w:vAlign w:val="center"/>
                </w:tcPr>
                <w:p w14:paraId="28E1602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vertAlign w:val="subscript"/>
                      <w:lang w:val="en-US" w:eastAsia="zh-CN"/>
                    </w:rPr>
                    <w:t>1-</w:t>
                  </w:r>
                  <w:r>
                    <w:rPr>
                      <w:rFonts w:hint="eastAsia" w:cs="Times New Roman"/>
                      <w:bCs/>
                      <w:color w:val="auto"/>
                      <w:sz w:val="21"/>
                      <w:szCs w:val="21"/>
                      <w:vertAlign w:val="subscript"/>
                      <w:lang w:val="en-US" w:eastAsia="zh-CN"/>
                    </w:rPr>
                    <w:t>6</w:t>
                  </w:r>
                </w:p>
              </w:tc>
              <w:tc>
                <w:tcPr>
                  <w:tcW w:w="266" w:type="pct"/>
                  <w:noWrap w:val="0"/>
                  <w:vAlign w:val="center"/>
                </w:tcPr>
                <w:p w14:paraId="4EDF2CB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有组织</w:t>
                  </w:r>
                </w:p>
              </w:tc>
              <w:tc>
                <w:tcPr>
                  <w:tcW w:w="373" w:type="pct"/>
                  <w:vMerge w:val="restart"/>
                  <w:noWrap w:val="0"/>
                  <w:vAlign w:val="center"/>
                </w:tcPr>
                <w:p w14:paraId="2E3470E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非甲烷总烃</w:t>
                  </w:r>
                </w:p>
              </w:tc>
              <w:tc>
                <w:tcPr>
                  <w:tcW w:w="277" w:type="pct"/>
                  <w:vMerge w:val="restart"/>
                  <w:noWrap w:val="0"/>
                  <w:vAlign w:val="center"/>
                </w:tcPr>
                <w:p w14:paraId="36946B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27" w:type="pct"/>
                  <w:noWrap w:val="0"/>
                  <w:vAlign w:val="center"/>
                </w:tcPr>
                <w:p w14:paraId="44433F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65</w:t>
                  </w:r>
                  <w:r>
                    <w:rPr>
                      <w:rFonts w:hint="eastAsia" w:ascii="Times New Roman" w:hAnsi="Times New Roman" w:eastAsia="宋体" w:cs="Times New Roman"/>
                      <w:bCs/>
                      <w:color w:val="auto"/>
                      <w:sz w:val="21"/>
                      <w:szCs w:val="21"/>
                      <w:lang w:val="en-US" w:eastAsia="zh-CN"/>
                    </w:rPr>
                    <w:t>00</w:t>
                  </w:r>
                </w:p>
              </w:tc>
              <w:tc>
                <w:tcPr>
                  <w:tcW w:w="327" w:type="pct"/>
                  <w:noWrap w:val="0"/>
                  <w:vAlign w:val="center"/>
                </w:tcPr>
                <w:p w14:paraId="1CB608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28.327</w:t>
                  </w:r>
                </w:p>
              </w:tc>
              <w:tc>
                <w:tcPr>
                  <w:tcW w:w="313" w:type="pct"/>
                  <w:noWrap w:val="0"/>
                  <w:vAlign w:val="center"/>
                </w:tcPr>
                <w:p w14:paraId="1C38F4D7">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0.184</w:t>
                  </w:r>
                </w:p>
              </w:tc>
              <w:tc>
                <w:tcPr>
                  <w:tcW w:w="281" w:type="pct"/>
                  <w:noWrap w:val="0"/>
                  <w:vAlign w:val="center"/>
                </w:tcPr>
                <w:p w14:paraId="2B733678">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0.442</w:t>
                  </w:r>
                </w:p>
              </w:tc>
              <w:tc>
                <w:tcPr>
                  <w:tcW w:w="505" w:type="pct"/>
                  <w:noWrap w:val="0"/>
                  <w:vAlign w:val="center"/>
                </w:tcPr>
                <w:p w14:paraId="580F1EF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二级活性炭吸附装置</w:t>
                  </w:r>
                </w:p>
              </w:tc>
              <w:tc>
                <w:tcPr>
                  <w:tcW w:w="197" w:type="pct"/>
                  <w:noWrap w:val="0"/>
                  <w:vAlign w:val="center"/>
                </w:tcPr>
                <w:p w14:paraId="32008A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90%</w:t>
                  </w:r>
                </w:p>
              </w:tc>
              <w:tc>
                <w:tcPr>
                  <w:tcW w:w="257" w:type="pct"/>
                  <w:vMerge w:val="restart"/>
                  <w:noWrap w:val="0"/>
                  <w:vAlign w:val="center"/>
                </w:tcPr>
                <w:p w14:paraId="24055A9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13" w:type="pct"/>
                  <w:noWrap w:val="0"/>
                  <w:vAlign w:val="center"/>
                </w:tcPr>
                <w:p w14:paraId="75073B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w:t>
                  </w:r>
                  <w:r>
                    <w:rPr>
                      <w:rFonts w:hint="eastAsia" w:ascii="Times New Roman" w:hAnsi="Times New Roman" w:eastAsia="宋体" w:cs="Times New Roman"/>
                      <w:i w:val="0"/>
                      <w:iCs w:val="0"/>
                      <w:color w:val="auto"/>
                      <w:kern w:val="0"/>
                      <w:sz w:val="21"/>
                      <w:szCs w:val="21"/>
                      <w:u w:val="none"/>
                      <w:lang w:val="en-US" w:eastAsia="zh-CN" w:bidi="ar"/>
                    </w:rPr>
                    <w:t>00</w:t>
                  </w:r>
                </w:p>
              </w:tc>
              <w:tc>
                <w:tcPr>
                  <w:tcW w:w="313" w:type="pct"/>
                  <w:shd w:val="clear" w:color="auto" w:fill="auto"/>
                  <w:noWrap w:val="0"/>
                  <w:vAlign w:val="center"/>
                </w:tcPr>
                <w:p w14:paraId="29FE6F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1"/>
                      <w:szCs w:val="22"/>
                      <w:u w:val="none"/>
                      <w:lang w:val="en-US" w:eastAsia="zh-CN" w:bidi="ar"/>
                    </w:rPr>
                    <w:t>2.833</w:t>
                  </w:r>
                </w:p>
              </w:tc>
              <w:tc>
                <w:tcPr>
                  <w:tcW w:w="325" w:type="pct"/>
                  <w:shd w:val="clear" w:color="auto" w:fill="auto"/>
                  <w:noWrap w:val="0"/>
                  <w:vAlign w:val="center"/>
                </w:tcPr>
                <w:p w14:paraId="2A0BF5A3">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18</w:t>
                  </w:r>
                </w:p>
              </w:tc>
              <w:tc>
                <w:tcPr>
                  <w:tcW w:w="307" w:type="pct"/>
                  <w:shd w:val="clear" w:color="auto" w:fill="auto"/>
                  <w:noWrap w:val="0"/>
                  <w:vAlign w:val="center"/>
                </w:tcPr>
                <w:p w14:paraId="566A7FC3">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0.044</w:t>
                  </w:r>
                </w:p>
              </w:tc>
              <w:tc>
                <w:tcPr>
                  <w:tcW w:w="235" w:type="pct"/>
                  <w:vMerge w:val="restart"/>
                  <w:noWrap w:val="0"/>
                  <w:vAlign w:val="center"/>
                </w:tcPr>
                <w:p w14:paraId="3BFC5A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24</w:t>
                  </w:r>
                  <w:r>
                    <w:rPr>
                      <w:rFonts w:hint="eastAsia" w:ascii="Times New Roman" w:hAnsi="Times New Roman" w:eastAsia="宋体" w:cs="Times New Roman"/>
                      <w:bCs/>
                      <w:color w:val="auto"/>
                      <w:kern w:val="0"/>
                      <w:sz w:val="21"/>
                      <w:szCs w:val="21"/>
                      <w:lang w:val="en-US" w:eastAsia="zh-CN" w:bidi="ar"/>
                    </w:rPr>
                    <w:t>00</w:t>
                  </w:r>
                </w:p>
              </w:tc>
            </w:tr>
            <w:tr w14:paraId="7E2B33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vMerge w:val="continue"/>
                  <w:noWrap w:val="0"/>
                  <w:vAlign w:val="center"/>
                </w:tcPr>
                <w:p w14:paraId="05A2127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189" w:type="pct"/>
                  <w:vMerge w:val="continue"/>
                  <w:noWrap w:val="0"/>
                  <w:vAlign w:val="center"/>
                </w:tcPr>
                <w:p w14:paraId="3BDEE0A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p>
              </w:tc>
              <w:tc>
                <w:tcPr>
                  <w:tcW w:w="266" w:type="pct"/>
                  <w:noWrap w:val="0"/>
                  <w:vAlign w:val="center"/>
                </w:tcPr>
                <w:p w14:paraId="6A95F42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无组织</w:t>
                  </w:r>
                </w:p>
              </w:tc>
              <w:tc>
                <w:tcPr>
                  <w:tcW w:w="373" w:type="pct"/>
                  <w:vMerge w:val="continue"/>
                  <w:noWrap w:val="0"/>
                  <w:vAlign w:val="center"/>
                </w:tcPr>
                <w:p w14:paraId="0386544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77" w:type="pct"/>
                  <w:vMerge w:val="continue"/>
                  <w:noWrap w:val="0"/>
                  <w:vAlign w:val="center"/>
                </w:tcPr>
                <w:p w14:paraId="0B6D3F3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27" w:type="pct"/>
                  <w:noWrap w:val="0"/>
                  <w:vAlign w:val="center"/>
                </w:tcPr>
                <w:p w14:paraId="171584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0117C7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13" w:type="pct"/>
                  <w:noWrap w:val="0"/>
                  <w:vAlign w:val="center"/>
                </w:tcPr>
                <w:p w14:paraId="5383B50B">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2</w:t>
                  </w:r>
                </w:p>
              </w:tc>
              <w:tc>
                <w:tcPr>
                  <w:tcW w:w="281" w:type="pct"/>
                  <w:noWrap w:val="0"/>
                  <w:vAlign w:val="center"/>
                </w:tcPr>
                <w:p w14:paraId="6CB1A5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Times New Roman"/>
                      <w:bCs/>
                      <w:color w:val="auto"/>
                      <w:kern w:val="0"/>
                      <w:sz w:val="21"/>
                      <w:szCs w:val="21"/>
                      <w:lang w:val="en-US" w:eastAsia="zh-CN"/>
                    </w:rPr>
                    <w:t>0.049</w:t>
                  </w:r>
                </w:p>
              </w:tc>
              <w:tc>
                <w:tcPr>
                  <w:tcW w:w="505" w:type="pct"/>
                  <w:noWrap w:val="0"/>
                  <w:vAlign w:val="center"/>
                </w:tcPr>
                <w:p w14:paraId="52C174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197" w:type="pct"/>
                  <w:noWrap w:val="0"/>
                  <w:vAlign w:val="center"/>
                </w:tcPr>
                <w:p w14:paraId="21188F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257" w:type="pct"/>
                  <w:vMerge w:val="continue"/>
                  <w:noWrap w:val="0"/>
                  <w:vAlign w:val="center"/>
                </w:tcPr>
                <w:p w14:paraId="57BB23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5C16DA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13" w:type="pct"/>
                  <w:shd w:val="clear" w:color="auto" w:fill="auto"/>
                  <w:noWrap w:val="0"/>
                  <w:vAlign w:val="center"/>
                </w:tcPr>
                <w:p w14:paraId="24C6F2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25" w:type="pct"/>
                  <w:shd w:val="clear" w:color="auto" w:fill="auto"/>
                  <w:noWrap w:val="0"/>
                  <w:vAlign w:val="center"/>
                </w:tcPr>
                <w:p w14:paraId="6F79FD82">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2</w:t>
                  </w:r>
                </w:p>
              </w:tc>
              <w:tc>
                <w:tcPr>
                  <w:tcW w:w="307" w:type="pct"/>
                  <w:shd w:val="clear" w:color="auto" w:fill="auto"/>
                  <w:noWrap w:val="0"/>
                  <w:vAlign w:val="center"/>
                </w:tcPr>
                <w:p w14:paraId="143B3B7E">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0.049</w:t>
                  </w:r>
                </w:p>
              </w:tc>
              <w:tc>
                <w:tcPr>
                  <w:tcW w:w="235" w:type="pct"/>
                  <w:vMerge w:val="continue"/>
                  <w:noWrap w:val="0"/>
                  <w:vAlign w:val="center"/>
                </w:tcPr>
                <w:p w14:paraId="43173F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r w14:paraId="2DDF3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87" w:type="pct"/>
                  <w:noWrap w:val="0"/>
                  <w:vAlign w:val="center"/>
                </w:tcPr>
                <w:p w14:paraId="50850E4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破碎</w:t>
                  </w:r>
                </w:p>
              </w:tc>
              <w:tc>
                <w:tcPr>
                  <w:tcW w:w="189" w:type="pct"/>
                  <w:noWrap w:val="0"/>
                  <w:vAlign w:val="center"/>
                </w:tcPr>
                <w:p w14:paraId="72C7B01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vertAlign w:val="subscript"/>
                      <w:lang w:val="en-US" w:eastAsia="zh-CN"/>
                    </w:rPr>
                    <w:t>1-</w:t>
                  </w:r>
                  <w:r>
                    <w:rPr>
                      <w:rFonts w:hint="eastAsia" w:cs="Times New Roman"/>
                      <w:bCs/>
                      <w:color w:val="auto"/>
                      <w:sz w:val="21"/>
                      <w:szCs w:val="21"/>
                      <w:vertAlign w:val="subscript"/>
                      <w:lang w:val="en-US" w:eastAsia="zh-CN"/>
                    </w:rPr>
                    <w:t>7</w:t>
                  </w:r>
                </w:p>
              </w:tc>
              <w:tc>
                <w:tcPr>
                  <w:tcW w:w="266" w:type="pct"/>
                  <w:noWrap w:val="0"/>
                  <w:vAlign w:val="center"/>
                </w:tcPr>
                <w:p w14:paraId="16BFD96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无组织</w:t>
                  </w:r>
                </w:p>
              </w:tc>
              <w:tc>
                <w:tcPr>
                  <w:tcW w:w="373" w:type="pct"/>
                  <w:noWrap w:val="0"/>
                  <w:vAlign w:val="center"/>
                </w:tcPr>
                <w:p w14:paraId="596FCE3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颗粒物</w:t>
                  </w:r>
                </w:p>
              </w:tc>
              <w:tc>
                <w:tcPr>
                  <w:tcW w:w="277" w:type="pct"/>
                  <w:noWrap w:val="0"/>
                  <w:vAlign w:val="center"/>
                </w:tcPr>
                <w:p w14:paraId="625F62F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产污系数法</w:t>
                  </w:r>
                </w:p>
              </w:tc>
              <w:tc>
                <w:tcPr>
                  <w:tcW w:w="327" w:type="pct"/>
                  <w:noWrap w:val="0"/>
                  <w:vAlign w:val="center"/>
                </w:tcPr>
                <w:p w14:paraId="5CFDE4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27" w:type="pct"/>
                  <w:noWrap w:val="0"/>
                  <w:vAlign w:val="center"/>
                </w:tcPr>
                <w:p w14:paraId="0AE4BB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313" w:type="pct"/>
                  <w:noWrap w:val="0"/>
                  <w:vAlign w:val="center"/>
                </w:tcPr>
                <w:p w14:paraId="23F95DF2">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01</w:t>
                  </w:r>
                </w:p>
              </w:tc>
              <w:tc>
                <w:tcPr>
                  <w:tcW w:w="281" w:type="pct"/>
                  <w:noWrap w:val="0"/>
                  <w:vAlign w:val="center"/>
                </w:tcPr>
                <w:p w14:paraId="5794752A">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01</w:t>
                  </w:r>
                </w:p>
              </w:tc>
              <w:tc>
                <w:tcPr>
                  <w:tcW w:w="505" w:type="pct"/>
                  <w:noWrap w:val="0"/>
                  <w:vAlign w:val="center"/>
                </w:tcPr>
                <w:p w14:paraId="21A2378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197" w:type="pct"/>
                  <w:noWrap w:val="0"/>
                  <w:vAlign w:val="center"/>
                </w:tcPr>
                <w:p w14:paraId="4075DD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w:t>
                  </w:r>
                </w:p>
              </w:tc>
              <w:tc>
                <w:tcPr>
                  <w:tcW w:w="257" w:type="pct"/>
                  <w:noWrap w:val="0"/>
                  <w:vAlign w:val="center"/>
                </w:tcPr>
                <w:p w14:paraId="19182D6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产污系数法</w:t>
                  </w:r>
                </w:p>
              </w:tc>
              <w:tc>
                <w:tcPr>
                  <w:tcW w:w="313" w:type="pct"/>
                  <w:noWrap w:val="0"/>
                  <w:vAlign w:val="center"/>
                </w:tcPr>
                <w:p w14:paraId="3E573F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13" w:type="pct"/>
                  <w:shd w:val="clear" w:color="auto" w:fill="auto"/>
                  <w:noWrap w:val="0"/>
                  <w:vAlign w:val="center"/>
                </w:tcPr>
                <w:p w14:paraId="14E825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325" w:type="pct"/>
                  <w:shd w:val="clear" w:color="auto" w:fill="auto"/>
                  <w:noWrap w:val="0"/>
                  <w:vAlign w:val="center"/>
                </w:tcPr>
                <w:p w14:paraId="19EA5D92">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01</w:t>
                  </w:r>
                </w:p>
              </w:tc>
              <w:tc>
                <w:tcPr>
                  <w:tcW w:w="307" w:type="pct"/>
                  <w:shd w:val="clear" w:color="auto" w:fill="auto"/>
                  <w:noWrap w:val="0"/>
                  <w:vAlign w:val="center"/>
                </w:tcPr>
                <w:p w14:paraId="67CDCD67">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01</w:t>
                  </w:r>
                </w:p>
              </w:tc>
              <w:tc>
                <w:tcPr>
                  <w:tcW w:w="235" w:type="pct"/>
                  <w:noWrap w:val="0"/>
                  <w:vAlign w:val="center"/>
                </w:tcPr>
                <w:p w14:paraId="35176F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12</w:t>
                  </w:r>
                  <w:r>
                    <w:rPr>
                      <w:rFonts w:hint="eastAsia" w:ascii="Times New Roman" w:hAnsi="Times New Roman" w:eastAsia="宋体" w:cs="Times New Roman"/>
                      <w:bCs/>
                      <w:color w:val="auto"/>
                      <w:kern w:val="0"/>
                      <w:sz w:val="21"/>
                      <w:szCs w:val="21"/>
                      <w:lang w:val="en-US" w:eastAsia="zh-CN" w:bidi="ar"/>
                    </w:rPr>
                    <w:t>00</w:t>
                  </w:r>
                </w:p>
              </w:tc>
            </w:tr>
          </w:tbl>
          <w:p w14:paraId="00B646C4">
            <w:pPr>
              <w:widowControl/>
              <w:adjustRightInd w:val="0"/>
              <w:snapToGrid w:val="0"/>
              <w:spacing w:line="240" w:lineRule="auto"/>
              <w:ind w:firstLine="0" w:firstLineChars="0"/>
              <w:rPr>
                <w:rFonts w:hint="default" w:ascii="Times New Roman" w:hAnsi="Times New Roman" w:eastAsia="宋体" w:cs="Times New Roman"/>
                <w:bCs/>
                <w:color w:val="auto"/>
                <w:kern w:val="0"/>
                <w:sz w:val="18"/>
                <w:szCs w:val="18"/>
              </w:rPr>
            </w:pPr>
          </w:p>
          <w:p w14:paraId="4BF56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表4-2</w:t>
            </w:r>
            <w:r>
              <w:rPr>
                <w:rFonts w:hint="eastAsia" w:cs="Times New Roman"/>
                <w:b/>
                <w:color w:val="auto"/>
                <w:kern w:val="0"/>
                <w:sz w:val="21"/>
                <w:szCs w:val="21"/>
                <w:lang w:val="en-US" w:eastAsia="zh-CN"/>
              </w:rPr>
              <w:t xml:space="preserve">  本项目建成后</w:t>
            </w:r>
            <w:r>
              <w:rPr>
                <w:rFonts w:hint="default" w:ascii="Times New Roman" w:hAnsi="Times New Roman" w:eastAsia="宋体" w:cs="Times New Roman"/>
                <w:b/>
                <w:color w:val="auto"/>
                <w:kern w:val="0"/>
                <w:sz w:val="21"/>
                <w:szCs w:val="21"/>
              </w:rPr>
              <w:t>有组织废气污染源源强核算结果及相关参数一览表</w:t>
            </w:r>
          </w:p>
          <w:tbl>
            <w:tblPr>
              <w:tblStyle w:val="22"/>
              <w:tblW w:w="15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36"/>
              <w:gridCol w:w="1109"/>
              <w:gridCol w:w="1006"/>
              <w:gridCol w:w="681"/>
              <w:gridCol w:w="1189"/>
              <w:gridCol w:w="982"/>
              <w:gridCol w:w="853"/>
              <w:gridCol w:w="1084"/>
              <w:gridCol w:w="683"/>
              <w:gridCol w:w="681"/>
              <w:gridCol w:w="1189"/>
              <w:gridCol w:w="982"/>
              <w:gridCol w:w="820"/>
              <w:gridCol w:w="1189"/>
              <w:gridCol w:w="983"/>
              <w:gridCol w:w="668"/>
            </w:tblGrid>
            <w:tr w14:paraId="43F52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restart"/>
                  <w:noWrap/>
                  <w:vAlign w:val="center"/>
                </w:tcPr>
                <w:p w14:paraId="473960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1109" w:type="dxa"/>
                  <w:vMerge w:val="restart"/>
                  <w:noWrap/>
                  <w:vAlign w:val="center"/>
                </w:tcPr>
                <w:p w14:paraId="774E56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1006" w:type="dxa"/>
                  <w:vMerge w:val="restart"/>
                  <w:noWrap/>
                  <w:vAlign w:val="center"/>
                </w:tcPr>
                <w:p w14:paraId="74CC0D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681" w:type="dxa"/>
                  <w:vMerge w:val="restart"/>
                  <w:noWrap/>
                  <w:vAlign w:val="center"/>
                </w:tcPr>
                <w:p w14:paraId="30D4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0C77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024" w:type="dxa"/>
                  <w:gridSpan w:val="3"/>
                  <w:noWrap/>
                  <w:vAlign w:val="center"/>
                </w:tcPr>
                <w:p w14:paraId="60C6B0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产生情况</w:t>
                  </w:r>
                </w:p>
              </w:tc>
              <w:tc>
                <w:tcPr>
                  <w:tcW w:w="1767" w:type="dxa"/>
                  <w:gridSpan w:val="2"/>
                  <w:noWrap/>
                  <w:vAlign w:val="center"/>
                </w:tcPr>
                <w:p w14:paraId="78BA90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681" w:type="dxa"/>
                  <w:vMerge w:val="restart"/>
                  <w:noWrap/>
                  <w:vAlign w:val="center"/>
                </w:tcPr>
                <w:p w14:paraId="1604A6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FABE1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2991" w:type="dxa"/>
                  <w:gridSpan w:val="3"/>
                  <w:noWrap/>
                  <w:vAlign w:val="center"/>
                </w:tcPr>
                <w:p w14:paraId="03F57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排放情况</w:t>
                  </w:r>
                </w:p>
              </w:tc>
              <w:tc>
                <w:tcPr>
                  <w:tcW w:w="2172" w:type="dxa"/>
                  <w:gridSpan w:val="2"/>
                  <w:noWrap/>
                  <w:vAlign w:val="center"/>
                </w:tcPr>
                <w:p w14:paraId="66269C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执行标准</w:t>
                  </w:r>
                </w:p>
              </w:tc>
              <w:tc>
                <w:tcPr>
                  <w:tcW w:w="668" w:type="dxa"/>
                  <w:vMerge w:val="restart"/>
                  <w:noWrap w:val="0"/>
                  <w:vAlign w:val="center"/>
                </w:tcPr>
                <w:p w14:paraId="552485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29B0168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rPr>
                    <w:t>（h）</w:t>
                  </w:r>
                </w:p>
              </w:tc>
            </w:tr>
            <w:tr w14:paraId="7F45F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continue"/>
                  <w:noWrap/>
                  <w:vAlign w:val="center"/>
                </w:tcPr>
                <w:p w14:paraId="184054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09" w:type="dxa"/>
                  <w:vMerge w:val="continue"/>
                  <w:noWrap/>
                  <w:vAlign w:val="center"/>
                </w:tcPr>
                <w:p w14:paraId="46D7BE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006" w:type="dxa"/>
                  <w:vMerge w:val="continue"/>
                  <w:noWrap/>
                  <w:vAlign w:val="center"/>
                </w:tcPr>
                <w:p w14:paraId="604991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81" w:type="dxa"/>
                  <w:vMerge w:val="continue"/>
                  <w:noWrap/>
                  <w:vAlign w:val="center"/>
                </w:tcPr>
                <w:p w14:paraId="6F563C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535DD0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743E8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53" w:type="dxa"/>
                  <w:noWrap/>
                  <w:vAlign w:val="center"/>
                </w:tcPr>
                <w:p w14:paraId="4E265B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产生量（t/a）</w:t>
                  </w:r>
                </w:p>
              </w:tc>
              <w:tc>
                <w:tcPr>
                  <w:tcW w:w="1084" w:type="dxa"/>
                  <w:noWrap/>
                  <w:vAlign w:val="center"/>
                </w:tcPr>
                <w:p w14:paraId="5CE14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683" w:type="dxa"/>
                  <w:noWrap/>
                  <w:vAlign w:val="center"/>
                </w:tcPr>
                <w:p w14:paraId="0F6B27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681" w:type="dxa"/>
                  <w:vMerge w:val="continue"/>
                  <w:noWrap/>
                  <w:vAlign w:val="center"/>
                </w:tcPr>
                <w:p w14:paraId="112017A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7CAD4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0C328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20" w:type="dxa"/>
                  <w:noWrap/>
                  <w:vAlign w:val="center"/>
                </w:tcPr>
                <w:p w14:paraId="044B5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排放量（t/a）</w:t>
                  </w:r>
                </w:p>
              </w:tc>
              <w:tc>
                <w:tcPr>
                  <w:tcW w:w="1189" w:type="dxa"/>
                  <w:noWrap/>
                  <w:vAlign w:val="center"/>
                </w:tcPr>
                <w:p w14:paraId="18003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3" w:type="dxa"/>
                  <w:noWrap/>
                  <w:vAlign w:val="center"/>
                </w:tcPr>
                <w:p w14:paraId="19F1F5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668" w:type="dxa"/>
                  <w:vMerge w:val="continue"/>
                  <w:noWrap w:val="0"/>
                  <w:vAlign w:val="center"/>
                </w:tcPr>
                <w:p w14:paraId="3147EC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09F724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restart"/>
                  <w:noWrap/>
                  <w:vAlign w:val="center"/>
                </w:tcPr>
                <w:p w14:paraId="4475DC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DA001</w:t>
                  </w:r>
                </w:p>
              </w:tc>
              <w:tc>
                <w:tcPr>
                  <w:tcW w:w="1109" w:type="dxa"/>
                  <w:noWrap/>
                  <w:vAlign w:val="center"/>
                </w:tcPr>
                <w:p w14:paraId="7977718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val="en-US" w:eastAsia="zh-CN"/>
                    </w:rPr>
                    <w:t>非甲烷总烃</w:t>
                  </w:r>
                </w:p>
              </w:tc>
              <w:tc>
                <w:tcPr>
                  <w:tcW w:w="1006" w:type="dxa"/>
                  <w:noWrap/>
                  <w:vAlign w:val="center"/>
                </w:tcPr>
                <w:p w14:paraId="2BA63E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rPr>
                  </w:pPr>
                  <w:r>
                    <w:rPr>
                      <w:rFonts w:hint="eastAsia" w:cs="Times New Roman"/>
                      <w:b w:val="0"/>
                      <w:bCs/>
                      <w:color w:val="auto"/>
                      <w:kern w:val="0"/>
                      <w:sz w:val="21"/>
                      <w:szCs w:val="21"/>
                      <w:lang w:val="en-US" w:eastAsia="zh-CN" w:bidi="ar"/>
                    </w:rPr>
                    <w:t>120</w:t>
                  </w:r>
                  <w:r>
                    <w:rPr>
                      <w:rFonts w:hint="eastAsia" w:ascii="Times New Roman" w:hAnsi="Times New Roman" w:eastAsia="宋体" w:cs="Times New Roman"/>
                      <w:b w:val="0"/>
                      <w:bCs/>
                      <w:color w:val="auto"/>
                      <w:kern w:val="0"/>
                      <w:sz w:val="21"/>
                      <w:szCs w:val="21"/>
                      <w:lang w:val="en-US" w:eastAsia="zh-CN" w:bidi="ar"/>
                    </w:rPr>
                    <w:t>00</w:t>
                  </w:r>
                </w:p>
              </w:tc>
              <w:tc>
                <w:tcPr>
                  <w:tcW w:w="681" w:type="dxa"/>
                  <w:noWrap/>
                  <w:vAlign w:val="center"/>
                </w:tcPr>
                <w:p w14:paraId="7FAB742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kern w:val="0"/>
                      <w:sz w:val="21"/>
                      <w:szCs w:val="21"/>
                    </w:rPr>
                    <w:t>产污系数法</w:t>
                  </w:r>
                  <w:r>
                    <w:rPr>
                      <w:rFonts w:hint="eastAsia" w:ascii="Times New Roman" w:hAnsi="Times New Roman" w:eastAsia="宋体" w:cs="Times New Roman"/>
                      <w:b w:val="0"/>
                      <w:bCs/>
                      <w:color w:val="auto"/>
                      <w:kern w:val="0"/>
                      <w:sz w:val="21"/>
                      <w:szCs w:val="21"/>
                      <w:lang w:val="en-US" w:eastAsia="zh-CN"/>
                    </w:rPr>
                    <w:t>/</w:t>
                  </w:r>
                  <w:r>
                    <w:rPr>
                      <w:rFonts w:hint="eastAsia" w:ascii="Times New Roman" w:hAnsi="Times New Roman" w:eastAsia="宋体" w:cs="Times New Roman"/>
                      <w:bCs/>
                      <w:color w:val="auto"/>
                      <w:kern w:val="0"/>
                      <w:sz w:val="21"/>
                      <w:szCs w:val="21"/>
                      <w:lang w:val="en-US" w:eastAsia="zh-CN"/>
                    </w:rPr>
                    <w:t>物料平衡法</w:t>
                  </w:r>
                </w:p>
              </w:tc>
              <w:tc>
                <w:tcPr>
                  <w:tcW w:w="1189" w:type="dxa"/>
                  <w:noWrap/>
                  <w:vAlign w:val="center"/>
                </w:tcPr>
                <w:p w14:paraId="628033A6">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1"/>
                      <w:szCs w:val="22"/>
                      <w:u w:val="none"/>
                      <w:lang w:val="en-US" w:eastAsia="zh-CN" w:bidi="ar"/>
                    </w:rPr>
                    <w:t>203.938</w:t>
                  </w:r>
                </w:p>
              </w:tc>
              <w:tc>
                <w:tcPr>
                  <w:tcW w:w="982" w:type="dxa"/>
                  <w:noWrap/>
                  <w:vAlign w:val="center"/>
                </w:tcPr>
                <w:p w14:paraId="3AAAE51C">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1"/>
                      <w:szCs w:val="22"/>
                      <w:u w:val="none"/>
                      <w:lang w:val="en-US" w:eastAsia="zh-CN" w:bidi="ar"/>
                    </w:rPr>
                    <w:t>2.447</w:t>
                  </w:r>
                </w:p>
              </w:tc>
              <w:tc>
                <w:tcPr>
                  <w:tcW w:w="853" w:type="dxa"/>
                  <w:noWrap/>
                  <w:vAlign w:val="center"/>
                </w:tcPr>
                <w:p w14:paraId="51FC5D1B">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1"/>
                      <w:szCs w:val="22"/>
                      <w:u w:val="none"/>
                      <w:lang w:val="en-US" w:eastAsia="zh-CN" w:bidi="ar"/>
                    </w:rPr>
                    <w:t>5.873</w:t>
                  </w:r>
                </w:p>
              </w:tc>
              <w:tc>
                <w:tcPr>
                  <w:tcW w:w="1084" w:type="dxa"/>
                  <w:noWrap/>
                  <w:vAlign w:val="center"/>
                </w:tcPr>
                <w:p w14:paraId="727DD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rPr>
                  </w:pPr>
                  <w:r>
                    <w:rPr>
                      <w:rFonts w:hint="eastAsia" w:ascii="Times New Roman" w:hAnsi="Times New Roman" w:eastAsia="宋体" w:cs="Times New Roman"/>
                      <w:b w:val="0"/>
                      <w:bCs/>
                      <w:color w:val="auto"/>
                      <w:kern w:val="0"/>
                      <w:sz w:val="21"/>
                      <w:szCs w:val="21"/>
                      <w:lang w:val="en-US" w:eastAsia="zh-CN"/>
                    </w:rPr>
                    <w:t>二级活性炭吸附装置</w:t>
                  </w:r>
                </w:p>
              </w:tc>
              <w:tc>
                <w:tcPr>
                  <w:tcW w:w="683" w:type="dxa"/>
                  <w:noWrap/>
                  <w:vAlign w:val="center"/>
                </w:tcPr>
                <w:p w14:paraId="3BBA7B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90%</w:t>
                  </w:r>
                </w:p>
              </w:tc>
              <w:tc>
                <w:tcPr>
                  <w:tcW w:w="681" w:type="dxa"/>
                  <w:noWrap/>
                  <w:vAlign w:val="center"/>
                </w:tcPr>
                <w:p w14:paraId="5771D2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kern w:val="0"/>
                      <w:sz w:val="21"/>
                      <w:szCs w:val="21"/>
                    </w:rPr>
                    <w:t>产污系数法</w:t>
                  </w:r>
                  <w:r>
                    <w:rPr>
                      <w:rFonts w:hint="eastAsia" w:ascii="Times New Roman" w:hAnsi="Times New Roman" w:eastAsia="宋体" w:cs="Times New Roman"/>
                      <w:b w:val="0"/>
                      <w:bCs/>
                      <w:color w:val="auto"/>
                      <w:kern w:val="0"/>
                      <w:sz w:val="21"/>
                      <w:szCs w:val="21"/>
                      <w:lang w:val="en-US" w:eastAsia="zh-CN"/>
                    </w:rPr>
                    <w:t>/</w:t>
                  </w:r>
                  <w:r>
                    <w:rPr>
                      <w:rFonts w:hint="eastAsia" w:ascii="Times New Roman" w:hAnsi="Times New Roman" w:eastAsia="宋体" w:cs="Times New Roman"/>
                      <w:bCs/>
                      <w:color w:val="auto"/>
                      <w:kern w:val="0"/>
                      <w:sz w:val="21"/>
                      <w:szCs w:val="21"/>
                      <w:lang w:val="en-US" w:eastAsia="zh-CN"/>
                    </w:rPr>
                    <w:t>物料平衡法</w:t>
                  </w:r>
                </w:p>
              </w:tc>
              <w:tc>
                <w:tcPr>
                  <w:tcW w:w="1189" w:type="dxa"/>
                  <w:noWrap/>
                  <w:vAlign w:val="center"/>
                </w:tcPr>
                <w:p w14:paraId="08E57AA7">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1"/>
                      <w:szCs w:val="22"/>
                      <w:u w:val="none"/>
                      <w:lang w:val="en-US" w:eastAsia="zh-CN" w:bidi="ar"/>
                    </w:rPr>
                    <w:t>20.394</w:t>
                  </w:r>
                </w:p>
              </w:tc>
              <w:tc>
                <w:tcPr>
                  <w:tcW w:w="982" w:type="dxa"/>
                  <w:noWrap/>
                  <w:vAlign w:val="center"/>
                </w:tcPr>
                <w:p w14:paraId="6BD9BEEF">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245</w:t>
                  </w:r>
                </w:p>
              </w:tc>
              <w:tc>
                <w:tcPr>
                  <w:tcW w:w="820" w:type="dxa"/>
                  <w:noWrap/>
                  <w:vAlign w:val="center"/>
                </w:tcPr>
                <w:p w14:paraId="6D3471A4">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1"/>
                      <w:szCs w:val="22"/>
                      <w:u w:val="none"/>
                      <w:lang w:val="en-US" w:eastAsia="zh-CN" w:bidi="ar"/>
                    </w:rPr>
                    <w:t>0.587</w:t>
                  </w:r>
                </w:p>
              </w:tc>
              <w:tc>
                <w:tcPr>
                  <w:tcW w:w="1189" w:type="dxa"/>
                  <w:noWrap/>
                  <w:vAlign w:val="center"/>
                </w:tcPr>
                <w:p w14:paraId="4C9F98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60</w:t>
                  </w:r>
                </w:p>
              </w:tc>
              <w:tc>
                <w:tcPr>
                  <w:tcW w:w="983" w:type="dxa"/>
                  <w:noWrap/>
                  <w:vAlign w:val="center"/>
                </w:tcPr>
                <w:p w14:paraId="0107DD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w:t>
                  </w:r>
                </w:p>
              </w:tc>
              <w:tc>
                <w:tcPr>
                  <w:tcW w:w="668" w:type="dxa"/>
                  <w:noWrap w:val="0"/>
                  <w:vAlign w:val="center"/>
                </w:tcPr>
                <w:p w14:paraId="23978A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rPr>
                  </w:pPr>
                  <w:r>
                    <w:rPr>
                      <w:rFonts w:hint="eastAsia" w:cs="Times New Roman"/>
                      <w:bCs/>
                      <w:color w:val="auto"/>
                      <w:kern w:val="0"/>
                      <w:sz w:val="21"/>
                      <w:szCs w:val="21"/>
                      <w:lang w:val="en-US" w:eastAsia="zh-CN" w:bidi="ar"/>
                    </w:rPr>
                    <w:t>24</w:t>
                  </w:r>
                  <w:r>
                    <w:rPr>
                      <w:rFonts w:hint="eastAsia" w:ascii="Times New Roman" w:hAnsi="Times New Roman" w:eastAsia="宋体" w:cs="Times New Roman"/>
                      <w:bCs/>
                      <w:color w:val="auto"/>
                      <w:kern w:val="0"/>
                      <w:sz w:val="21"/>
                      <w:szCs w:val="21"/>
                      <w:lang w:val="en-US" w:eastAsia="zh-CN" w:bidi="ar"/>
                    </w:rPr>
                    <w:t>00</w:t>
                  </w:r>
                </w:p>
              </w:tc>
            </w:tr>
            <w:tr w14:paraId="7C89F7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continue"/>
                  <w:noWrap/>
                  <w:vAlign w:val="center"/>
                </w:tcPr>
                <w:p w14:paraId="453299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1109" w:type="dxa"/>
                  <w:noWrap/>
                  <w:vAlign w:val="center"/>
                </w:tcPr>
                <w:p w14:paraId="33747C0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苯乙烯</w:t>
                  </w:r>
                </w:p>
              </w:tc>
              <w:tc>
                <w:tcPr>
                  <w:tcW w:w="1006" w:type="dxa"/>
                  <w:noWrap/>
                  <w:vAlign w:val="center"/>
                </w:tcPr>
                <w:p w14:paraId="5060C8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120</w:t>
                  </w:r>
                  <w:r>
                    <w:rPr>
                      <w:rFonts w:hint="eastAsia" w:ascii="Times New Roman" w:hAnsi="Times New Roman" w:eastAsia="宋体" w:cs="Times New Roman"/>
                      <w:b w:val="0"/>
                      <w:bCs/>
                      <w:color w:val="auto"/>
                      <w:kern w:val="0"/>
                      <w:sz w:val="21"/>
                      <w:szCs w:val="21"/>
                      <w:lang w:val="en-US" w:eastAsia="zh-CN" w:bidi="ar"/>
                    </w:rPr>
                    <w:t>00</w:t>
                  </w:r>
                </w:p>
              </w:tc>
              <w:tc>
                <w:tcPr>
                  <w:tcW w:w="681" w:type="dxa"/>
                  <w:noWrap/>
                  <w:vAlign w:val="center"/>
                </w:tcPr>
                <w:p w14:paraId="7188C05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1189" w:type="dxa"/>
                  <w:noWrap/>
                  <w:vAlign w:val="center"/>
                </w:tcPr>
                <w:p w14:paraId="29CD94FF">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187.5</w:t>
                  </w:r>
                </w:p>
              </w:tc>
              <w:tc>
                <w:tcPr>
                  <w:tcW w:w="982" w:type="dxa"/>
                  <w:noWrap/>
                  <w:vAlign w:val="center"/>
                </w:tcPr>
                <w:p w14:paraId="7F72EC0D">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2.25</w:t>
                  </w:r>
                </w:p>
              </w:tc>
              <w:tc>
                <w:tcPr>
                  <w:tcW w:w="853" w:type="dxa"/>
                  <w:noWrap/>
                  <w:vAlign w:val="center"/>
                </w:tcPr>
                <w:p w14:paraId="4C503085">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5.4</w:t>
                  </w:r>
                </w:p>
              </w:tc>
              <w:tc>
                <w:tcPr>
                  <w:tcW w:w="1084" w:type="dxa"/>
                  <w:noWrap/>
                  <w:vAlign w:val="center"/>
                </w:tcPr>
                <w:p w14:paraId="781C4D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二级活性炭吸附装置</w:t>
                  </w:r>
                </w:p>
              </w:tc>
              <w:tc>
                <w:tcPr>
                  <w:tcW w:w="683" w:type="dxa"/>
                  <w:noWrap/>
                  <w:vAlign w:val="center"/>
                </w:tcPr>
                <w:p w14:paraId="52C3D7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90%</w:t>
                  </w:r>
                </w:p>
              </w:tc>
              <w:tc>
                <w:tcPr>
                  <w:tcW w:w="681" w:type="dxa"/>
                  <w:noWrap/>
                  <w:vAlign w:val="center"/>
                </w:tcPr>
                <w:p w14:paraId="2B88383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物料平衡法</w:t>
                  </w:r>
                </w:p>
              </w:tc>
              <w:tc>
                <w:tcPr>
                  <w:tcW w:w="1189" w:type="dxa"/>
                  <w:noWrap/>
                  <w:vAlign w:val="center"/>
                </w:tcPr>
                <w:p w14:paraId="309C3538">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18.75</w:t>
                  </w:r>
                </w:p>
              </w:tc>
              <w:tc>
                <w:tcPr>
                  <w:tcW w:w="982" w:type="dxa"/>
                  <w:noWrap/>
                  <w:vAlign w:val="center"/>
                </w:tcPr>
                <w:p w14:paraId="546543C1">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0.225</w:t>
                  </w:r>
                </w:p>
              </w:tc>
              <w:tc>
                <w:tcPr>
                  <w:tcW w:w="820" w:type="dxa"/>
                  <w:noWrap/>
                  <w:vAlign w:val="center"/>
                </w:tcPr>
                <w:p w14:paraId="0A112B65">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w:t>
                  </w:r>
                </w:p>
              </w:tc>
              <w:tc>
                <w:tcPr>
                  <w:tcW w:w="1189" w:type="dxa"/>
                  <w:noWrap/>
                  <w:vAlign w:val="center"/>
                </w:tcPr>
                <w:p w14:paraId="7F44C2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20</w:t>
                  </w:r>
                </w:p>
              </w:tc>
              <w:tc>
                <w:tcPr>
                  <w:tcW w:w="983" w:type="dxa"/>
                  <w:noWrap/>
                  <w:vAlign w:val="center"/>
                </w:tcPr>
                <w:p w14:paraId="7CB42F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w:t>
                  </w:r>
                </w:p>
              </w:tc>
              <w:tc>
                <w:tcPr>
                  <w:tcW w:w="668" w:type="dxa"/>
                  <w:noWrap w:val="0"/>
                  <w:vAlign w:val="center"/>
                </w:tcPr>
                <w:p w14:paraId="07C416F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24</w:t>
                  </w:r>
                  <w:r>
                    <w:rPr>
                      <w:rFonts w:hint="eastAsia" w:ascii="Times New Roman" w:hAnsi="Times New Roman" w:eastAsia="宋体" w:cs="Times New Roman"/>
                      <w:b w:val="0"/>
                      <w:bCs/>
                      <w:color w:val="auto"/>
                      <w:sz w:val="21"/>
                      <w:szCs w:val="21"/>
                      <w:lang w:val="en-US" w:eastAsia="zh-CN"/>
                    </w:rPr>
                    <w:t>00</w:t>
                  </w:r>
                </w:p>
              </w:tc>
            </w:tr>
            <w:tr w14:paraId="54309E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continue"/>
                  <w:noWrap/>
                  <w:vAlign w:val="center"/>
                </w:tcPr>
                <w:p w14:paraId="026DF1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1109" w:type="dxa"/>
                  <w:noWrap/>
                  <w:vAlign w:val="center"/>
                </w:tcPr>
                <w:p w14:paraId="2756DBE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苯系物</w:t>
                  </w:r>
                </w:p>
              </w:tc>
              <w:tc>
                <w:tcPr>
                  <w:tcW w:w="1006" w:type="dxa"/>
                  <w:noWrap/>
                  <w:vAlign w:val="center"/>
                </w:tcPr>
                <w:p w14:paraId="099CBA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120</w:t>
                  </w:r>
                  <w:r>
                    <w:rPr>
                      <w:rFonts w:hint="eastAsia" w:ascii="Times New Roman" w:hAnsi="Times New Roman" w:eastAsia="宋体" w:cs="Times New Roman"/>
                      <w:b w:val="0"/>
                      <w:bCs/>
                      <w:color w:val="auto"/>
                      <w:kern w:val="0"/>
                      <w:sz w:val="21"/>
                      <w:szCs w:val="21"/>
                      <w:lang w:val="en-US" w:eastAsia="zh-CN" w:bidi="ar"/>
                    </w:rPr>
                    <w:t>00</w:t>
                  </w:r>
                </w:p>
              </w:tc>
              <w:tc>
                <w:tcPr>
                  <w:tcW w:w="681" w:type="dxa"/>
                  <w:noWrap/>
                  <w:vAlign w:val="center"/>
                </w:tcPr>
                <w:p w14:paraId="1E302CE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ascii="Times New Roman" w:hAnsi="Times New Roman" w:eastAsia="宋体" w:cs="Times New Roman"/>
                      <w:bCs/>
                      <w:color w:val="auto"/>
                      <w:kern w:val="0"/>
                      <w:sz w:val="21"/>
                      <w:szCs w:val="21"/>
                      <w:lang w:val="en-US" w:eastAsia="zh-CN"/>
                    </w:rPr>
                    <w:t>物料平衡法</w:t>
                  </w:r>
                </w:p>
              </w:tc>
              <w:tc>
                <w:tcPr>
                  <w:tcW w:w="1189" w:type="dxa"/>
                  <w:noWrap/>
                  <w:vAlign w:val="center"/>
                </w:tcPr>
                <w:p w14:paraId="5AD47996">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187.5</w:t>
                  </w:r>
                </w:p>
              </w:tc>
              <w:tc>
                <w:tcPr>
                  <w:tcW w:w="982" w:type="dxa"/>
                  <w:noWrap/>
                  <w:vAlign w:val="center"/>
                </w:tcPr>
                <w:p w14:paraId="59995B7F">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2.25</w:t>
                  </w:r>
                </w:p>
              </w:tc>
              <w:tc>
                <w:tcPr>
                  <w:tcW w:w="853" w:type="dxa"/>
                  <w:noWrap/>
                  <w:vAlign w:val="center"/>
                </w:tcPr>
                <w:p w14:paraId="686796A6">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5.4</w:t>
                  </w:r>
                </w:p>
              </w:tc>
              <w:tc>
                <w:tcPr>
                  <w:tcW w:w="1084" w:type="dxa"/>
                  <w:noWrap/>
                  <w:vAlign w:val="center"/>
                </w:tcPr>
                <w:p w14:paraId="725A50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二级活性炭吸附装置</w:t>
                  </w:r>
                </w:p>
              </w:tc>
              <w:tc>
                <w:tcPr>
                  <w:tcW w:w="683" w:type="dxa"/>
                  <w:noWrap/>
                  <w:vAlign w:val="center"/>
                </w:tcPr>
                <w:p w14:paraId="78DB3E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90%</w:t>
                  </w:r>
                </w:p>
              </w:tc>
              <w:tc>
                <w:tcPr>
                  <w:tcW w:w="681" w:type="dxa"/>
                  <w:noWrap/>
                  <w:vAlign w:val="center"/>
                </w:tcPr>
                <w:p w14:paraId="5685A41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物料平衡法</w:t>
                  </w:r>
                </w:p>
              </w:tc>
              <w:tc>
                <w:tcPr>
                  <w:tcW w:w="1189" w:type="dxa"/>
                  <w:noWrap/>
                  <w:vAlign w:val="center"/>
                </w:tcPr>
                <w:p w14:paraId="2273B964">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18.75</w:t>
                  </w:r>
                </w:p>
              </w:tc>
              <w:tc>
                <w:tcPr>
                  <w:tcW w:w="982" w:type="dxa"/>
                  <w:noWrap/>
                  <w:vAlign w:val="center"/>
                </w:tcPr>
                <w:p w14:paraId="461390F6">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0.225</w:t>
                  </w:r>
                </w:p>
              </w:tc>
              <w:tc>
                <w:tcPr>
                  <w:tcW w:w="820" w:type="dxa"/>
                  <w:noWrap/>
                  <w:vAlign w:val="center"/>
                </w:tcPr>
                <w:p w14:paraId="14E386C3">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w:t>
                  </w:r>
                </w:p>
              </w:tc>
              <w:tc>
                <w:tcPr>
                  <w:tcW w:w="1189" w:type="dxa"/>
                  <w:noWrap/>
                  <w:vAlign w:val="center"/>
                </w:tcPr>
                <w:p w14:paraId="27E72A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20</w:t>
                  </w:r>
                </w:p>
              </w:tc>
              <w:tc>
                <w:tcPr>
                  <w:tcW w:w="983" w:type="dxa"/>
                  <w:noWrap/>
                  <w:vAlign w:val="center"/>
                </w:tcPr>
                <w:p w14:paraId="666044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1.6</w:t>
                  </w:r>
                </w:p>
              </w:tc>
              <w:tc>
                <w:tcPr>
                  <w:tcW w:w="668" w:type="dxa"/>
                  <w:noWrap w:val="0"/>
                  <w:vAlign w:val="center"/>
                </w:tcPr>
                <w:p w14:paraId="7D52F2B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24</w:t>
                  </w:r>
                  <w:r>
                    <w:rPr>
                      <w:rFonts w:hint="eastAsia" w:ascii="Times New Roman" w:hAnsi="Times New Roman" w:eastAsia="宋体" w:cs="Times New Roman"/>
                      <w:b w:val="0"/>
                      <w:bCs/>
                      <w:color w:val="auto"/>
                      <w:sz w:val="21"/>
                      <w:szCs w:val="21"/>
                      <w:lang w:val="en-US" w:eastAsia="zh-CN"/>
                    </w:rPr>
                    <w:t>00</w:t>
                  </w:r>
                </w:p>
              </w:tc>
            </w:tr>
            <w:tr w14:paraId="1BD74D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noWrap/>
                  <w:vAlign w:val="center"/>
                </w:tcPr>
                <w:p w14:paraId="04C404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DA002</w:t>
                  </w:r>
                </w:p>
              </w:tc>
              <w:tc>
                <w:tcPr>
                  <w:tcW w:w="1109" w:type="dxa"/>
                  <w:noWrap/>
                  <w:vAlign w:val="center"/>
                </w:tcPr>
                <w:p w14:paraId="4882E65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颗粒物</w:t>
                  </w:r>
                </w:p>
              </w:tc>
              <w:tc>
                <w:tcPr>
                  <w:tcW w:w="1006" w:type="dxa"/>
                  <w:noWrap/>
                  <w:vAlign w:val="center"/>
                </w:tcPr>
                <w:p w14:paraId="7B551D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Times New Roman"/>
                      <w:b w:val="0"/>
                      <w:bCs/>
                      <w:color w:val="auto"/>
                      <w:kern w:val="0"/>
                      <w:sz w:val="21"/>
                      <w:szCs w:val="21"/>
                      <w:lang w:val="en-US" w:eastAsia="zh-CN" w:bidi="ar"/>
                    </w:rPr>
                    <w:t>1</w:t>
                  </w:r>
                  <w:r>
                    <w:rPr>
                      <w:rFonts w:hint="eastAsia" w:cs="Times New Roman"/>
                      <w:b w:val="0"/>
                      <w:bCs/>
                      <w:color w:val="auto"/>
                      <w:kern w:val="0"/>
                      <w:sz w:val="21"/>
                      <w:szCs w:val="21"/>
                      <w:lang w:val="en-US" w:eastAsia="zh-CN" w:bidi="ar"/>
                    </w:rPr>
                    <w:t>00</w:t>
                  </w:r>
                  <w:r>
                    <w:rPr>
                      <w:rFonts w:hint="eastAsia" w:ascii="Times New Roman" w:hAnsi="Times New Roman" w:eastAsia="宋体" w:cs="Times New Roman"/>
                      <w:b w:val="0"/>
                      <w:bCs/>
                      <w:color w:val="auto"/>
                      <w:kern w:val="0"/>
                      <w:sz w:val="21"/>
                      <w:szCs w:val="21"/>
                      <w:lang w:val="en-US" w:eastAsia="zh-CN" w:bidi="ar"/>
                    </w:rPr>
                    <w:t>00</w:t>
                  </w:r>
                </w:p>
              </w:tc>
              <w:tc>
                <w:tcPr>
                  <w:tcW w:w="681" w:type="dxa"/>
                  <w:noWrap/>
                  <w:vAlign w:val="center"/>
                </w:tcPr>
                <w:p w14:paraId="22204A3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产污系数</w:t>
                  </w:r>
                </w:p>
              </w:tc>
              <w:tc>
                <w:tcPr>
                  <w:tcW w:w="1189" w:type="dxa"/>
                  <w:noWrap/>
                  <w:vAlign w:val="center"/>
                </w:tcPr>
                <w:p w14:paraId="76AD553F">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67.5</w:t>
                  </w:r>
                </w:p>
              </w:tc>
              <w:tc>
                <w:tcPr>
                  <w:tcW w:w="982" w:type="dxa"/>
                  <w:noWrap/>
                  <w:vAlign w:val="center"/>
                </w:tcPr>
                <w:p w14:paraId="25878C1B">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0.675</w:t>
                  </w:r>
                </w:p>
              </w:tc>
              <w:tc>
                <w:tcPr>
                  <w:tcW w:w="853" w:type="dxa"/>
                  <w:noWrap/>
                  <w:vAlign w:val="center"/>
                </w:tcPr>
                <w:p w14:paraId="4DDC1A6C">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1.</w:t>
                  </w:r>
                  <w:r>
                    <w:rPr>
                      <w:rFonts w:hint="eastAsia" w:cs="宋体"/>
                      <w:i w:val="0"/>
                      <w:iCs w:val="0"/>
                      <w:color w:val="auto"/>
                      <w:kern w:val="0"/>
                      <w:sz w:val="21"/>
                      <w:szCs w:val="22"/>
                      <w:u w:val="none"/>
                      <w:lang w:val="en-US" w:eastAsia="zh-CN" w:bidi="ar"/>
                    </w:rPr>
                    <w:t>62</w:t>
                  </w:r>
                </w:p>
              </w:tc>
              <w:tc>
                <w:tcPr>
                  <w:tcW w:w="1084" w:type="dxa"/>
                  <w:noWrap/>
                  <w:vAlign w:val="center"/>
                </w:tcPr>
                <w:p w14:paraId="3CC3F6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布袋除尘器</w:t>
                  </w:r>
                </w:p>
              </w:tc>
              <w:tc>
                <w:tcPr>
                  <w:tcW w:w="683" w:type="dxa"/>
                  <w:noWrap/>
                  <w:vAlign w:val="center"/>
                </w:tcPr>
                <w:p w14:paraId="5846D1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95%</w:t>
                  </w:r>
                </w:p>
              </w:tc>
              <w:tc>
                <w:tcPr>
                  <w:tcW w:w="681" w:type="dxa"/>
                  <w:noWrap/>
                  <w:vAlign w:val="center"/>
                </w:tcPr>
                <w:p w14:paraId="06B94B8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产污系数</w:t>
                  </w:r>
                </w:p>
              </w:tc>
              <w:tc>
                <w:tcPr>
                  <w:tcW w:w="1189" w:type="dxa"/>
                  <w:noWrap/>
                  <w:vAlign w:val="center"/>
                </w:tcPr>
                <w:p w14:paraId="6300D684">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3.375</w:t>
                  </w:r>
                </w:p>
              </w:tc>
              <w:tc>
                <w:tcPr>
                  <w:tcW w:w="982" w:type="dxa"/>
                  <w:noWrap/>
                  <w:vAlign w:val="center"/>
                </w:tcPr>
                <w:p w14:paraId="3043DAEB">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34</w:t>
                  </w:r>
                </w:p>
              </w:tc>
              <w:tc>
                <w:tcPr>
                  <w:tcW w:w="820" w:type="dxa"/>
                  <w:noWrap/>
                  <w:vAlign w:val="center"/>
                </w:tcPr>
                <w:p w14:paraId="79A98B08">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81</w:t>
                  </w:r>
                </w:p>
              </w:tc>
              <w:tc>
                <w:tcPr>
                  <w:tcW w:w="1189" w:type="dxa"/>
                  <w:noWrap/>
                  <w:vAlign w:val="center"/>
                </w:tcPr>
                <w:p w14:paraId="17E3AA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20</w:t>
                  </w:r>
                </w:p>
              </w:tc>
              <w:tc>
                <w:tcPr>
                  <w:tcW w:w="983" w:type="dxa"/>
                  <w:noWrap/>
                  <w:vAlign w:val="center"/>
                </w:tcPr>
                <w:p w14:paraId="4E27273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w:t>
                  </w:r>
                </w:p>
              </w:tc>
              <w:tc>
                <w:tcPr>
                  <w:tcW w:w="668" w:type="dxa"/>
                  <w:noWrap w:val="0"/>
                  <w:vAlign w:val="center"/>
                </w:tcPr>
                <w:p w14:paraId="07C40D9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24</w:t>
                  </w:r>
                  <w:r>
                    <w:rPr>
                      <w:rFonts w:hint="eastAsia" w:ascii="Times New Roman" w:hAnsi="Times New Roman" w:eastAsia="宋体" w:cs="Times New Roman"/>
                      <w:b w:val="0"/>
                      <w:bCs/>
                      <w:color w:val="auto"/>
                      <w:sz w:val="21"/>
                      <w:szCs w:val="21"/>
                      <w:lang w:val="en-US" w:eastAsia="zh-CN"/>
                    </w:rPr>
                    <w:t>00</w:t>
                  </w:r>
                </w:p>
              </w:tc>
            </w:tr>
          </w:tbl>
          <w:p w14:paraId="24AD31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szCs w:val="18"/>
                <w:lang w:eastAsia="zh-CN"/>
              </w:rPr>
            </w:pPr>
            <w:r>
              <w:rPr>
                <w:rFonts w:hint="default" w:ascii="Times New Roman" w:hAnsi="Times New Roman" w:eastAsia="宋体" w:cs="Times New Roman"/>
                <w:color w:val="auto"/>
                <w:kern w:val="0"/>
                <w:sz w:val="24"/>
              </w:rPr>
              <w:t>由上述分析可知，</w:t>
            </w:r>
            <w:r>
              <w:rPr>
                <w:rFonts w:hint="eastAsia" w:eastAsia="宋体" w:cs="Times New Roman"/>
                <w:color w:val="auto"/>
                <w:kern w:val="0"/>
                <w:sz w:val="24"/>
                <w:lang w:val="en-US" w:eastAsia="zh-CN"/>
              </w:rPr>
              <w:t>本项目建成后</w:t>
            </w:r>
            <w:r>
              <w:rPr>
                <w:rFonts w:hint="default" w:ascii="Times New Roman" w:hAnsi="Times New Roman" w:eastAsia="宋体" w:cs="Times New Roman"/>
                <w:color w:val="auto"/>
                <w:kern w:val="0"/>
                <w:sz w:val="24"/>
              </w:rPr>
              <w:t>排气筒（DA001）</w:t>
            </w:r>
            <w:r>
              <w:rPr>
                <w:rFonts w:hint="eastAsia" w:ascii="Times New Roman" w:hAnsi="Times New Roman" w:cs="Times New Roman"/>
                <w:color w:val="auto"/>
                <w:kern w:val="0"/>
                <w:sz w:val="24"/>
                <w:lang w:val="en-US" w:eastAsia="zh-CN"/>
              </w:rPr>
              <w:t>非甲烷总烃、苯乙烯、颗粒物</w:t>
            </w:r>
            <w:r>
              <w:rPr>
                <w:rFonts w:hint="default" w:ascii="Times New Roman" w:hAnsi="Times New Roman" w:eastAsia="宋体" w:cs="Times New Roman"/>
                <w:color w:val="auto"/>
                <w:kern w:val="0"/>
                <w:sz w:val="24"/>
              </w:rPr>
              <w:t>排放</w:t>
            </w:r>
            <w:r>
              <w:rPr>
                <w:rFonts w:hint="eastAsia" w:eastAsia="宋体" w:cs="Times New Roman"/>
                <w:color w:val="auto"/>
                <w:kern w:val="0"/>
                <w:sz w:val="24"/>
                <w:lang w:val="en-US" w:eastAsia="zh-CN"/>
              </w:rPr>
              <w:t>浓度</w:t>
            </w:r>
            <w:r>
              <w:rPr>
                <w:rFonts w:hint="default" w:ascii="Times New Roman" w:hAnsi="Times New Roman" w:eastAsia="宋体" w:cs="Times New Roman"/>
                <w:color w:val="auto"/>
                <w:kern w:val="0"/>
                <w:sz w:val="24"/>
              </w:rPr>
              <w:t>满足</w:t>
            </w:r>
            <w:r>
              <w:rPr>
                <w:rFonts w:hint="default" w:ascii="Times New Roman" w:hAnsi="Times New Roman" w:eastAsia="宋体" w:cs="Times New Roman"/>
                <w:color w:val="auto"/>
                <w:sz w:val="24"/>
              </w:rPr>
              <w:t>《合成树脂工业污染物排放标准》（GB31572-2015，含2024年修改单）表5中限值要求，苯系物执行《大气污染物综合排放标准》（DB32/4041-2021）表1中限值要求</w:t>
            </w:r>
            <w:r>
              <w:rPr>
                <w:rFonts w:hint="eastAsia" w:cs="Times New Roman"/>
                <w:color w:val="auto"/>
                <w:sz w:val="24"/>
                <w:lang w:eastAsia="zh-CN"/>
              </w:rPr>
              <w:t>。</w:t>
            </w:r>
          </w:p>
          <w:p w14:paraId="0D8821E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表4-3</w:t>
            </w:r>
            <w:r>
              <w:rPr>
                <w:rFonts w:hint="eastAsia" w:cs="Times New Roman"/>
                <w:b/>
                <w:color w:val="auto"/>
                <w:kern w:val="0"/>
                <w:sz w:val="21"/>
                <w:szCs w:val="20"/>
                <w:lang w:val="en-US" w:eastAsia="zh-CN"/>
              </w:rPr>
              <w:t xml:space="preserve">  本项目建成后</w:t>
            </w:r>
            <w:r>
              <w:rPr>
                <w:rFonts w:hint="default" w:ascii="Times New Roman" w:hAnsi="Times New Roman" w:eastAsia="宋体" w:cs="Times New Roman"/>
                <w:b/>
                <w:color w:val="auto"/>
                <w:kern w:val="0"/>
                <w:sz w:val="21"/>
                <w:szCs w:val="20"/>
              </w:rPr>
              <w:t>无组织废气污染源源强合并结果及相关参数一览表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664"/>
              <w:gridCol w:w="1664"/>
              <w:gridCol w:w="1664"/>
              <w:gridCol w:w="1673"/>
              <w:gridCol w:w="3107"/>
              <w:gridCol w:w="1887"/>
              <w:gridCol w:w="1665"/>
            </w:tblGrid>
            <w:tr w14:paraId="743B4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restart"/>
                  <w:noWrap w:val="0"/>
                  <w:vAlign w:val="center"/>
                </w:tcPr>
                <w:p w14:paraId="161252E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污染源位置</w:t>
                  </w:r>
                </w:p>
              </w:tc>
              <w:tc>
                <w:tcPr>
                  <w:tcW w:w="555" w:type="pct"/>
                  <w:vMerge w:val="restart"/>
                  <w:noWrap w:val="0"/>
                  <w:vAlign w:val="center"/>
                </w:tcPr>
                <w:p w14:paraId="4B4C07C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555" w:type="pct"/>
                  <w:vMerge w:val="restart"/>
                  <w:noWrap w:val="0"/>
                  <w:vAlign w:val="center"/>
                </w:tcPr>
                <w:p w14:paraId="7F138F9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核算方法</w:t>
                  </w:r>
                </w:p>
              </w:tc>
              <w:tc>
                <w:tcPr>
                  <w:tcW w:w="1113" w:type="pct"/>
                  <w:gridSpan w:val="2"/>
                  <w:noWrap w:val="0"/>
                  <w:vAlign w:val="center"/>
                </w:tcPr>
                <w:p w14:paraId="610DB10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排放源强</w:t>
                  </w:r>
                </w:p>
              </w:tc>
              <w:tc>
                <w:tcPr>
                  <w:tcW w:w="1036" w:type="pct"/>
                  <w:vMerge w:val="restart"/>
                  <w:noWrap w:val="0"/>
                  <w:vAlign w:val="center"/>
                </w:tcPr>
                <w:p w14:paraId="0643D27B">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rPr>
                    <w:t>面源</w:t>
                  </w:r>
                  <w:r>
                    <w:rPr>
                      <w:rFonts w:hint="eastAsia" w:ascii="Times New Roman" w:hAnsi="Times New Roman" w:eastAsia="宋体" w:cs="Times New Roman"/>
                      <w:b w:val="0"/>
                      <w:bCs/>
                      <w:color w:val="auto"/>
                      <w:kern w:val="0"/>
                      <w:sz w:val="21"/>
                      <w:szCs w:val="21"/>
                      <w:lang w:val="en-US" w:eastAsia="zh-CN"/>
                    </w:rPr>
                    <w:t>面积</w:t>
                  </w:r>
                </w:p>
                <w:p w14:paraId="53D666E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（m</w:t>
                  </w:r>
                  <w:r>
                    <w:rPr>
                      <w:rFonts w:hint="eastAsia" w:ascii="Times New Roman" w:hAnsi="Times New Roman" w:eastAsia="宋体" w:cs="Times New Roman"/>
                      <w:b w:val="0"/>
                      <w:bCs/>
                      <w:color w:val="auto"/>
                      <w:kern w:val="0"/>
                      <w:sz w:val="21"/>
                      <w:szCs w:val="21"/>
                      <w:vertAlign w:val="superscript"/>
                      <w:lang w:val="en-US" w:eastAsia="zh-CN"/>
                    </w:rPr>
                    <w:t>2</w:t>
                  </w:r>
                  <w:r>
                    <w:rPr>
                      <w:rFonts w:hint="default" w:ascii="Times New Roman" w:hAnsi="Times New Roman" w:eastAsia="宋体" w:cs="Times New Roman"/>
                      <w:b w:val="0"/>
                      <w:bCs/>
                      <w:color w:val="auto"/>
                      <w:kern w:val="0"/>
                      <w:sz w:val="21"/>
                      <w:szCs w:val="21"/>
                    </w:rPr>
                    <w:t>）</w:t>
                  </w:r>
                </w:p>
              </w:tc>
              <w:tc>
                <w:tcPr>
                  <w:tcW w:w="629" w:type="pct"/>
                  <w:vMerge w:val="restart"/>
                  <w:noWrap w:val="0"/>
                  <w:vAlign w:val="center"/>
                </w:tcPr>
                <w:p w14:paraId="5E5085C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面源高度</w:t>
                  </w:r>
                </w:p>
                <w:p w14:paraId="2BACF93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（m）</w:t>
                  </w:r>
                </w:p>
              </w:tc>
              <w:tc>
                <w:tcPr>
                  <w:tcW w:w="555" w:type="pct"/>
                  <w:vMerge w:val="restart"/>
                  <w:noWrap w:val="0"/>
                  <w:vAlign w:val="center"/>
                </w:tcPr>
                <w:p w14:paraId="603B71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3B48197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（h）</w:t>
                  </w:r>
                </w:p>
              </w:tc>
            </w:tr>
            <w:tr w14:paraId="48DCF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continue"/>
                  <w:noWrap w:val="0"/>
                  <w:vAlign w:val="top"/>
                </w:tcPr>
                <w:p w14:paraId="42B7980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998380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075B957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noWrap w:val="0"/>
                  <w:vAlign w:val="center"/>
                </w:tcPr>
                <w:p w14:paraId="471DA1F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558" w:type="pct"/>
                  <w:noWrap w:val="0"/>
                  <w:vAlign w:val="center"/>
                </w:tcPr>
                <w:p w14:paraId="4BECE0D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（t/a）</w:t>
                  </w:r>
                </w:p>
              </w:tc>
              <w:tc>
                <w:tcPr>
                  <w:tcW w:w="1036" w:type="pct"/>
                  <w:vMerge w:val="continue"/>
                  <w:noWrap w:val="0"/>
                  <w:vAlign w:val="top"/>
                </w:tcPr>
                <w:p w14:paraId="2A02C14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29" w:type="pct"/>
                  <w:vMerge w:val="continue"/>
                  <w:noWrap w:val="0"/>
                  <w:vAlign w:val="top"/>
                </w:tcPr>
                <w:p w14:paraId="13FD8B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E1C832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7E239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restart"/>
                  <w:noWrap w:val="0"/>
                  <w:vAlign w:val="center"/>
                </w:tcPr>
                <w:p w14:paraId="6F311C78">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厂房</w:t>
                  </w:r>
                </w:p>
              </w:tc>
              <w:tc>
                <w:tcPr>
                  <w:tcW w:w="555" w:type="pct"/>
                  <w:noWrap w:val="0"/>
                  <w:vAlign w:val="center"/>
                </w:tcPr>
                <w:p w14:paraId="3336ACE6">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非甲烷总烃</w:t>
                  </w:r>
                </w:p>
              </w:tc>
              <w:tc>
                <w:tcPr>
                  <w:tcW w:w="555" w:type="pct"/>
                  <w:noWrap w:val="0"/>
                  <w:vAlign w:val="center"/>
                </w:tcPr>
                <w:p w14:paraId="166CF56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产污系数法/物料平衡法</w:t>
                  </w:r>
                </w:p>
              </w:tc>
              <w:tc>
                <w:tcPr>
                  <w:tcW w:w="555" w:type="pct"/>
                  <w:noWrap w:val="0"/>
                  <w:vAlign w:val="center"/>
                </w:tcPr>
                <w:p w14:paraId="0BB81E60">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272</w:t>
                  </w:r>
                </w:p>
              </w:tc>
              <w:tc>
                <w:tcPr>
                  <w:tcW w:w="558" w:type="pct"/>
                  <w:noWrap w:val="0"/>
                  <w:vAlign w:val="center"/>
                </w:tcPr>
                <w:p w14:paraId="51256166">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1"/>
                      <w:szCs w:val="22"/>
                      <w:u w:val="none"/>
                      <w:lang w:val="en-US" w:eastAsia="zh-CN" w:bidi="ar"/>
                    </w:rPr>
                    <w:t>0.653</w:t>
                  </w:r>
                </w:p>
              </w:tc>
              <w:tc>
                <w:tcPr>
                  <w:tcW w:w="1036" w:type="pct"/>
                  <w:vMerge w:val="restart"/>
                  <w:noWrap w:val="0"/>
                  <w:vAlign w:val="center"/>
                </w:tcPr>
                <w:p w14:paraId="08FEB9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1364.21</w:t>
                  </w:r>
                </w:p>
              </w:tc>
              <w:tc>
                <w:tcPr>
                  <w:tcW w:w="629" w:type="pct"/>
                  <w:vMerge w:val="restart"/>
                  <w:noWrap w:val="0"/>
                  <w:vAlign w:val="center"/>
                </w:tcPr>
                <w:p w14:paraId="2C2909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10</w:t>
                  </w:r>
                </w:p>
              </w:tc>
              <w:tc>
                <w:tcPr>
                  <w:tcW w:w="555" w:type="pct"/>
                  <w:vMerge w:val="restart"/>
                  <w:noWrap w:val="0"/>
                  <w:vAlign w:val="center"/>
                </w:tcPr>
                <w:p w14:paraId="7BE39427">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24</w:t>
                  </w:r>
                  <w:r>
                    <w:rPr>
                      <w:rFonts w:hint="eastAsia" w:ascii="Times New Roman" w:hAnsi="Times New Roman" w:eastAsia="宋体" w:cs="Times New Roman"/>
                      <w:b w:val="0"/>
                      <w:bCs/>
                      <w:color w:val="auto"/>
                      <w:kern w:val="0"/>
                      <w:sz w:val="21"/>
                      <w:szCs w:val="21"/>
                      <w:lang w:val="en-US" w:eastAsia="zh-CN"/>
                    </w:rPr>
                    <w:t>00</w:t>
                  </w:r>
                </w:p>
              </w:tc>
            </w:tr>
            <w:tr w14:paraId="3D134F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continue"/>
                  <w:noWrap w:val="0"/>
                  <w:vAlign w:val="center"/>
                </w:tcPr>
                <w:p w14:paraId="1762DB97">
                  <w:pPr>
                    <w:widowControl/>
                    <w:adjustRightInd w:val="0"/>
                    <w:snapToGrid w:val="0"/>
                    <w:spacing w:line="240" w:lineRule="auto"/>
                    <w:ind w:left="0" w:leftChars="0" w:right="0" w:rightChars="0" w:firstLine="0" w:firstLineChars="0"/>
                    <w:jc w:val="center"/>
                    <w:rPr>
                      <w:rFonts w:hint="eastAsia" w:ascii="Times New Roman" w:hAnsi="Times New Roman" w:eastAsia="宋体" w:cs="Times New Roman"/>
                      <w:b w:val="0"/>
                      <w:bCs/>
                      <w:color w:val="auto"/>
                      <w:kern w:val="0"/>
                      <w:sz w:val="21"/>
                      <w:szCs w:val="21"/>
                      <w:lang w:val="en-US" w:eastAsia="zh-CN"/>
                    </w:rPr>
                  </w:pPr>
                </w:p>
              </w:tc>
              <w:tc>
                <w:tcPr>
                  <w:tcW w:w="555" w:type="pct"/>
                  <w:noWrap w:val="0"/>
                  <w:vAlign w:val="center"/>
                </w:tcPr>
                <w:p w14:paraId="05B7C38E">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苯乙烯</w:t>
                  </w:r>
                </w:p>
              </w:tc>
              <w:tc>
                <w:tcPr>
                  <w:tcW w:w="555" w:type="pct"/>
                  <w:noWrap w:val="0"/>
                  <w:vAlign w:val="center"/>
                </w:tcPr>
                <w:p w14:paraId="6273861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物料平衡法</w:t>
                  </w:r>
                </w:p>
              </w:tc>
              <w:tc>
                <w:tcPr>
                  <w:tcW w:w="555" w:type="pct"/>
                  <w:noWrap w:val="0"/>
                  <w:vAlign w:val="center"/>
                </w:tcPr>
                <w:p w14:paraId="41C77A4D">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0.25</w:t>
                  </w:r>
                </w:p>
              </w:tc>
              <w:tc>
                <w:tcPr>
                  <w:tcW w:w="558" w:type="pct"/>
                  <w:noWrap w:val="0"/>
                  <w:vAlign w:val="center"/>
                </w:tcPr>
                <w:p w14:paraId="155B796A">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0.6</w:t>
                  </w:r>
                </w:p>
              </w:tc>
              <w:tc>
                <w:tcPr>
                  <w:tcW w:w="1036" w:type="pct"/>
                  <w:vMerge w:val="continue"/>
                  <w:noWrap w:val="0"/>
                  <w:vAlign w:val="center"/>
                </w:tcPr>
                <w:p w14:paraId="44F8BF4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629" w:type="pct"/>
                  <w:vMerge w:val="continue"/>
                  <w:noWrap w:val="0"/>
                  <w:vAlign w:val="center"/>
                </w:tcPr>
                <w:p w14:paraId="09DD45E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555" w:type="pct"/>
                  <w:vMerge w:val="continue"/>
                  <w:noWrap w:val="0"/>
                  <w:vAlign w:val="center"/>
                </w:tcPr>
                <w:p w14:paraId="36F222C8">
                  <w:pPr>
                    <w:widowControl/>
                    <w:adjustRightInd w:val="0"/>
                    <w:snapToGrid w:val="0"/>
                    <w:spacing w:line="240" w:lineRule="auto"/>
                    <w:ind w:left="0" w:leftChars="0" w:right="0" w:rightChars="0" w:firstLine="0" w:firstLineChars="0"/>
                    <w:jc w:val="center"/>
                    <w:rPr>
                      <w:rFonts w:hint="eastAsia" w:ascii="Times New Roman" w:hAnsi="Times New Roman" w:eastAsia="宋体" w:cs="Times New Roman"/>
                      <w:b w:val="0"/>
                      <w:bCs/>
                      <w:color w:val="auto"/>
                      <w:kern w:val="0"/>
                      <w:sz w:val="21"/>
                      <w:szCs w:val="21"/>
                      <w:lang w:val="en-US" w:eastAsia="zh-CN"/>
                    </w:rPr>
                  </w:pPr>
                </w:p>
              </w:tc>
            </w:tr>
            <w:tr w14:paraId="6AD1EB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continue"/>
                  <w:noWrap w:val="0"/>
                  <w:vAlign w:val="center"/>
                </w:tcPr>
                <w:p w14:paraId="11420EB6">
                  <w:pPr>
                    <w:widowControl/>
                    <w:adjustRightInd w:val="0"/>
                    <w:snapToGrid w:val="0"/>
                    <w:spacing w:line="240" w:lineRule="auto"/>
                    <w:ind w:left="0" w:leftChars="0" w:right="0" w:rightChars="0" w:firstLine="0" w:firstLineChars="0"/>
                    <w:jc w:val="center"/>
                    <w:rPr>
                      <w:rFonts w:hint="eastAsia" w:ascii="Times New Roman" w:hAnsi="Times New Roman" w:eastAsia="宋体" w:cs="Times New Roman"/>
                      <w:b w:val="0"/>
                      <w:bCs/>
                      <w:color w:val="auto"/>
                      <w:kern w:val="0"/>
                      <w:sz w:val="21"/>
                      <w:szCs w:val="21"/>
                      <w:lang w:val="en-US" w:eastAsia="zh-CN"/>
                    </w:rPr>
                  </w:pPr>
                </w:p>
              </w:tc>
              <w:tc>
                <w:tcPr>
                  <w:tcW w:w="555" w:type="pct"/>
                  <w:noWrap w:val="0"/>
                  <w:vAlign w:val="center"/>
                </w:tcPr>
                <w:p w14:paraId="4733AD7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苯系物</w:t>
                  </w:r>
                </w:p>
              </w:tc>
              <w:tc>
                <w:tcPr>
                  <w:tcW w:w="555" w:type="pct"/>
                  <w:noWrap w:val="0"/>
                  <w:vAlign w:val="center"/>
                </w:tcPr>
                <w:p w14:paraId="1A517C0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物料平衡法</w:t>
                  </w:r>
                </w:p>
              </w:tc>
              <w:tc>
                <w:tcPr>
                  <w:tcW w:w="555" w:type="pct"/>
                  <w:noWrap w:val="0"/>
                  <w:vAlign w:val="center"/>
                </w:tcPr>
                <w:p w14:paraId="7C4F5220">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0.25</w:t>
                  </w:r>
                </w:p>
              </w:tc>
              <w:tc>
                <w:tcPr>
                  <w:tcW w:w="558" w:type="pct"/>
                  <w:noWrap w:val="0"/>
                  <w:vAlign w:val="center"/>
                </w:tcPr>
                <w:p w14:paraId="076295DA">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0.6</w:t>
                  </w:r>
                </w:p>
              </w:tc>
              <w:tc>
                <w:tcPr>
                  <w:tcW w:w="1036" w:type="pct"/>
                  <w:vMerge w:val="continue"/>
                  <w:noWrap w:val="0"/>
                  <w:vAlign w:val="center"/>
                </w:tcPr>
                <w:p w14:paraId="3E08B59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629" w:type="pct"/>
                  <w:vMerge w:val="continue"/>
                  <w:noWrap w:val="0"/>
                  <w:vAlign w:val="center"/>
                </w:tcPr>
                <w:p w14:paraId="0F3C0D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555" w:type="pct"/>
                  <w:vMerge w:val="continue"/>
                  <w:noWrap w:val="0"/>
                  <w:vAlign w:val="center"/>
                </w:tcPr>
                <w:p w14:paraId="4C39D38D">
                  <w:pPr>
                    <w:widowControl/>
                    <w:adjustRightInd w:val="0"/>
                    <w:snapToGrid w:val="0"/>
                    <w:spacing w:line="240" w:lineRule="auto"/>
                    <w:ind w:left="0" w:leftChars="0" w:right="0" w:rightChars="0" w:firstLine="0" w:firstLineChars="0"/>
                    <w:jc w:val="center"/>
                    <w:rPr>
                      <w:rFonts w:hint="eastAsia" w:ascii="Times New Roman" w:hAnsi="Times New Roman" w:eastAsia="宋体" w:cs="Times New Roman"/>
                      <w:b w:val="0"/>
                      <w:bCs/>
                      <w:color w:val="auto"/>
                      <w:kern w:val="0"/>
                      <w:sz w:val="21"/>
                      <w:szCs w:val="21"/>
                      <w:lang w:val="en-US" w:eastAsia="zh-CN"/>
                    </w:rPr>
                  </w:pPr>
                </w:p>
              </w:tc>
            </w:tr>
            <w:tr w14:paraId="39178D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continue"/>
                  <w:noWrap w:val="0"/>
                  <w:vAlign w:val="center"/>
                </w:tcPr>
                <w:p w14:paraId="239F9A23">
                  <w:pPr>
                    <w:widowControl/>
                    <w:adjustRightInd w:val="0"/>
                    <w:snapToGrid w:val="0"/>
                    <w:spacing w:line="240" w:lineRule="auto"/>
                    <w:ind w:left="0" w:leftChars="0" w:right="0" w:rightChars="0" w:firstLine="0" w:firstLineChars="0"/>
                    <w:jc w:val="center"/>
                    <w:rPr>
                      <w:rFonts w:hint="eastAsia" w:ascii="Times New Roman" w:hAnsi="Times New Roman" w:eastAsia="宋体" w:cs="Times New Roman"/>
                      <w:b w:val="0"/>
                      <w:bCs/>
                      <w:color w:val="auto"/>
                      <w:kern w:val="0"/>
                      <w:sz w:val="21"/>
                      <w:szCs w:val="21"/>
                      <w:lang w:val="en-US" w:eastAsia="zh-CN"/>
                    </w:rPr>
                  </w:pPr>
                </w:p>
              </w:tc>
              <w:tc>
                <w:tcPr>
                  <w:tcW w:w="555" w:type="pct"/>
                  <w:noWrap w:val="0"/>
                  <w:vAlign w:val="center"/>
                </w:tcPr>
                <w:p w14:paraId="683599D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颗粒物</w:t>
                  </w:r>
                </w:p>
              </w:tc>
              <w:tc>
                <w:tcPr>
                  <w:tcW w:w="555" w:type="pct"/>
                  <w:noWrap w:val="0"/>
                  <w:vAlign w:val="center"/>
                </w:tcPr>
                <w:p w14:paraId="25EA90DA">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产污系数法</w:t>
                  </w:r>
                </w:p>
              </w:tc>
              <w:tc>
                <w:tcPr>
                  <w:tcW w:w="555" w:type="pct"/>
                  <w:noWrap w:val="0"/>
                  <w:vAlign w:val="center"/>
                </w:tcPr>
                <w:p w14:paraId="51A5A326">
                  <w:pPr>
                    <w:keepNext w:val="0"/>
                    <w:keepLines w:val="0"/>
                    <w:widowControl/>
                    <w:suppressLineNumbers w:val="0"/>
                    <w:jc w:val="center"/>
                    <w:textAlignment w:val="center"/>
                    <w:rPr>
                      <w:rFonts w:hint="default" w:ascii="Times New Roman" w:hAnsi="Times New Roman" w:eastAsia="宋体" w:cs="宋体"/>
                      <w:i w:val="0"/>
                      <w:iCs w:val="0"/>
                      <w:color w:val="FF0000"/>
                      <w:kern w:val="0"/>
                      <w:sz w:val="21"/>
                      <w:szCs w:val="22"/>
                      <w:u w:val="none"/>
                      <w:lang w:val="en-US" w:eastAsia="zh-CN" w:bidi="ar"/>
                    </w:rPr>
                  </w:pPr>
                  <w:r>
                    <w:rPr>
                      <w:rFonts w:hint="eastAsia" w:ascii="Times New Roman" w:hAnsi="Times New Roman" w:eastAsia="宋体" w:cs="宋体"/>
                      <w:i w:val="0"/>
                      <w:iCs w:val="0"/>
                      <w:color w:val="FF0000"/>
                      <w:kern w:val="0"/>
                      <w:sz w:val="21"/>
                      <w:szCs w:val="22"/>
                      <w:u w:val="none"/>
                      <w:lang w:val="en-US" w:eastAsia="zh-CN" w:bidi="ar"/>
                    </w:rPr>
                    <w:t>0.0</w:t>
                  </w:r>
                  <w:r>
                    <w:rPr>
                      <w:rFonts w:hint="eastAsia" w:cs="宋体"/>
                      <w:i w:val="0"/>
                      <w:iCs w:val="0"/>
                      <w:color w:val="FF0000"/>
                      <w:kern w:val="0"/>
                      <w:sz w:val="21"/>
                      <w:szCs w:val="22"/>
                      <w:u w:val="none"/>
                      <w:lang w:val="en-US" w:eastAsia="zh-CN" w:bidi="ar"/>
                    </w:rPr>
                    <w:t>75</w:t>
                  </w:r>
                </w:p>
              </w:tc>
              <w:tc>
                <w:tcPr>
                  <w:tcW w:w="558" w:type="pct"/>
                  <w:noWrap w:val="0"/>
                  <w:vAlign w:val="center"/>
                </w:tcPr>
                <w:p w14:paraId="476147D9">
                  <w:pPr>
                    <w:keepNext w:val="0"/>
                    <w:keepLines w:val="0"/>
                    <w:widowControl/>
                    <w:suppressLineNumbers w:val="0"/>
                    <w:jc w:val="center"/>
                    <w:textAlignment w:val="center"/>
                    <w:rPr>
                      <w:rFonts w:hint="default" w:ascii="Times New Roman" w:hAnsi="Times New Roman" w:eastAsia="宋体" w:cs="宋体"/>
                      <w:i w:val="0"/>
                      <w:iCs w:val="0"/>
                      <w:color w:val="FF0000"/>
                      <w:kern w:val="0"/>
                      <w:sz w:val="21"/>
                      <w:szCs w:val="22"/>
                      <w:u w:val="none"/>
                      <w:lang w:val="en-US" w:eastAsia="zh-CN" w:bidi="ar"/>
                    </w:rPr>
                  </w:pPr>
                  <w:r>
                    <w:rPr>
                      <w:rFonts w:hint="eastAsia" w:ascii="Times New Roman" w:hAnsi="Times New Roman" w:eastAsia="宋体" w:cs="宋体"/>
                      <w:i w:val="0"/>
                      <w:iCs w:val="0"/>
                      <w:color w:val="FF0000"/>
                      <w:kern w:val="0"/>
                      <w:sz w:val="21"/>
                      <w:szCs w:val="22"/>
                      <w:u w:val="none"/>
                      <w:lang w:val="en-US" w:eastAsia="zh-CN" w:bidi="ar"/>
                    </w:rPr>
                    <w:t>0.</w:t>
                  </w:r>
                  <w:r>
                    <w:rPr>
                      <w:rFonts w:hint="eastAsia" w:cs="宋体"/>
                      <w:i w:val="0"/>
                      <w:iCs w:val="0"/>
                      <w:color w:val="FF0000"/>
                      <w:kern w:val="0"/>
                      <w:sz w:val="21"/>
                      <w:szCs w:val="22"/>
                      <w:u w:val="none"/>
                      <w:lang w:val="en-US" w:eastAsia="zh-CN" w:bidi="ar"/>
                    </w:rPr>
                    <w:t>181</w:t>
                  </w:r>
                </w:p>
              </w:tc>
              <w:tc>
                <w:tcPr>
                  <w:tcW w:w="1036" w:type="pct"/>
                  <w:vMerge w:val="continue"/>
                  <w:noWrap w:val="0"/>
                  <w:vAlign w:val="center"/>
                </w:tcPr>
                <w:p w14:paraId="0B379A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629" w:type="pct"/>
                  <w:vMerge w:val="continue"/>
                  <w:noWrap w:val="0"/>
                  <w:vAlign w:val="center"/>
                </w:tcPr>
                <w:p w14:paraId="6B21F8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555" w:type="pct"/>
                  <w:vMerge w:val="continue"/>
                  <w:noWrap w:val="0"/>
                  <w:vAlign w:val="center"/>
                </w:tcPr>
                <w:p w14:paraId="457F26B5">
                  <w:pPr>
                    <w:widowControl/>
                    <w:adjustRightInd w:val="0"/>
                    <w:snapToGrid w:val="0"/>
                    <w:spacing w:line="240" w:lineRule="auto"/>
                    <w:ind w:left="0" w:leftChars="0" w:right="0" w:rightChars="0" w:firstLine="0" w:firstLineChars="0"/>
                    <w:jc w:val="center"/>
                    <w:rPr>
                      <w:rFonts w:hint="eastAsia" w:ascii="Times New Roman" w:hAnsi="Times New Roman" w:eastAsia="宋体" w:cs="Times New Roman"/>
                      <w:b w:val="0"/>
                      <w:bCs/>
                      <w:color w:val="auto"/>
                      <w:kern w:val="0"/>
                      <w:sz w:val="21"/>
                      <w:szCs w:val="21"/>
                      <w:lang w:val="en-US" w:eastAsia="zh-CN"/>
                    </w:rPr>
                  </w:pPr>
                </w:p>
              </w:tc>
            </w:tr>
          </w:tbl>
          <w:p w14:paraId="57B662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bCs/>
                <w:color w:val="auto"/>
                <w:sz w:val="21"/>
              </w:rPr>
              <w:t>4-4</w:t>
            </w:r>
            <w:r>
              <w:rPr>
                <w:rFonts w:hint="eastAsia" w:cs="Times New Roman"/>
                <w:b/>
                <w:bCs/>
                <w:color w:val="auto"/>
                <w:sz w:val="21"/>
                <w:lang w:val="en-US" w:eastAsia="zh-CN"/>
              </w:rPr>
              <w:t xml:space="preserve">  </w:t>
            </w:r>
            <w:r>
              <w:rPr>
                <w:rFonts w:hint="default" w:ascii="Times New Roman" w:hAnsi="Times New Roman" w:eastAsia="宋体" w:cs="Times New Roman"/>
                <w:b/>
                <w:color w:val="auto"/>
                <w:sz w:val="21"/>
              </w:rPr>
              <w:t>建设项目废气收集、治理措施及排放情况汇总表</w:t>
            </w:r>
          </w:p>
          <w:tbl>
            <w:tblPr>
              <w:tblStyle w:val="22"/>
              <w:tblW w:w="4965"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338"/>
              <w:gridCol w:w="1588"/>
              <w:gridCol w:w="1913"/>
              <w:gridCol w:w="2238"/>
              <w:gridCol w:w="992"/>
              <w:gridCol w:w="1308"/>
              <w:gridCol w:w="1505"/>
              <w:gridCol w:w="1389"/>
              <w:gridCol w:w="1168"/>
              <w:gridCol w:w="1451"/>
            </w:tblGrid>
            <w:tr w14:paraId="43965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982" w:type="pct"/>
                  <w:gridSpan w:val="2"/>
                  <w:noWrap w:val="0"/>
                  <w:vAlign w:val="center"/>
                </w:tcPr>
                <w:p w14:paraId="6DA9AE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产污环节</w:t>
                  </w:r>
                </w:p>
              </w:tc>
              <w:tc>
                <w:tcPr>
                  <w:tcW w:w="642" w:type="pct"/>
                  <w:vMerge w:val="restart"/>
                  <w:noWrap w:val="0"/>
                  <w:vAlign w:val="center"/>
                </w:tcPr>
                <w:p w14:paraId="66D92C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污染物种类</w:t>
                  </w:r>
                </w:p>
              </w:tc>
              <w:tc>
                <w:tcPr>
                  <w:tcW w:w="751" w:type="pct"/>
                  <w:vMerge w:val="restart"/>
                  <w:noWrap w:val="0"/>
                  <w:vAlign w:val="center"/>
                </w:tcPr>
                <w:p w14:paraId="279B4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收集方式</w:t>
                  </w:r>
                </w:p>
              </w:tc>
              <w:tc>
                <w:tcPr>
                  <w:tcW w:w="333" w:type="pct"/>
                  <w:vMerge w:val="restart"/>
                  <w:noWrap w:val="0"/>
                  <w:vAlign w:val="center"/>
                </w:tcPr>
                <w:p w14:paraId="6699A7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收集效率</w:t>
                  </w:r>
                </w:p>
              </w:tc>
              <w:tc>
                <w:tcPr>
                  <w:tcW w:w="439" w:type="pct"/>
                  <w:vMerge w:val="restart"/>
                  <w:noWrap w:val="0"/>
                  <w:vAlign w:val="center"/>
                </w:tcPr>
                <w:p w14:paraId="688C5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设计风量</w:t>
                  </w:r>
                </w:p>
                <w:p w14:paraId="7959C4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/h）</w:t>
                  </w:r>
                </w:p>
              </w:tc>
              <w:tc>
                <w:tcPr>
                  <w:tcW w:w="505" w:type="pct"/>
                  <w:vMerge w:val="restart"/>
                  <w:noWrap w:val="0"/>
                  <w:vAlign w:val="center"/>
                </w:tcPr>
                <w:p w14:paraId="50FC5C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治理工艺</w:t>
                  </w:r>
                </w:p>
              </w:tc>
              <w:tc>
                <w:tcPr>
                  <w:tcW w:w="466" w:type="pct"/>
                  <w:vMerge w:val="restart"/>
                  <w:noWrap w:val="0"/>
                  <w:vAlign w:val="center"/>
                </w:tcPr>
                <w:p w14:paraId="3E28AC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去除效率</w:t>
                  </w:r>
                </w:p>
              </w:tc>
              <w:tc>
                <w:tcPr>
                  <w:tcW w:w="392" w:type="pct"/>
                  <w:vMerge w:val="restart"/>
                  <w:noWrap w:val="0"/>
                  <w:vAlign w:val="center"/>
                </w:tcPr>
                <w:p w14:paraId="472087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是否为可行技术</w:t>
                  </w:r>
                </w:p>
              </w:tc>
              <w:tc>
                <w:tcPr>
                  <w:tcW w:w="487" w:type="pct"/>
                  <w:vMerge w:val="restart"/>
                  <w:noWrap w:val="0"/>
                  <w:vAlign w:val="center"/>
                </w:tcPr>
                <w:p w14:paraId="5446206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排放形式</w:t>
                  </w:r>
                </w:p>
              </w:tc>
            </w:tr>
            <w:tr w14:paraId="3D9AE9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noWrap w:val="0"/>
                  <w:vAlign w:val="center"/>
                </w:tcPr>
                <w:p w14:paraId="432F7B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生产装置</w:t>
                  </w:r>
                </w:p>
              </w:tc>
              <w:tc>
                <w:tcPr>
                  <w:tcW w:w="533" w:type="pct"/>
                  <w:noWrap w:val="0"/>
                  <w:vAlign w:val="center"/>
                </w:tcPr>
                <w:p w14:paraId="3CB3E8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废气种类</w:t>
                  </w:r>
                </w:p>
              </w:tc>
              <w:tc>
                <w:tcPr>
                  <w:tcW w:w="642" w:type="pct"/>
                  <w:vMerge w:val="continue"/>
                  <w:noWrap w:val="0"/>
                  <w:vAlign w:val="center"/>
                </w:tcPr>
                <w:p w14:paraId="0A343F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751" w:type="pct"/>
                  <w:vMerge w:val="continue"/>
                  <w:noWrap w:val="0"/>
                  <w:vAlign w:val="center"/>
                </w:tcPr>
                <w:p w14:paraId="3DD4DC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33" w:type="pct"/>
                  <w:vMerge w:val="continue"/>
                  <w:noWrap w:val="0"/>
                  <w:vAlign w:val="center"/>
                </w:tcPr>
                <w:p w14:paraId="23B94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39" w:type="pct"/>
                  <w:vMerge w:val="continue"/>
                  <w:noWrap w:val="0"/>
                  <w:vAlign w:val="center"/>
                </w:tcPr>
                <w:p w14:paraId="50400AD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505" w:type="pct"/>
                  <w:vMerge w:val="continue"/>
                  <w:noWrap w:val="0"/>
                  <w:vAlign w:val="center"/>
                </w:tcPr>
                <w:p w14:paraId="58DB2A8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66" w:type="pct"/>
                  <w:vMerge w:val="continue"/>
                  <w:noWrap w:val="0"/>
                  <w:vAlign w:val="center"/>
                </w:tcPr>
                <w:p w14:paraId="4E523F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92" w:type="pct"/>
                  <w:vMerge w:val="continue"/>
                  <w:noWrap w:val="0"/>
                  <w:vAlign w:val="center"/>
                </w:tcPr>
                <w:p w14:paraId="55A7342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87" w:type="pct"/>
                  <w:vMerge w:val="continue"/>
                  <w:noWrap w:val="0"/>
                  <w:vAlign w:val="center"/>
                </w:tcPr>
                <w:p w14:paraId="64B15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r>
            <w:tr w14:paraId="4091B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vMerge w:val="restart"/>
                  <w:noWrap w:val="0"/>
                  <w:vAlign w:val="center"/>
                </w:tcPr>
                <w:p w14:paraId="79873B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拉挤机</w:t>
                  </w:r>
                </w:p>
              </w:tc>
              <w:tc>
                <w:tcPr>
                  <w:tcW w:w="533" w:type="pct"/>
                  <w:vMerge w:val="restart"/>
                  <w:noWrap w:val="0"/>
                  <w:vAlign w:val="center"/>
                </w:tcPr>
                <w:p w14:paraId="4F61AA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有机废气</w:t>
                  </w:r>
                </w:p>
              </w:tc>
              <w:tc>
                <w:tcPr>
                  <w:tcW w:w="642" w:type="pct"/>
                  <w:noWrap w:val="0"/>
                  <w:vAlign w:val="center"/>
                </w:tcPr>
                <w:p w14:paraId="6DBB94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eastAsia" w:cs="Times New Roman"/>
                      <w:b w:val="0"/>
                      <w:bCs/>
                      <w:color w:val="auto"/>
                      <w:kern w:val="0"/>
                      <w:sz w:val="21"/>
                      <w:szCs w:val="21"/>
                      <w:lang w:val="en-US" w:eastAsia="zh-CN"/>
                    </w:rPr>
                    <w:t>非甲烷总烃</w:t>
                  </w:r>
                </w:p>
              </w:tc>
              <w:tc>
                <w:tcPr>
                  <w:tcW w:w="751" w:type="pct"/>
                  <w:vMerge w:val="restart"/>
                  <w:noWrap w:val="0"/>
                  <w:vAlign w:val="center"/>
                </w:tcPr>
                <w:p w14:paraId="13FCDA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vMerge w:val="restart"/>
                  <w:noWrap w:val="0"/>
                  <w:vAlign w:val="center"/>
                </w:tcPr>
                <w:p w14:paraId="473F62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restart"/>
                  <w:noWrap w:val="0"/>
                  <w:vAlign w:val="center"/>
                </w:tcPr>
                <w:p w14:paraId="14CD3B8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12000</w:t>
                  </w:r>
                </w:p>
              </w:tc>
              <w:tc>
                <w:tcPr>
                  <w:tcW w:w="505" w:type="pct"/>
                  <w:vMerge w:val="restart"/>
                  <w:noWrap w:val="0"/>
                  <w:vAlign w:val="center"/>
                </w:tcPr>
                <w:p w14:paraId="617213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二级活性炭吸附装置</w:t>
                  </w:r>
                </w:p>
                <w:p w14:paraId="0FF75254">
                  <w:pPr>
                    <w:pStyle w:val="2"/>
                    <w:ind w:left="0" w:leftChars="0" w:firstLine="210" w:firstLineChars="100"/>
                    <w:rPr>
                      <w:rFonts w:hint="default"/>
                      <w:color w:val="auto"/>
                      <w:lang w:val="en-US" w:eastAsia="zh-CN"/>
                    </w:rPr>
                  </w:pPr>
                  <w:r>
                    <w:rPr>
                      <w:rFonts w:hint="eastAsia" w:cs="Times New Roman"/>
                      <w:b w:val="0"/>
                      <w:bCs/>
                      <w:color w:val="auto"/>
                      <w:kern w:val="0"/>
                      <w:sz w:val="21"/>
                      <w:szCs w:val="21"/>
                      <w:lang w:val="en-US" w:eastAsia="zh-CN"/>
                    </w:rPr>
                    <w:t>（TA001）</w:t>
                  </w:r>
                </w:p>
              </w:tc>
              <w:tc>
                <w:tcPr>
                  <w:tcW w:w="466" w:type="pct"/>
                  <w:vMerge w:val="restart"/>
                  <w:noWrap w:val="0"/>
                  <w:vAlign w:val="center"/>
                </w:tcPr>
                <w:p w14:paraId="1C2A2C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kern w:val="0"/>
                      <w:sz w:val="21"/>
                      <w:szCs w:val="21"/>
                      <w:lang w:val="en-US" w:eastAsia="zh-CN"/>
                    </w:rPr>
                    <w:t>9</w:t>
                  </w:r>
                  <w:r>
                    <w:rPr>
                      <w:rFonts w:hint="eastAsia" w:cs="Times New Roman"/>
                      <w:b w:val="0"/>
                      <w:bCs/>
                      <w:color w:val="auto"/>
                      <w:kern w:val="0"/>
                      <w:sz w:val="21"/>
                      <w:szCs w:val="21"/>
                      <w:lang w:val="en-US" w:eastAsia="zh-CN"/>
                    </w:rPr>
                    <w:t>0</w:t>
                  </w:r>
                  <w:r>
                    <w:rPr>
                      <w:rFonts w:hint="eastAsia" w:ascii="Times New Roman" w:hAnsi="Times New Roman" w:eastAsia="宋体" w:cs="Times New Roman"/>
                      <w:b w:val="0"/>
                      <w:bCs/>
                      <w:color w:val="auto"/>
                      <w:kern w:val="0"/>
                      <w:sz w:val="21"/>
                      <w:szCs w:val="21"/>
                      <w:lang w:val="en-US" w:eastAsia="zh-CN"/>
                    </w:rPr>
                    <w:t>%</w:t>
                  </w:r>
                </w:p>
              </w:tc>
              <w:tc>
                <w:tcPr>
                  <w:tcW w:w="392" w:type="pct"/>
                  <w:vMerge w:val="restart"/>
                  <w:noWrap w:val="0"/>
                  <w:vAlign w:val="center"/>
                </w:tcPr>
                <w:p w14:paraId="0B0C9BA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val="en-US" w:eastAsia="zh-CN"/>
                    </w:rPr>
                    <w:t>是</w:t>
                  </w:r>
                </w:p>
              </w:tc>
              <w:tc>
                <w:tcPr>
                  <w:tcW w:w="487" w:type="pct"/>
                  <w:vMerge w:val="restart"/>
                  <w:noWrap w:val="0"/>
                  <w:vAlign w:val="center"/>
                </w:tcPr>
                <w:p w14:paraId="3A9AC23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有组织</w:t>
                  </w:r>
                </w:p>
              </w:tc>
            </w:tr>
            <w:tr w14:paraId="4A3C77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vMerge w:val="continue"/>
                  <w:noWrap w:val="0"/>
                  <w:vAlign w:val="center"/>
                </w:tcPr>
                <w:p w14:paraId="4CB423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533" w:type="pct"/>
                  <w:vMerge w:val="continue"/>
                  <w:noWrap w:val="0"/>
                  <w:vAlign w:val="center"/>
                </w:tcPr>
                <w:p w14:paraId="23BBB2A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642" w:type="pct"/>
                  <w:noWrap w:val="0"/>
                  <w:vAlign w:val="center"/>
                </w:tcPr>
                <w:p w14:paraId="33F3C69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苯乙烯</w:t>
                  </w:r>
                </w:p>
              </w:tc>
              <w:tc>
                <w:tcPr>
                  <w:tcW w:w="751" w:type="pct"/>
                  <w:vMerge w:val="continue"/>
                  <w:noWrap w:val="0"/>
                  <w:vAlign w:val="center"/>
                </w:tcPr>
                <w:p w14:paraId="3A7659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333" w:type="pct"/>
                  <w:vMerge w:val="continue"/>
                  <w:noWrap w:val="0"/>
                  <w:vAlign w:val="center"/>
                </w:tcPr>
                <w:p w14:paraId="47CA7C8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439" w:type="pct"/>
                  <w:vMerge w:val="continue"/>
                  <w:noWrap w:val="0"/>
                  <w:vAlign w:val="center"/>
                </w:tcPr>
                <w:p w14:paraId="772779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505" w:type="pct"/>
                  <w:vMerge w:val="continue"/>
                  <w:noWrap w:val="0"/>
                  <w:vAlign w:val="center"/>
                </w:tcPr>
                <w:p w14:paraId="27B299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466" w:type="pct"/>
                  <w:vMerge w:val="continue"/>
                  <w:noWrap w:val="0"/>
                  <w:vAlign w:val="center"/>
                </w:tcPr>
                <w:p w14:paraId="462C4F7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0E35CAE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047DFD4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r>
            <w:tr w14:paraId="3CBBC9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vMerge w:val="continue"/>
                  <w:noWrap w:val="0"/>
                  <w:vAlign w:val="center"/>
                </w:tcPr>
                <w:p w14:paraId="06265E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533" w:type="pct"/>
                  <w:vMerge w:val="continue"/>
                  <w:noWrap w:val="0"/>
                  <w:vAlign w:val="center"/>
                </w:tcPr>
                <w:p w14:paraId="14E1773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642" w:type="pct"/>
                  <w:noWrap w:val="0"/>
                  <w:vAlign w:val="center"/>
                </w:tcPr>
                <w:p w14:paraId="0A66BB5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苯系物</w:t>
                  </w:r>
                </w:p>
              </w:tc>
              <w:tc>
                <w:tcPr>
                  <w:tcW w:w="751" w:type="pct"/>
                  <w:vMerge w:val="continue"/>
                  <w:noWrap w:val="0"/>
                  <w:vAlign w:val="center"/>
                </w:tcPr>
                <w:p w14:paraId="52155E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333" w:type="pct"/>
                  <w:vMerge w:val="continue"/>
                  <w:noWrap w:val="0"/>
                  <w:vAlign w:val="center"/>
                </w:tcPr>
                <w:p w14:paraId="5E9DD77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439" w:type="pct"/>
                  <w:vMerge w:val="continue"/>
                  <w:noWrap w:val="0"/>
                  <w:vAlign w:val="center"/>
                </w:tcPr>
                <w:p w14:paraId="159A546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505" w:type="pct"/>
                  <w:vMerge w:val="continue"/>
                  <w:noWrap w:val="0"/>
                  <w:vAlign w:val="center"/>
                </w:tcPr>
                <w:p w14:paraId="1BAC63D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466" w:type="pct"/>
                  <w:vMerge w:val="continue"/>
                  <w:noWrap w:val="0"/>
                  <w:vAlign w:val="center"/>
                </w:tcPr>
                <w:p w14:paraId="6046739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17E7AF4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5EE4D15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r>
            <w:tr w14:paraId="34EDA6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noWrap w:val="0"/>
                  <w:vAlign w:val="center"/>
                </w:tcPr>
                <w:p w14:paraId="07A842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注塑机</w:t>
                  </w:r>
                </w:p>
              </w:tc>
              <w:tc>
                <w:tcPr>
                  <w:tcW w:w="533" w:type="pct"/>
                  <w:noWrap w:val="0"/>
                  <w:vAlign w:val="center"/>
                </w:tcPr>
                <w:p w14:paraId="0469B09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有机废气</w:t>
                  </w:r>
                </w:p>
              </w:tc>
              <w:tc>
                <w:tcPr>
                  <w:tcW w:w="642" w:type="pct"/>
                  <w:noWrap w:val="0"/>
                  <w:vAlign w:val="center"/>
                </w:tcPr>
                <w:p w14:paraId="7C9FFCA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非甲烷总烃</w:t>
                  </w:r>
                </w:p>
              </w:tc>
              <w:tc>
                <w:tcPr>
                  <w:tcW w:w="751" w:type="pct"/>
                  <w:noWrap w:val="0"/>
                  <w:vAlign w:val="center"/>
                </w:tcPr>
                <w:p w14:paraId="04710E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6F94FAB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continue"/>
                  <w:noWrap w:val="0"/>
                  <w:vAlign w:val="center"/>
                </w:tcPr>
                <w:p w14:paraId="601FD19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p>
              </w:tc>
              <w:tc>
                <w:tcPr>
                  <w:tcW w:w="505" w:type="pct"/>
                  <w:vMerge w:val="continue"/>
                  <w:noWrap w:val="0"/>
                  <w:vAlign w:val="center"/>
                </w:tcPr>
                <w:p w14:paraId="1CD4C83A">
                  <w:pPr>
                    <w:pStyle w:val="2"/>
                    <w:ind w:left="0" w:leftChars="0" w:firstLine="210" w:firstLineChars="100"/>
                    <w:rPr>
                      <w:rFonts w:hint="eastAsia"/>
                      <w:color w:val="auto"/>
                      <w:lang w:val="en-US" w:eastAsia="zh-CN"/>
                    </w:rPr>
                  </w:pPr>
                </w:p>
              </w:tc>
              <w:tc>
                <w:tcPr>
                  <w:tcW w:w="466" w:type="pct"/>
                  <w:vMerge w:val="continue"/>
                  <w:noWrap w:val="0"/>
                  <w:vAlign w:val="center"/>
                </w:tcPr>
                <w:p w14:paraId="13224D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69EB16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7793633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p>
              </w:tc>
            </w:tr>
            <w:tr w14:paraId="0183B4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noWrap w:val="0"/>
                  <w:vAlign w:val="center"/>
                </w:tcPr>
                <w:p w14:paraId="094B853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切割机</w:t>
                  </w:r>
                </w:p>
              </w:tc>
              <w:tc>
                <w:tcPr>
                  <w:tcW w:w="533" w:type="pct"/>
                  <w:noWrap w:val="0"/>
                  <w:vAlign w:val="center"/>
                </w:tcPr>
                <w:p w14:paraId="4D71FD0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粉尘</w:t>
                  </w:r>
                </w:p>
              </w:tc>
              <w:tc>
                <w:tcPr>
                  <w:tcW w:w="642" w:type="pct"/>
                  <w:noWrap w:val="0"/>
                  <w:vAlign w:val="center"/>
                </w:tcPr>
                <w:p w14:paraId="1A95390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颗粒物</w:t>
                  </w:r>
                </w:p>
              </w:tc>
              <w:tc>
                <w:tcPr>
                  <w:tcW w:w="751" w:type="pct"/>
                  <w:noWrap w:val="0"/>
                  <w:vAlign w:val="center"/>
                </w:tcPr>
                <w:p w14:paraId="081933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42CE4A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restart"/>
                  <w:noWrap w:val="0"/>
                  <w:vAlign w:val="center"/>
                </w:tcPr>
                <w:p w14:paraId="601CE8B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10000</w:t>
                  </w:r>
                </w:p>
              </w:tc>
              <w:tc>
                <w:tcPr>
                  <w:tcW w:w="505" w:type="pct"/>
                  <w:vMerge w:val="restart"/>
                  <w:noWrap w:val="0"/>
                  <w:vAlign w:val="center"/>
                </w:tcPr>
                <w:p w14:paraId="44D8F24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布袋除尘器</w:t>
                  </w:r>
                </w:p>
                <w:p w14:paraId="06AA6AFE">
                  <w:pPr>
                    <w:pStyle w:val="2"/>
                    <w:ind w:left="0" w:leftChars="0" w:firstLine="210" w:firstLineChars="100"/>
                    <w:rPr>
                      <w:rFonts w:hint="default"/>
                      <w:color w:val="auto"/>
                      <w:lang w:val="en-US" w:eastAsia="zh-CN"/>
                    </w:rPr>
                  </w:pPr>
                  <w:r>
                    <w:rPr>
                      <w:rFonts w:hint="eastAsia" w:cs="Times New Roman"/>
                      <w:b w:val="0"/>
                      <w:bCs/>
                      <w:color w:val="auto"/>
                      <w:kern w:val="0"/>
                      <w:sz w:val="21"/>
                      <w:szCs w:val="21"/>
                      <w:lang w:val="en-US" w:eastAsia="zh-CN"/>
                    </w:rPr>
                    <w:t>（TA002）</w:t>
                  </w:r>
                </w:p>
              </w:tc>
              <w:tc>
                <w:tcPr>
                  <w:tcW w:w="466" w:type="pct"/>
                  <w:vMerge w:val="restart"/>
                  <w:noWrap w:val="0"/>
                  <w:vAlign w:val="center"/>
                </w:tcPr>
                <w:p w14:paraId="4C53D17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95%</w:t>
                  </w:r>
                </w:p>
              </w:tc>
              <w:tc>
                <w:tcPr>
                  <w:tcW w:w="392" w:type="pct"/>
                  <w:vMerge w:val="restart"/>
                  <w:noWrap w:val="0"/>
                  <w:vAlign w:val="center"/>
                </w:tcPr>
                <w:p w14:paraId="44AA5C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是</w:t>
                  </w:r>
                </w:p>
              </w:tc>
              <w:tc>
                <w:tcPr>
                  <w:tcW w:w="487" w:type="pct"/>
                  <w:vMerge w:val="restart"/>
                  <w:noWrap w:val="0"/>
                  <w:vAlign w:val="center"/>
                </w:tcPr>
                <w:p w14:paraId="1A3DBF9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有组织</w:t>
                  </w:r>
                </w:p>
              </w:tc>
            </w:tr>
            <w:tr w14:paraId="38EDAF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noWrap w:val="0"/>
                  <w:vAlign w:val="center"/>
                </w:tcPr>
                <w:p w14:paraId="2FFF5B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打磨设备</w:t>
                  </w:r>
                </w:p>
              </w:tc>
              <w:tc>
                <w:tcPr>
                  <w:tcW w:w="533" w:type="pct"/>
                  <w:noWrap w:val="0"/>
                  <w:vAlign w:val="center"/>
                </w:tcPr>
                <w:p w14:paraId="408830B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粉尘</w:t>
                  </w:r>
                </w:p>
              </w:tc>
              <w:tc>
                <w:tcPr>
                  <w:tcW w:w="642" w:type="pct"/>
                  <w:noWrap w:val="0"/>
                  <w:vAlign w:val="center"/>
                </w:tcPr>
                <w:p w14:paraId="4D58DE2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颗粒物</w:t>
                  </w:r>
                </w:p>
              </w:tc>
              <w:tc>
                <w:tcPr>
                  <w:tcW w:w="751" w:type="pct"/>
                  <w:noWrap w:val="0"/>
                  <w:vAlign w:val="center"/>
                </w:tcPr>
                <w:p w14:paraId="64B36B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7C8BDD2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continue"/>
                  <w:noWrap w:val="0"/>
                  <w:vAlign w:val="center"/>
                </w:tcPr>
                <w:p w14:paraId="41E76BE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505" w:type="pct"/>
                  <w:vMerge w:val="continue"/>
                  <w:noWrap w:val="0"/>
                  <w:vAlign w:val="center"/>
                </w:tcPr>
                <w:p w14:paraId="307846E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466" w:type="pct"/>
                  <w:vMerge w:val="continue"/>
                  <w:noWrap w:val="0"/>
                  <w:vAlign w:val="center"/>
                </w:tcPr>
                <w:p w14:paraId="4381B4D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4482E90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17FA55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p>
              </w:tc>
            </w:tr>
            <w:tr w14:paraId="5DF76B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noWrap w:val="0"/>
                  <w:vAlign w:val="center"/>
                </w:tcPr>
                <w:p w14:paraId="0B410D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打孔机</w:t>
                  </w:r>
                </w:p>
              </w:tc>
              <w:tc>
                <w:tcPr>
                  <w:tcW w:w="533" w:type="pct"/>
                  <w:noWrap w:val="0"/>
                  <w:vAlign w:val="center"/>
                </w:tcPr>
                <w:p w14:paraId="3381163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粉尘</w:t>
                  </w:r>
                </w:p>
              </w:tc>
              <w:tc>
                <w:tcPr>
                  <w:tcW w:w="642" w:type="pct"/>
                  <w:noWrap w:val="0"/>
                  <w:vAlign w:val="center"/>
                </w:tcPr>
                <w:p w14:paraId="2B7CD02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颗粒物</w:t>
                  </w:r>
                </w:p>
              </w:tc>
              <w:tc>
                <w:tcPr>
                  <w:tcW w:w="751" w:type="pct"/>
                  <w:noWrap w:val="0"/>
                  <w:vAlign w:val="center"/>
                </w:tcPr>
                <w:p w14:paraId="7F5DA1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333" w:type="pct"/>
                  <w:noWrap w:val="0"/>
                  <w:vAlign w:val="center"/>
                </w:tcPr>
                <w:p w14:paraId="269E26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439" w:type="pct"/>
                  <w:noWrap w:val="0"/>
                  <w:vAlign w:val="center"/>
                </w:tcPr>
                <w:p w14:paraId="2B72C23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505" w:type="pct"/>
                  <w:noWrap w:val="0"/>
                  <w:vAlign w:val="center"/>
                </w:tcPr>
                <w:p w14:paraId="4F54A0F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w:t>
                  </w:r>
                </w:p>
              </w:tc>
              <w:tc>
                <w:tcPr>
                  <w:tcW w:w="466" w:type="pct"/>
                  <w:noWrap w:val="0"/>
                  <w:vAlign w:val="center"/>
                </w:tcPr>
                <w:p w14:paraId="332A666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w:t>
                  </w:r>
                </w:p>
              </w:tc>
              <w:tc>
                <w:tcPr>
                  <w:tcW w:w="392" w:type="pct"/>
                  <w:noWrap w:val="0"/>
                  <w:vAlign w:val="center"/>
                </w:tcPr>
                <w:p w14:paraId="3BEEE95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487" w:type="pct"/>
                  <w:noWrap w:val="0"/>
                  <w:vAlign w:val="center"/>
                </w:tcPr>
                <w:p w14:paraId="23E63C2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无组织</w:t>
                  </w:r>
                </w:p>
              </w:tc>
            </w:tr>
            <w:tr w14:paraId="17DF44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49" w:type="pct"/>
                  <w:noWrap w:val="0"/>
                  <w:vAlign w:val="center"/>
                </w:tcPr>
                <w:p w14:paraId="06BD23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破碎机</w:t>
                  </w:r>
                </w:p>
              </w:tc>
              <w:tc>
                <w:tcPr>
                  <w:tcW w:w="533" w:type="pct"/>
                  <w:noWrap w:val="0"/>
                  <w:vAlign w:val="center"/>
                </w:tcPr>
                <w:p w14:paraId="4A22049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粉尘</w:t>
                  </w:r>
                </w:p>
              </w:tc>
              <w:tc>
                <w:tcPr>
                  <w:tcW w:w="642" w:type="pct"/>
                  <w:noWrap w:val="0"/>
                  <w:vAlign w:val="center"/>
                </w:tcPr>
                <w:p w14:paraId="0201EE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颗粒物</w:t>
                  </w:r>
                </w:p>
              </w:tc>
              <w:tc>
                <w:tcPr>
                  <w:tcW w:w="751" w:type="pct"/>
                  <w:noWrap w:val="0"/>
                  <w:vAlign w:val="center"/>
                </w:tcPr>
                <w:p w14:paraId="33C0A5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333" w:type="pct"/>
                  <w:noWrap w:val="0"/>
                  <w:vAlign w:val="center"/>
                </w:tcPr>
                <w:p w14:paraId="37C8AA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439" w:type="pct"/>
                  <w:noWrap w:val="0"/>
                  <w:vAlign w:val="center"/>
                </w:tcPr>
                <w:p w14:paraId="21386A9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505" w:type="pct"/>
                  <w:noWrap w:val="0"/>
                  <w:vAlign w:val="center"/>
                </w:tcPr>
                <w:p w14:paraId="60F8826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w:t>
                  </w:r>
                </w:p>
              </w:tc>
              <w:tc>
                <w:tcPr>
                  <w:tcW w:w="466" w:type="pct"/>
                  <w:noWrap w:val="0"/>
                  <w:vAlign w:val="center"/>
                </w:tcPr>
                <w:p w14:paraId="3BB4C97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w:t>
                  </w:r>
                </w:p>
              </w:tc>
              <w:tc>
                <w:tcPr>
                  <w:tcW w:w="392" w:type="pct"/>
                  <w:noWrap w:val="0"/>
                  <w:vAlign w:val="center"/>
                </w:tcPr>
                <w:p w14:paraId="1351219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487" w:type="pct"/>
                  <w:noWrap w:val="0"/>
                  <w:vAlign w:val="center"/>
                </w:tcPr>
                <w:p w14:paraId="79DDCF8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无组织</w:t>
                  </w:r>
                </w:p>
              </w:tc>
            </w:tr>
          </w:tbl>
          <w:p w14:paraId="6C2FE06A">
            <w:pPr>
              <w:adjustRightInd w:val="0"/>
              <w:snapToGrid w:val="0"/>
              <w:spacing w:line="240" w:lineRule="auto"/>
              <w:ind w:firstLine="0" w:firstLineChars="0"/>
              <w:rPr>
                <w:rFonts w:hint="default" w:ascii="Times New Roman" w:hAnsi="Times New Roman" w:eastAsia="宋体" w:cs="Times New Roman"/>
                <w:color w:val="auto"/>
                <w:kern w:val="0"/>
                <w:sz w:val="18"/>
                <w:szCs w:val="18"/>
              </w:rPr>
            </w:pPr>
          </w:p>
          <w:p w14:paraId="5C162478">
            <w:pPr>
              <w:adjustRightInd w:val="0"/>
              <w:snapToGrid w:val="0"/>
              <w:spacing w:before="120" w:beforeLines="50"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w:t>
            </w:r>
            <w:r>
              <w:rPr>
                <w:rFonts w:hint="default" w:ascii="Times New Roman" w:hAnsi="Times New Roman" w:eastAsia="宋体" w:cs="Times New Roman"/>
                <w:b/>
                <w:bCs/>
                <w:color w:val="auto"/>
                <w:kern w:val="0"/>
                <w:sz w:val="21"/>
                <w:szCs w:val="20"/>
              </w:rPr>
              <w:t>4-</w:t>
            </w:r>
            <w:r>
              <w:rPr>
                <w:rFonts w:hint="default" w:ascii="Times New Roman" w:hAnsi="Times New Roman" w:eastAsia="宋体" w:cs="Times New Roman"/>
                <w:b/>
                <w:bCs/>
                <w:color w:val="auto"/>
                <w:kern w:val="0"/>
                <w:sz w:val="21"/>
                <w:szCs w:val="20"/>
                <w:lang w:val="en-US" w:eastAsia="zh-CN"/>
              </w:rPr>
              <w:t>5</w:t>
            </w:r>
            <w:r>
              <w:rPr>
                <w:rFonts w:hint="eastAsia" w:cs="Times New Roman"/>
                <w:b/>
                <w:bCs/>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建设项目废气排放口基本情况一览表</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63"/>
              <w:gridCol w:w="977"/>
              <w:gridCol w:w="1242"/>
              <w:gridCol w:w="2025"/>
              <w:gridCol w:w="2115"/>
              <w:gridCol w:w="1035"/>
              <w:gridCol w:w="804"/>
              <w:gridCol w:w="633"/>
              <w:gridCol w:w="633"/>
              <w:gridCol w:w="567"/>
              <w:gridCol w:w="1002"/>
              <w:gridCol w:w="1278"/>
              <w:gridCol w:w="1197"/>
              <w:gridCol w:w="1215"/>
            </w:tblGrid>
            <w:tr w14:paraId="06AC2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87" w:type="pct"/>
                  <w:vMerge w:val="restart"/>
                  <w:noWrap w:val="0"/>
                  <w:vAlign w:val="center"/>
                </w:tcPr>
                <w:p w14:paraId="2C30ACA7">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编号</w:t>
                  </w:r>
                </w:p>
              </w:tc>
              <w:tc>
                <w:tcPr>
                  <w:tcW w:w="325" w:type="pct"/>
                  <w:vMerge w:val="restart"/>
                  <w:noWrap w:val="0"/>
                  <w:vAlign w:val="center"/>
                </w:tcPr>
                <w:p w14:paraId="1A3D7C2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名称</w:t>
                  </w:r>
                </w:p>
              </w:tc>
              <w:tc>
                <w:tcPr>
                  <w:tcW w:w="414" w:type="pct"/>
                  <w:vMerge w:val="restart"/>
                  <w:noWrap w:val="0"/>
                  <w:vAlign w:val="center"/>
                </w:tcPr>
                <w:p w14:paraId="27E73BA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排放口类型</w:t>
                  </w:r>
                </w:p>
              </w:tc>
              <w:tc>
                <w:tcPr>
                  <w:tcW w:w="1381" w:type="pct"/>
                  <w:gridSpan w:val="2"/>
                  <w:vMerge w:val="restart"/>
                  <w:noWrap w:val="0"/>
                  <w:vAlign w:val="center"/>
                </w:tcPr>
                <w:p w14:paraId="163EDDB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排气筒底部中心坐标</w:t>
                  </w:r>
                </w:p>
                <w:p w14:paraId="1CF5A5D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经纬度</w:t>
                  </w:r>
                  <w:r>
                    <w:rPr>
                      <w:rFonts w:hint="default" w:ascii="Times New Roman" w:hAnsi="Times New Roman" w:eastAsia="宋体" w:cs="Times New Roman"/>
                      <w:b w:val="0"/>
                      <w:bCs/>
                      <w:color w:val="auto"/>
                      <w:kern w:val="0"/>
                      <w:sz w:val="21"/>
                      <w:szCs w:val="21"/>
                    </w:rPr>
                    <w:t>）</w:t>
                  </w:r>
                </w:p>
              </w:tc>
              <w:tc>
                <w:tcPr>
                  <w:tcW w:w="345" w:type="pct"/>
                  <w:vMerge w:val="restart"/>
                  <w:noWrap w:val="0"/>
                  <w:vAlign w:val="center"/>
                </w:tcPr>
                <w:p w14:paraId="78BFD9C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w:t>
                  </w:r>
                  <w:r>
                    <w:rPr>
                      <w:rFonts w:hint="eastAsia" w:cs="Times New Roman"/>
                      <w:b w:val="0"/>
                      <w:bCs/>
                      <w:color w:val="auto"/>
                      <w:kern w:val="0"/>
                      <w:sz w:val="21"/>
                      <w:szCs w:val="21"/>
                      <w:lang w:eastAsia="zh-CN"/>
                    </w:rPr>
                    <w:t>海拔</w:t>
                  </w:r>
                  <w:r>
                    <w:rPr>
                      <w:rFonts w:hint="default" w:ascii="Times New Roman" w:hAnsi="Times New Roman" w:eastAsia="宋体" w:cs="Times New Roman"/>
                      <w:b w:val="0"/>
                      <w:bCs/>
                      <w:color w:val="auto"/>
                      <w:kern w:val="0"/>
                      <w:sz w:val="21"/>
                      <w:szCs w:val="21"/>
                    </w:rPr>
                    <w:t>/m</w:t>
                  </w:r>
                </w:p>
              </w:tc>
              <w:tc>
                <w:tcPr>
                  <w:tcW w:w="268" w:type="pct"/>
                  <w:vMerge w:val="restart"/>
                  <w:noWrap w:val="0"/>
                  <w:vAlign w:val="center"/>
                </w:tcPr>
                <w:p w14:paraId="2A8D394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排气筒高度/m</w:t>
                  </w:r>
                </w:p>
              </w:tc>
              <w:tc>
                <w:tcPr>
                  <w:tcW w:w="211" w:type="pct"/>
                  <w:vMerge w:val="restart"/>
                  <w:noWrap w:val="0"/>
                  <w:vAlign w:val="center"/>
                </w:tcPr>
                <w:p w14:paraId="7CB15C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排气筒内径/m</w:t>
                  </w:r>
                </w:p>
              </w:tc>
              <w:tc>
                <w:tcPr>
                  <w:tcW w:w="211" w:type="pct"/>
                  <w:vMerge w:val="restart"/>
                  <w:noWrap w:val="0"/>
                  <w:vAlign w:val="center"/>
                </w:tcPr>
                <w:p w14:paraId="193B997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烟气温度/℃</w:t>
                  </w:r>
                </w:p>
              </w:tc>
              <w:tc>
                <w:tcPr>
                  <w:tcW w:w="189" w:type="pct"/>
                  <w:vMerge w:val="restart"/>
                  <w:noWrap w:val="0"/>
                  <w:vAlign w:val="center"/>
                </w:tcPr>
                <w:p w14:paraId="1C4602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排放工况</w:t>
                  </w:r>
                </w:p>
              </w:tc>
              <w:tc>
                <w:tcPr>
                  <w:tcW w:w="334" w:type="pct"/>
                  <w:vMerge w:val="restart"/>
                  <w:noWrap w:val="0"/>
                  <w:vAlign w:val="center"/>
                </w:tcPr>
                <w:p w14:paraId="1C30F07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污染物类型</w:t>
                  </w:r>
                </w:p>
              </w:tc>
              <w:tc>
                <w:tcPr>
                  <w:tcW w:w="1231" w:type="pct"/>
                  <w:gridSpan w:val="3"/>
                  <w:noWrap w:val="0"/>
                  <w:vAlign w:val="center"/>
                </w:tcPr>
                <w:p w14:paraId="03BB1DA9">
                  <w:pPr>
                    <w:widowControl/>
                    <w:adjustRightInd w:val="0"/>
                    <w:snapToGrid w:val="0"/>
                    <w:spacing w:line="240" w:lineRule="auto"/>
                    <w:ind w:firstLine="0" w:firstLineChars="0"/>
                    <w:jc w:val="center"/>
                    <w:rPr>
                      <w:rFonts w:hint="default" w:ascii="Times New Roman" w:hAnsi="Times New Roman" w:eastAsia="宋体" w:cs="Times New Roman"/>
                      <w:b w:val="0"/>
                      <w:bCs/>
                      <w:color w:val="auto"/>
                      <w:sz w:val="21"/>
                      <w:lang w:val="en-US" w:eastAsia="zh-CN"/>
                    </w:rPr>
                  </w:pPr>
                  <w:r>
                    <w:rPr>
                      <w:rFonts w:hint="default" w:ascii="Times New Roman" w:hAnsi="Times New Roman" w:eastAsia="宋体" w:cs="Times New Roman"/>
                      <w:b w:val="0"/>
                      <w:bCs/>
                      <w:color w:val="auto"/>
                      <w:sz w:val="21"/>
                      <w:lang w:val="en-US" w:eastAsia="zh-CN"/>
                    </w:rPr>
                    <w:t>排放情况</w:t>
                  </w:r>
                </w:p>
              </w:tc>
            </w:tr>
            <w:tr w14:paraId="72F24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7" w:type="pct"/>
                  <w:vMerge w:val="continue"/>
                  <w:noWrap w:val="0"/>
                  <w:vAlign w:val="center"/>
                </w:tcPr>
                <w:p w14:paraId="4944D4D1">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vMerge w:val="continue"/>
                  <w:noWrap w:val="0"/>
                  <w:vAlign w:val="center"/>
                </w:tcPr>
                <w:p w14:paraId="3AE49C6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14" w:type="pct"/>
                  <w:vMerge w:val="continue"/>
                  <w:noWrap w:val="0"/>
                  <w:vAlign w:val="center"/>
                </w:tcPr>
                <w:p w14:paraId="550FAAE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381" w:type="pct"/>
                  <w:gridSpan w:val="2"/>
                  <w:vMerge w:val="continue"/>
                  <w:noWrap w:val="0"/>
                  <w:vAlign w:val="center"/>
                </w:tcPr>
                <w:p w14:paraId="072F1DB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403DA4B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5DD3A3A3">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79F52D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1E2272B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52BE20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471D581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restart"/>
                  <w:noWrap w:val="0"/>
                  <w:vAlign w:val="center"/>
                </w:tcPr>
                <w:p w14:paraId="253D3F8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w:t>
                  </w:r>
                </w:p>
                <w:p w14:paraId="3BC77D6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399" w:type="pct"/>
                  <w:vMerge w:val="restart"/>
                  <w:noWrap w:val="0"/>
                  <w:vAlign w:val="center"/>
                </w:tcPr>
                <w:p w14:paraId="0AC0149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w:t>
                  </w:r>
                </w:p>
                <w:p w14:paraId="2622067A">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405" w:type="pct"/>
                  <w:vMerge w:val="restart"/>
                  <w:noWrap w:val="0"/>
                  <w:vAlign w:val="center"/>
                </w:tcPr>
                <w:p w14:paraId="00B52B4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排放量（t/a）</w:t>
                  </w:r>
                </w:p>
              </w:tc>
            </w:tr>
            <w:tr w14:paraId="02520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87" w:type="pct"/>
                  <w:vMerge w:val="continue"/>
                  <w:noWrap w:val="0"/>
                  <w:vAlign w:val="center"/>
                </w:tcPr>
                <w:p w14:paraId="06C1647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vMerge w:val="continue"/>
                  <w:noWrap w:val="0"/>
                  <w:vAlign w:val="center"/>
                </w:tcPr>
                <w:p w14:paraId="6DCE6F8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14" w:type="pct"/>
                  <w:vMerge w:val="continue"/>
                  <w:noWrap w:val="0"/>
                  <w:vAlign w:val="center"/>
                </w:tcPr>
                <w:p w14:paraId="3B982595">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75" w:type="pct"/>
                  <w:noWrap w:val="0"/>
                  <w:vAlign w:val="center"/>
                </w:tcPr>
                <w:p w14:paraId="7B2BE380">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X</w:t>
                  </w:r>
                </w:p>
              </w:tc>
              <w:tc>
                <w:tcPr>
                  <w:tcW w:w="705" w:type="pct"/>
                  <w:noWrap w:val="0"/>
                  <w:vAlign w:val="center"/>
                </w:tcPr>
                <w:p w14:paraId="2143C309">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Y</w:t>
                  </w:r>
                </w:p>
              </w:tc>
              <w:tc>
                <w:tcPr>
                  <w:tcW w:w="345" w:type="pct"/>
                  <w:vMerge w:val="continue"/>
                  <w:noWrap w:val="0"/>
                  <w:vAlign w:val="center"/>
                </w:tcPr>
                <w:p w14:paraId="5355677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4976E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394BF91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6FE3A9A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7F5AC59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0F190CA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continue"/>
                  <w:noWrap w:val="0"/>
                  <w:vAlign w:val="center"/>
                </w:tcPr>
                <w:p w14:paraId="6FF5777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9" w:type="pct"/>
                  <w:vMerge w:val="continue"/>
                  <w:noWrap w:val="0"/>
                  <w:vAlign w:val="center"/>
                </w:tcPr>
                <w:p w14:paraId="07EFDBD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5" w:type="pct"/>
                  <w:vMerge w:val="continue"/>
                  <w:noWrap w:val="0"/>
                  <w:vAlign w:val="center"/>
                </w:tcPr>
                <w:p w14:paraId="6E9C32ED">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r>
            <w:tr w14:paraId="79E20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87" w:type="pct"/>
                  <w:vMerge w:val="restart"/>
                  <w:noWrap w:val="0"/>
                  <w:vAlign w:val="center"/>
                </w:tcPr>
                <w:p w14:paraId="2A9B82E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p>
              </w:tc>
              <w:tc>
                <w:tcPr>
                  <w:tcW w:w="325" w:type="pct"/>
                  <w:vMerge w:val="restart"/>
                  <w:noWrap w:val="0"/>
                  <w:vAlign w:val="center"/>
                </w:tcPr>
                <w:p w14:paraId="4E6515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DA001</w:t>
                  </w:r>
                </w:p>
              </w:tc>
              <w:tc>
                <w:tcPr>
                  <w:tcW w:w="414" w:type="pct"/>
                  <w:vMerge w:val="restart"/>
                  <w:noWrap w:val="0"/>
                  <w:vAlign w:val="center"/>
                </w:tcPr>
                <w:p w14:paraId="7E8A377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一般排放口</w:t>
                  </w:r>
                </w:p>
              </w:tc>
              <w:tc>
                <w:tcPr>
                  <w:tcW w:w="675" w:type="pct"/>
                  <w:vMerge w:val="restart"/>
                  <w:noWrap w:val="0"/>
                  <w:vAlign w:val="center"/>
                </w:tcPr>
                <w:p w14:paraId="6604C36E">
                  <w:pPr>
                    <w:pStyle w:val="30"/>
                    <w:bidi w:val="0"/>
                    <w:ind w:firstLine="0" w:firstLineChars="0"/>
                    <w:rPr>
                      <w:rFonts w:hint="default" w:ascii="Times New Roman" w:hAnsi="Times New Roman" w:eastAsia="宋体" w:cs="Times New Roman"/>
                      <w:b w:val="0"/>
                      <w:bCs/>
                      <w:color w:val="auto"/>
                      <w:kern w:val="0"/>
                      <w:sz w:val="21"/>
                      <w:szCs w:val="21"/>
                      <w:lang w:val="en-US" w:eastAsia="zh-CN"/>
                    </w:rPr>
                  </w:pPr>
                  <w:r>
                    <w:rPr>
                      <w:rFonts w:hint="eastAsia" w:ascii="Times New Roman" w:cs="Times New Roman"/>
                      <w:b w:val="0"/>
                      <w:bCs/>
                      <w:color w:val="auto"/>
                      <w:sz w:val="21"/>
                      <w:szCs w:val="21"/>
                      <w:lang w:val="en-US" w:eastAsia="zh-CN"/>
                    </w:rPr>
                    <w:t>119°12′47.130″</w:t>
                  </w:r>
                </w:p>
              </w:tc>
              <w:tc>
                <w:tcPr>
                  <w:tcW w:w="705" w:type="pct"/>
                  <w:vMerge w:val="restart"/>
                  <w:noWrap w:val="0"/>
                  <w:vAlign w:val="center"/>
                </w:tcPr>
                <w:p w14:paraId="3C1B73DF">
                  <w:pPr>
                    <w:pStyle w:val="30"/>
                    <w:bidi w:val="0"/>
                    <w:ind w:firstLine="0" w:firstLineChars="0"/>
                    <w:rPr>
                      <w:rFonts w:hint="default" w:ascii="Times New Roman" w:hAnsi="Times New Roman" w:eastAsia="宋体" w:cs="Times New Roman"/>
                      <w:b w:val="0"/>
                      <w:bCs/>
                      <w:color w:val="auto"/>
                      <w:sz w:val="21"/>
                      <w:szCs w:val="21"/>
                      <w:lang w:val="en-US" w:eastAsia="zh-CN"/>
                    </w:rPr>
                  </w:pPr>
                  <w:r>
                    <w:rPr>
                      <w:rFonts w:hint="eastAsia" w:ascii="Times New Roman" w:cs="Times New Roman"/>
                      <w:b w:val="0"/>
                      <w:bCs/>
                      <w:color w:val="auto"/>
                      <w:sz w:val="21"/>
                      <w:szCs w:val="21"/>
                      <w:lang w:val="en-US" w:eastAsia="zh-CN"/>
                    </w:rPr>
                    <w:t>33°47′53.346″</w:t>
                  </w:r>
                </w:p>
              </w:tc>
              <w:tc>
                <w:tcPr>
                  <w:tcW w:w="345" w:type="pct"/>
                  <w:vMerge w:val="restart"/>
                  <w:noWrap w:val="0"/>
                  <w:vAlign w:val="center"/>
                </w:tcPr>
                <w:p w14:paraId="37DB835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w:t>
                  </w:r>
                </w:p>
              </w:tc>
              <w:tc>
                <w:tcPr>
                  <w:tcW w:w="268" w:type="pct"/>
                  <w:vMerge w:val="restart"/>
                  <w:noWrap w:val="0"/>
                  <w:vAlign w:val="center"/>
                </w:tcPr>
                <w:p w14:paraId="0C8B377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15</w:t>
                  </w:r>
                </w:p>
              </w:tc>
              <w:tc>
                <w:tcPr>
                  <w:tcW w:w="211" w:type="pct"/>
                  <w:vMerge w:val="restart"/>
                  <w:noWrap w:val="0"/>
                  <w:vAlign w:val="center"/>
                </w:tcPr>
                <w:p w14:paraId="563F9ED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0.</w:t>
                  </w:r>
                  <w:r>
                    <w:rPr>
                      <w:rFonts w:hint="default" w:ascii="Times New Roman" w:hAnsi="Times New Roman" w:eastAsia="宋体" w:cs="Times New Roman"/>
                      <w:b w:val="0"/>
                      <w:bCs/>
                      <w:color w:val="auto"/>
                      <w:sz w:val="21"/>
                      <w:szCs w:val="21"/>
                      <w:lang w:val="en-US" w:eastAsia="zh-CN"/>
                    </w:rPr>
                    <w:t>5</w:t>
                  </w:r>
                </w:p>
              </w:tc>
              <w:tc>
                <w:tcPr>
                  <w:tcW w:w="211" w:type="pct"/>
                  <w:vMerge w:val="restart"/>
                  <w:noWrap w:val="0"/>
                  <w:vAlign w:val="center"/>
                </w:tcPr>
                <w:p w14:paraId="5E2F7CA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25</w:t>
                  </w:r>
                </w:p>
              </w:tc>
              <w:tc>
                <w:tcPr>
                  <w:tcW w:w="189" w:type="pct"/>
                  <w:vMerge w:val="restart"/>
                  <w:noWrap w:val="0"/>
                  <w:vAlign w:val="center"/>
                </w:tcPr>
                <w:p w14:paraId="22AA78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正常</w:t>
                  </w:r>
                </w:p>
              </w:tc>
              <w:tc>
                <w:tcPr>
                  <w:tcW w:w="334" w:type="pct"/>
                  <w:noWrap w:val="0"/>
                  <w:vAlign w:val="center"/>
                </w:tcPr>
                <w:p w14:paraId="736E92F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kern w:val="0"/>
                      <w:sz w:val="21"/>
                      <w:szCs w:val="21"/>
                      <w:lang w:val="en-US" w:eastAsia="zh-CN"/>
                    </w:rPr>
                    <w:t>非甲烷总烃</w:t>
                  </w:r>
                </w:p>
              </w:tc>
              <w:tc>
                <w:tcPr>
                  <w:tcW w:w="1278" w:type="dxa"/>
                  <w:noWrap w:val="0"/>
                  <w:vAlign w:val="center"/>
                </w:tcPr>
                <w:p w14:paraId="6DED720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lang w:val="en-US"/>
                    </w:rPr>
                  </w:pPr>
                  <w:r>
                    <w:rPr>
                      <w:rFonts w:hint="eastAsia" w:cs="宋体"/>
                      <w:i w:val="0"/>
                      <w:iCs w:val="0"/>
                      <w:color w:val="auto"/>
                      <w:kern w:val="0"/>
                      <w:sz w:val="21"/>
                      <w:szCs w:val="22"/>
                      <w:u w:val="none"/>
                      <w:lang w:val="en-US" w:eastAsia="zh-CN" w:bidi="ar"/>
                    </w:rPr>
                    <w:t>20.394</w:t>
                  </w:r>
                </w:p>
              </w:tc>
              <w:tc>
                <w:tcPr>
                  <w:tcW w:w="1197" w:type="dxa"/>
                  <w:noWrap w:val="0"/>
                  <w:vAlign w:val="center"/>
                </w:tcPr>
                <w:p w14:paraId="6CC3A92B">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245</w:t>
                  </w:r>
                </w:p>
              </w:tc>
              <w:tc>
                <w:tcPr>
                  <w:tcW w:w="1215" w:type="dxa"/>
                  <w:noWrap w:val="0"/>
                  <w:vAlign w:val="center"/>
                </w:tcPr>
                <w:p w14:paraId="1CB453AD">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1"/>
                      <w:szCs w:val="22"/>
                      <w:u w:val="none"/>
                      <w:lang w:val="en-US" w:eastAsia="zh-CN" w:bidi="ar"/>
                    </w:rPr>
                    <w:t>0.587</w:t>
                  </w:r>
                </w:p>
              </w:tc>
            </w:tr>
            <w:tr w14:paraId="398489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87" w:type="pct"/>
                  <w:vMerge w:val="continue"/>
                  <w:noWrap w:val="0"/>
                  <w:vAlign w:val="center"/>
                </w:tcPr>
                <w:p w14:paraId="3D5469FE">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325" w:type="pct"/>
                  <w:vMerge w:val="continue"/>
                  <w:noWrap w:val="0"/>
                  <w:vAlign w:val="center"/>
                </w:tcPr>
                <w:p w14:paraId="3F4BEE7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414" w:type="pct"/>
                  <w:vMerge w:val="continue"/>
                  <w:noWrap w:val="0"/>
                  <w:vAlign w:val="center"/>
                </w:tcPr>
                <w:p w14:paraId="5D75BE4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75" w:type="pct"/>
                  <w:vMerge w:val="continue"/>
                  <w:noWrap w:val="0"/>
                  <w:vAlign w:val="center"/>
                </w:tcPr>
                <w:p w14:paraId="7C84B075">
                  <w:pPr>
                    <w:pStyle w:val="30"/>
                    <w:bidi w:val="0"/>
                    <w:ind w:firstLine="0" w:firstLineChars="0"/>
                    <w:rPr>
                      <w:rFonts w:hint="eastAsia" w:ascii="Times New Roman" w:cs="Times New Roman"/>
                      <w:b w:val="0"/>
                      <w:bCs/>
                      <w:color w:val="auto"/>
                      <w:sz w:val="21"/>
                      <w:szCs w:val="21"/>
                      <w:lang w:val="en-US" w:eastAsia="zh-CN"/>
                    </w:rPr>
                  </w:pPr>
                </w:p>
              </w:tc>
              <w:tc>
                <w:tcPr>
                  <w:tcW w:w="705" w:type="pct"/>
                  <w:vMerge w:val="continue"/>
                  <w:noWrap w:val="0"/>
                  <w:vAlign w:val="center"/>
                </w:tcPr>
                <w:p w14:paraId="7289FDEF">
                  <w:pPr>
                    <w:pStyle w:val="30"/>
                    <w:bidi w:val="0"/>
                    <w:ind w:firstLine="0" w:firstLineChars="0"/>
                    <w:rPr>
                      <w:rFonts w:hint="eastAsia" w:ascii="Times New Roman" w:cs="Times New Roman"/>
                      <w:b w:val="0"/>
                      <w:bCs/>
                      <w:color w:val="auto"/>
                      <w:sz w:val="21"/>
                      <w:szCs w:val="21"/>
                      <w:lang w:val="en-US" w:eastAsia="zh-CN"/>
                    </w:rPr>
                  </w:pPr>
                </w:p>
              </w:tc>
              <w:tc>
                <w:tcPr>
                  <w:tcW w:w="345" w:type="pct"/>
                  <w:vMerge w:val="continue"/>
                  <w:noWrap w:val="0"/>
                  <w:vAlign w:val="center"/>
                </w:tcPr>
                <w:p w14:paraId="2FA94588">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p>
              </w:tc>
              <w:tc>
                <w:tcPr>
                  <w:tcW w:w="268" w:type="pct"/>
                  <w:vMerge w:val="continue"/>
                  <w:noWrap w:val="0"/>
                  <w:vAlign w:val="center"/>
                </w:tcPr>
                <w:p w14:paraId="7FEF2C2B">
                  <w:pPr>
                    <w:adjustRightInd w:val="0"/>
                    <w:snapToGrid w:val="0"/>
                    <w:spacing w:line="240" w:lineRule="auto"/>
                    <w:ind w:firstLine="0" w:firstLineChars="0"/>
                    <w:jc w:val="center"/>
                    <w:rPr>
                      <w:rFonts w:hint="eastAsia" w:cs="Times New Roman"/>
                      <w:b w:val="0"/>
                      <w:bCs/>
                      <w:color w:val="auto"/>
                      <w:sz w:val="21"/>
                      <w:szCs w:val="21"/>
                      <w:lang w:val="en-US" w:eastAsia="zh-CN"/>
                    </w:rPr>
                  </w:pPr>
                </w:p>
              </w:tc>
              <w:tc>
                <w:tcPr>
                  <w:tcW w:w="211" w:type="pct"/>
                  <w:vMerge w:val="continue"/>
                  <w:noWrap w:val="0"/>
                  <w:vAlign w:val="center"/>
                </w:tcPr>
                <w:p w14:paraId="33D413D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64D064A5">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189" w:type="pct"/>
                  <w:vMerge w:val="continue"/>
                  <w:noWrap w:val="0"/>
                  <w:vAlign w:val="center"/>
                </w:tcPr>
                <w:p w14:paraId="0004038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334" w:type="pct"/>
                  <w:noWrap w:val="0"/>
                  <w:vAlign w:val="center"/>
                </w:tcPr>
                <w:p w14:paraId="3AFDA655">
                  <w:pPr>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苯乙烯</w:t>
                  </w:r>
                </w:p>
              </w:tc>
              <w:tc>
                <w:tcPr>
                  <w:tcW w:w="1278" w:type="dxa"/>
                  <w:noWrap w:val="0"/>
                  <w:vAlign w:val="center"/>
                </w:tcPr>
                <w:p w14:paraId="322E5EEE">
                  <w:pPr>
                    <w:keepNext w:val="0"/>
                    <w:keepLines w:val="0"/>
                    <w:widowControl/>
                    <w:suppressLineNumbers w:val="0"/>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cs="宋体"/>
                      <w:i w:val="0"/>
                      <w:iCs w:val="0"/>
                      <w:color w:val="auto"/>
                      <w:kern w:val="0"/>
                      <w:sz w:val="21"/>
                      <w:szCs w:val="22"/>
                      <w:u w:val="none"/>
                      <w:lang w:val="en-US" w:eastAsia="zh-CN" w:bidi="ar"/>
                    </w:rPr>
                    <w:t>18.75</w:t>
                  </w:r>
                </w:p>
              </w:tc>
              <w:tc>
                <w:tcPr>
                  <w:tcW w:w="1197" w:type="dxa"/>
                  <w:noWrap w:val="0"/>
                  <w:vAlign w:val="center"/>
                </w:tcPr>
                <w:p w14:paraId="5F16A5D6">
                  <w:pPr>
                    <w:keepNext w:val="0"/>
                    <w:keepLines w:val="0"/>
                    <w:widowControl/>
                    <w:suppressLineNumbers w:val="0"/>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cs="宋体"/>
                      <w:i w:val="0"/>
                      <w:iCs w:val="0"/>
                      <w:color w:val="auto"/>
                      <w:kern w:val="0"/>
                      <w:sz w:val="21"/>
                      <w:szCs w:val="22"/>
                      <w:u w:val="none"/>
                      <w:lang w:val="en-US" w:eastAsia="zh-CN" w:bidi="ar"/>
                    </w:rPr>
                    <w:t>0.225</w:t>
                  </w:r>
                </w:p>
              </w:tc>
              <w:tc>
                <w:tcPr>
                  <w:tcW w:w="1215" w:type="dxa"/>
                  <w:noWrap w:val="0"/>
                  <w:vAlign w:val="center"/>
                </w:tcPr>
                <w:p w14:paraId="39D3B9E8">
                  <w:pPr>
                    <w:keepNext w:val="0"/>
                    <w:keepLines w:val="0"/>
                    <w:widowControl/>
                    <w:suppressLineNumbers w:val="0"/>
                    <w:jc w:val="center"/>
                    <w:textAlignment w:val="center"/>
                    <w:rPr>
                      <w:rFonts w:hint="default"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w:t>
                  </w:r>
                </w:p>
              </w:tc>
            </w:tr>
            <w:tr w14:paraId="3EA44E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87" w:type="pct"/>
                  <w:vMerge w:val="continue"/>
                  <w:noWrap w:val="0"/>
                  <w:vAlign w:val="center"/>
                </w:tcPr>
                <w:p w14:paraId="64A3BEB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325" w:type="pct"/>
                  <w:vMerge w:val="continue"/>
                  <w:noWrap w:val="0"/>
                  <w:vAlign w:val="center"/>
                </w:tcPr>
                <w:p w14:paraId="6841C751">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414" w:type="pct"/>
                  <w:vMerge w:val="continue"/>
                  <w:noWrap w:val="0"/>
                  <w:vAlign w:val="center"/>
                </w:tcPr>
                <w:p w14:paraId="1B7B6A60">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75" w:type="pct"/>
                  <w:vMerge w:val="continue"/>
                  <w:noWrap w:val="0"/>
                  <w:vAlign w:val="center"/>
                </w:tcPr>
                <w:p w14:paraId="68E2AE94">
                  <w:pPr>
                    <w:pStyle w:val="30"/>
                    <w:bidi w:val="0"/>
                    <w:ind w:firstLine="0" w:firstLineChars="0"/>
                    <w:rPr>
                      <w:rFonts w:hint="eastAsia" w:ascii="Times New Roman" w:cs="Times New Roman"/>
                      <w:b w:val="0"/>
                      <w:bCs/>
                      <w:color w:val="auto"/>
                      <w:sz w:val="21"/>
                      <w:szCs w:val="21"/>
                      <w:lang w:val="en-US" w:eastAsia="zh-CN"/>
                    </w:rPr>
                  </w:pPr>
                </w:p>
              </w:tc>
              <w:tc>
                <w:tcPr>
                  <w:tcW w:w="705" w:type="pct"/>
                  <w:vMerge w:val="continue"/>
                  <w:noWrap w:val="0"/>
                  <w:vAlign w:val="center"/>
                </w:tcPr>
                <w:p w14:paraId="0C134539">
                  <w:pPr>
                    <w:pStyle w:val="30"/>
                    <w:bidi w:val="0"/>
                    <w:ind w:firstLine="0" w:firstLineChars="0"/>
                    <w:rPr>
                      <w:rFonts w:hint="eastAsia" w:ascii="Times New Roman" w:cs="Times New Roman"/>
                      <w:b w:val="0"/>
                      <w:bCs/>
                      <w:color w:val="auto"/>
                      <w:sz w:val="21"/>
                      <w:szCs w:val="21"/>
                      <w:lang w:val="en-US" w:eastAsia="zh-CN"/>
                    </w:rPr>
                  </w:pPr>
                </w:p>
              </w:tc>
              <w:tc>
                <w:tcPr>
                  <w:tcW w:w="345" w:type="pct"/>
                  <w:vMerge w:val="continue"/>
                  <w:noWrap w:val="0"/>
                  <w:vAlign w:val="center"/>
                </w:tcPr>
                <w:p w14:paraId="22A4108C">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p>
              </w:tc>
              <w:tc>
                <w:tcPr>
                  <w:tcW w:w="268" w:type="pct"/>
                  <w:vMerge w:val="continue"/>
                  <w:noWrap w:val="0"/>
                  <w:vAlign w:val="center"/>
                </w:tcPr>
                <w:p w14:paraId="5458472D">
                  <w:pPr>
                    <w:adjustRightInd w:val="0"/>
                    <w:snapToGrid w:val="0"/>
                    <w:spacing w:line="240" w:lineRule="auto"/>
                    <w:ind w:firstLine="0" w:firstLineChars="0"/>
                    <w:jc w:val="center"/>
                    <w:rPr>
                      <w:rFonts w:hint="eastAsia" w:cs="Times New Roman"/>
                      <w:b w:val="0"/>
                      <w:bCs/>
                      <w:color w:val="auto"/>
                      <w:sz w:val="21"/>
                      <w:szCs w:val="21"/>
                      <w:lang w:val="en-US" w:eastAsia="zh-CN"/>
                    </w:rPr>
                  </w:pPr>
                </w:p>
              </w:tc>
              <w:tc>
                <w:tcPr>
                  <w:tcW w:w="211" w:type="pct"/>
                  <w:vMerge w:val="continue"/>
                  <w:noWrap w:val="0"/>
                  <w:vAlign w:val="center"/>
                </w:tcPr>
                <w:p w14:paraId="0E1B0251">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2DE786FA">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189" w:type="pct"/>
                  <w:vMerge w:val="continue"/>
                  <w:noWrap w:val="0"/>
                  <w:vAlign w:val="center"/>
                </w:tcPr>
                <w:p w14:paraId="4DE33D9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334" w:type="pct"/>
                  <w:noWrap w:val="0"/>
                  <w:vAlign w:val="center"/>
                </w:tcPr>
                <w:p w14:paraId="32A1A165">
                  <w:pPr>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苯系物</w:t>
                  </w:r>
                </w:p>
              </w:tc>
              <w:tc>
                <w:tcPr>
                  <w:tcW w:w="1278" w:type="dxa"/>
                  <w:noWrap w:val="0"/>
                  <w:vAlign w:val="center"/>
                </w:tcPr>
                <w:p w14:paraId="0B63E620">
                  <w:pPr>
                    <w:keepNext w:val="0"/>
                    <w:keepLines w:val="0"/>
                    <w:widowControl/>
                    <w:suppressLineNumbers w:val="0"/>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cs="宋体"/>
                      <w:i w:val="0"/>
                      <w:iCs w:val="0"/>
                      <w:color w:val="auto"/>
                      <w:kern w:val="0"/>
                      <w:sz w:val="21"/>
                      <w:szCs w:val="22"/>
                      <w:u w:val="none"/>
                      <w:lang w:val="en-US" w:eastAsia="zh-CN" w:bidi="ar"/>
                    </w:rPr>
                    <w:t>18.75</w:t>
                  </w:r>
                </w:p>
              </w:tc>
              <w:tc>
                <w:tcPr>
                  <w:tcW w:w="1197" w:type="dxa"/>
                  <w:noWrap w:val="0"/>
                  <w:vAlign w:val="center"/>
                </w:tcPr>
                <w:p w14:paraId="032EE5F9">
                  <w:pPr>
                    <w:keepNext w:val="0"/>
                    <w:keepLines w:val="0"/>
                    <w:widowControl/>
                    <w:suppressLineNumbers w:val="0"/>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cs="宋体"/>
                      <w:i w:val="0"/>
                      <w:iCs w:val="0"/>
                      <w:color w:val="auto"/>
                      <w:kern w:val="0"/>
                      <w:sz w:val="21"/>
                      <w:szCs w:val="22"/>
                      <w:u w:val="none"/>
                      <w:lang w:val="en-US" w:eastAsia="zh-CN" w:bidi="ar"/>
                    </w:rPr>
                    <w:t>0.225</w:t>
                  </w:r>
                </w:p>
              </w:tc>
              <w:tc>
                <w:tcPr>
                  <w:tcW w:w="1215" w:type="dxa"/>
                  <w:noWrap w:val="0"/>
                  <w:vAlign w:val="center"/>
                </w:tcPr>
                <w:p w14:paraId="052B54F1">
                  <w:pPr>
                    <w:keepNext w:val="0"/>
                    <w:keepLines w:val="0"/>
                    <w:widowControl/>
                    <w:suppressLineNumbers w:val="0"/>
                    <w:jc w:val="center"/>
                    <w:textAlignment w:val="center"/>
                    <w:rPr>
                      <w:rFonts w:hint="default"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0.54</w:t>
                  </w:r>
                </w:p>
              </w:tc>
            </w:tr>
            <w:tr w14:paraId="11120F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87" w:type="pct"/>
                  <w:noWrap w:val="0"/>
                  <w:vAlign w:val="center"/>
                </w:tcPr>
                <w:p w14:paraId="0A3F61B7">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w:t>
                  </w:r>
                </w:p>
              </w:tc>
              <w:tc>
                <w:tcPr>
                  <w:tcW w:w="325" w:type="pct"/>
                  <w:noWrap w:val="0"/>
                  <w:vAlign w:val="center"/>
                </w:tcPr>
                <w:p w14:paraId="7530FA6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DA002</w:t>
                  </w:r>
                </w:p>
              </w:tc>
              <w:tc>
                <w:tcPr>
                  <w:tcW w:w="414" w:type="pct"/>
                  <w:noWrap w:val="0"/>
                  <w:vAlign w:val="center"/>
                </w:tcPr>
                <w:p w14:paraId="3840E802">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一般排放口</w:t>
                  </w:r>
                </w:p>
              </w:tc>
              <w:tc>
                <w:tcPr>
                  <w:tcW w:w="675" w:type="pct"/>
                  <w:noWrap w:val="0"/>
                  <w:vAlign w:val="center"/>
                </w:tcPr>
                <w:p w14:paraId="1781EDA7">
                  <w:pPr>
                    <w:pStyle w:val="30"/>
                    <w:bidi w:val="0"/>
                    <w:ind w:firstLine="0" w:firstLineChars="0"/>
                    <w:rPr>
                      <w:rFonts w:hint="eastAsia" w:ascii="Times New Roman" w:cs="Times New Roman"/>
                      <w:b w:val="0"/>
                      <w:bCs/>
                      <w:color w:val="auto"/>
                      <w:sz w:val="21"/>
                      <w:szCs w:val="21"/>
                      <w:lang w:val="en-US" w:eastAsia="zh-CN"/>
                    </w:rPr>
                  </w:pPr>
                  <w:r>
                    <w:rPr>
                      <w:rFonts w:hint="eastAsia" w:ascii="Times New Roman" w:cs="Times New Roman"/>
                      <w:b w:val="0"/>
                      <w:bCs/>
                      <w:color w:val="auto"/>
                      <w:sz w:val="21"/>
                      <w:szCs w:val="21"/>
                      <w:lang w:val="en-US" w:eastAsia="zh-CN"/>
                    </w:rPr>
                    <w:t>119°12′47.149″</w:t>
                  </w:r>
                </w:p>
              </w:tc>
              <w:tc>
                <w:tcPr>
                  <w:tcW w:w="705" w:type="pct"/>
                  <w:noWrap w:val="0"/>
                  <w:vAlign w:val="center"/>
                </w:tcPr>
                <w:p w14:paraId="286D2DCB">
                  <w:pPr>
                    <w:pStyle w:val="30"/>
                    <w:bidi w:val="0"/>
                    <w:ind w:firstLine="0" w:firstLineChars="0"/>
                    <w:rPr>
                      <w:rFonts w:hint="eastAsia" w:ascii="Times New Roman" w:cs="Times New Roman"/>
                      <w:b w:val="0"/>
                      <w:bCs/>
                      <w:color w:val="auto"/>
                      <w:sz w:val="21"/>
                      <w:szCs w:val="21"/>
                      <w:lang w:val="en-US" w:eastAsia="zh-CN"/>
                    </w:rPr>
                  </w:pPr>
                  <w:r>
                    <w:rPr>
                      <w:rFonts w:hint="eastAsia" w:ascii="Times New Roman" w:cs="Times New Roman"/>
                      <w:b w:val="0"/>
                      <w:bCs/>
                      <w:color w:val="auto"/>
                      <w:sz w:val="21"/>
                      <w:szCs w:val="21"/>
                      <w:lang w:val="en-US" w:eastAsia="zh-CN"/>
                    </w:rPr>
                    <w:t>33°47′53.207″</w:t>
                  </w:r>
                </w:p>
              </w:tc>
              <w:tc>
                <w:tcPr>
                  <w:tcW w:w="345" w:type="pct"/>
                  <w:noWrap w:val="0"/>
                  <w:vAlign w:val="center"/>
                </w:tcPr>
                <w:p w14:paraId="596B6FE7">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w:t>
                  </w:r>
                </w:p>
              </w:tc>
              <w:tc>
                <w:tcPr>
                  <w:tcW w:w="268" w:type="pct"/>
                  <w:noWrap w:val="0"/>
                  <w:vAlign w:val="center"/>
                </w:tcPr>
                <w:p w14:paraId="75E410B3">
                  <w:pPr>
                    <w:adjustRightInd w:val="0"/>
                    <w:snapToGrid w:val="0"/>
                    <w:spacing w:line="240" w:lineRule="auto"/>
                    <w:ind w:firstLine="0" w:firstLineChars="0"/>
                    <w:jc w:val="center"/>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15</w:t>
                  </w:r>
                </w:p>
              </w:tc>
              <w:tc>
                <w:tcPr>
                  <w:tcW w:w="211" w:type="pct"/>
                  <w:noWrap w:val="0"/>
                  <w:vAlign w:val="center"/>
                </w:tcPr>
                <w:p w14:paraId="4E30F2A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w:t>
                  </w:r>
                  <w:r>
                    <w:rPr>
                      <w:rFonts w:hint="default" w:ascii="Times New Roman" w:hAnsi="Times New Roman" w:eastAsia="宋体" w:cs="Times New Roman"/>
                      <w:b w:val="0"/>
                      <w:bCs/>
                      <w:color w:val="auto"/>
                      <w:sz w:val="21"/>
                      <w:szCs w:val="21"/>
                      <w:lang w:val="en-US" w:eastAsia="zh-CN"/>
                    </w:rPr>
                    <w:t>5</w:t>
                  </w:r>
                </w:p>
              </w:tc>
              <w:tc>
                <w:tcPr>
                  <w:tcW w:w="211" w:type="pct"/>
                  <w:noWrap w:val="0"/>
                  <w:vAlign w:val="center"/>
                </w:tcPr>
                <w:p w14:paraId="365B74C1">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25</w:t>
                  </w:r>
                </w:p>
              </w:tc>
              <w:tc>
                <w:tcPr>
                  <w:tcW w:w="189" w:type="pct"/>
                  <w:noWrap w:val="0"/>
                  <w:vAlign w:val="center"/>
                </w:tcPr>
                <w:p w14:paraId="25766D3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正常</w:t>
                  </w:r>
                </w:p>
              </w:tc>
              <w:tc>
                <w:tcPr>
                  <w:tcW w:w="334" w:type="pct"/>
                  <w:noWrap w:val="0"/>
                  <w:vAlign w:val="center"/>
                </w:tcPr>
                <w:p w14:paraId="12003C49">
                  <w:pPr>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颗粒物</w:t>
                  </w:r>
                </w:p>
              </w:tc>
              <w:tc>
                <w:tcPr>
                  <w:tcW w:w="1278" w:type="dxa"/>
                  <w:noWrap w:val="0"/>
                  <w:vAlign w:val="center"/>
                </w:tcPr>
                <w:p w14:paraId="37246993">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3.375</w:t>
                  </w:r>
                </w:p>
              </w:tc>
              <w:tc>
                <w:tcPr>
                  <w:tcW w:w="1197" w:type="dxa"/>
                  <w:noWrap w:val="0"/>
                  <w:vAlign w:val="center"/>
                </w:tcPr>
                <w:p w14:paraId="27CF39BF">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34</w:t>
                  </w:r>
                </w:p>
              </w:tc>
              <w:tc>
                <w:tcPr>
                  <w:tcW w:w="1215" w:type="dxa"/>
                  <w:noWrap w:val="0"/>
                  <w:vAlign w:val="center"/>
                </w:tcPr>
                <w:p w14:paraId="18D881C1">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0.0</w:t>
                  </w:r>
                  <w:r>
                    <w:rPr>
                      <w:rFonts w:hint="eastAsia" w:cs="宋体"/>
                      <w:i w:val="0"/>
                      <w:iCs w:val="0"/>
                      <w:color w:val="auto"/>
                      <w:kern w:val="0"/>
                      <w:sz w:val="21"/>
                      <w:szCs w:val="22"/>
                      <w:u w:val="none"/>
                      <w:lang w:val="en-US" w:eastAsia="zh-CN" w:bidi="ar"/>
                    </w:rPr>
                    <w:t>81</w:t>
                  </w:r>
                </w:p>
              </w:tc>
            </w:tr>
          </w:tbl>
          <w:p w14:paraId="10E94E7B">
            <w:pPr>
              <w:pStyle w:val="19"/>
              <w:rPr>
                <w:color w:val="auto"/>
              </w:rPr>
            </w:pPr>
          </w:p>
        </w:tc>
      </w:tr>
    </w:tbl>
    <w:p w14:paraId="3AE793DC">
      <w:pPr>
        <w:adjustRightInd w:val="0"/>
        <w:snapToGrid w:val="0"/>
        <w:spacing w:line="360" w:lineRule="auto"/>
        <w:rPr>
          <w:rFonts w:hint="eastAsia" w:ascii="宋体" w:cs="宋体"/>
          <w:b/>
          <w:color w:val="auto"/>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6DB21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2" w:hRule="atLeast"/>
          <w:jc w:val="center"/>
        </w:trPr>
        <w:tc>
          <w:tcPr>
            <w:tcW w:w="746" w:type="dxa"/>
            <w:noWrap w:val="0"/>
            <w:tcMar>
              <w:left w:w="28" w:type="dxa"/>
              <w:right w:w="28" w:type="dxa"/>
            </w:tcMar>
            <w:vAlign w:val="center"/>
          </w:tcPr>
          <w:p w14:paraId="78C0C1E7">
            <w:pPr>
              <w:pStyle w:val="18"/>
              <w:rPr>
                <w:color w:val="auto"/>
              </w:rPr>
            </w:pPr>
          </w:p>
        </w:tc>
        <w:tc>
          <w:tcPr>
            <w:tcW w:w="8162" w:type="dxa"/>
            <w:noWrap w:val="0"/>
            <w:vAlign w:val="top"/>
          </w:tcPr>
          <w:p w14:paraId="4DD4447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szCs w:val="24"/>
              </w:rPr>
            </w:pPr>
            <w:r>
              <w:rPr>
                <w:rFonts w:ascii="Times New Roman" w:hAnsi="Times New Roman" w:eastAsia="宋体" w:cs="Times New Roman"/>
                <w:b w:val="0"/>
                <w:bCs w:val="0"/>
                <w:color w:val="auto"/>
                <w:kern w:val="2"/>
                <w:sz w:val="21"/>
                <w:szCs w:val="24"/>
                <w:lang w:val="en-US" w:eastAsia="zh-CN" w:bidi="ar-SA"/>
              </w:rPr>
              <w:t>2、</w:t>
            </w:r>
            <w:r>
              <w:rPr>
                <w:rFonts w:hint="eastAsia"/>
                <w:b w:val="0"/>
                <w:bCs w:val="0"/>
                <w:color w:val="auto"/>
                <w:szCs w:val="24"/>
              </w:rPr>
              <w:t>非正常工况分析</w:t>
            </w:r>
          </w:p>
          <w:p w14:paraId="7065AAB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rPr>
            </w:pPr>
            <w:r>
              <w:rPr>
                <w:rFonts w:hint="eastAsia"/>
                <w:color w:val="auto"/>
              </w:rPr>
              <w:t>非正常排放是指生产设备在开、停车状态，检修状态或者部分设备未能完全运行的状态下污染物的排放情况。本项目生产中产生的所有工艺废气经收集处理后达标排放。若废气处理装置未正常运行，处理效率降低，造成废气的非正常排放事故。根据本项目废气产生及排放情况，本次评价考虑废气处理设施处理效率下降为</w:t>
            </w:r>
            <w:r>
              <w:rPr>
                <w:rFonts w:hint="eastAsia"/>
                <w:color w:val="auto"/>
                <w:lang w:val="en-US" w:eastAsia="zh-CN"/>
              </w:rPr>
              <w:t>50</w:t>
            </w:r>
            <w:r>
              <w:rPr>
                <w:rFonts w:hint="eastAsia"/>
                <w:color w:val="auto"/>
              </w:rPr>
              <w:t>%、非正常排放时间为1h的状况，本项目非正常工况见</w:t>
            </w:r>
            <w:r>
              <w:rPr>
                <w:rFonts w:hint="eastAsia"/>
                <w:color w:val="auto"/>
                <w:lang w:val="en-US" w:eastAsia="zh-CN"/>
              </w:rPr>
              <w:t>下表</w:t>
            </w:r>
            <w:r>
              <w:rPr>
                <w:rFonts w:hint="eastAsia"/>
                <w:color w:val="auto"/>
              </w:rPr>
              <w:t>。</w:t>
            </w:r>
          </w:p>
          <w:p w14:paraId="70F35BDC">
            <w:pPr>
              <w:pStyle w:val="18"/>
              <w:spacing w:after="0" w:line="240" w:lineRule="auto"/>
              <w:ind w:left="0" w:leftChars="0" w:firstLine="0" w:firstLineChars="0"/>
              <w:jc w:val="center"/>
              <w:rPr>
                <w:b/>
                <w:bCs/>
                <w:color w:val="auto"/>
                <w:sz w:val="21"/>
                <w:szCs w:val="21"/>
              </w:rPr>
            </w:pPr>
            <w:r>
              <w:rPr>
                <w:b/>
                <w:bCs/>
                <w:color w:val="auto"/>
                <w:sz w:val="21"/>
                <w:szCs w:val="21"/>
              </w:rPr>
              <w:t>表4-</w:t>
            </w:r>
            <w:r>
              <w:rPr>
                <w:rFonts w:hint="eastAsia"/>
                <w:b/>
                <w:bCs/>
                <w:color w:val="auto"/>
                <w:sz w:val="21"/>
                <w:szCs w:val="21"/>
                <w:lang w:val="en-US" w:eastAsia="zh-CN"/>
              </w:rPr>
              <w:t xml:space="preserve">6 </w:t>
            </w:r>
            <w:r>
              <w:rPr>
                <w:b/>
                <w:bCs/>
                <w:color w:val="auto"/>
                <w:sz w:val="21"/>
                <w:szCs w:val="21"/>
              </w:rPr>
              <w:t>非正常工况排放</w:t>
            </w:r>
            <w:r>
              <w:rPr>
                <w:rFonts w:hint="eastAsia"/>
                <w:b/>
                <w:bCs/>
                <w:color w:val="auto"/>
                <w:sz w:val="21"/>
                <w:szCs w:val="21"/>
              </w:rPr>
              <w:t>情况分析</w:t>
            </w:r>
          </w:p>
          <w:tbl>
            <w:tblPr>
              <w:tblStyle w:val="22"/>
              <w:tblW w:w="7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12"/>
              <w:gridCol w:w="723"/>
              <w:gridCol w:w="675"/>
              <w:gridCol w:w="795"/>
              <w:gridCol w:w="974"/>
              <w:gridCol w:w="942"/>
              <w:gridCol w:w="636"/>
              <w:gridCol w:w="554"/>
              <w:gridCol w:w="527"/>
              <w:gridCol w:w="517"/>
              <w:gridCol w:w="861"/>
            </w:tblGrid>
            <w:tr w14:paraId="40D453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2" w:type="dxa"/>
                  <w:vMerge w:val="restart"/>
                  <w:noWrap w:val="0"/>
                  <w:vAlign w:val="center"/>
                </w:tcPr>
                <w:p w14:paraId="348BBC04">
                  <w:pPr>
                    <w:jc w:val="center"/>
                    <w:rPr>
                      <w:color w:val="auto"/>
                      <w:szCs w:val="21"/>
                    </w:rPr>
                  </w:pPr>
                  <w:r>
                    <w:rPr>
                      <w:color w:val="auto"/>
                      <w:szCs w:val="21"/>
                    </w:rPr>
                    <w:t>排气筒</w:t>
                  </w:r>
                </w:p>
                <w:p w14:paraId="05BE2E0E">
                  <w:pPr>
                    <w:jc w:val="center"/>
                    <w:rPr>
                      <w:color w:val="auto"/>
                      <w:szCs w:val="21"/>
                    </w:rPr>
                  </w:pPr>
                  <w:r>
                    <w:rPr>
                      <w:color w:val="auto"/>
                      <w:szCs w:val="21"/>
                    </w:rPr>
                    <w:t>编号</w:t>
                  </w:r>
                </w:p>
              </w:tc>
              <w:tc>
                <w:tcPr>
                  <w:tcW w:w="723" w:type="dxa"/>
                  <w:vMerge w:val="restart"/>
                  <w:noWrap w:val="0"/>
                  <w:vAlign w:val="center"/>
                </w:tcPr>
                <w:p w14:paraId="30D0575D">
                  <w:pPr>
                    <w:widowControl/>
                    <w:jc w:val="center"/>
                    <w:rPr>
                      <w:color w:val="auto"/>
                      <w:szCs w:val="21"/>
                    </w:rPr>
                  </w:pPr>
                  <w:r>
                    <w:rPr>
                      <w:color w:val="auto"/>
                      <w:kern w:val="0"/>
                      <w:szCs w:val="21"/>
                      <w:lang w:bidi="ar"/>
                    </w:rPr>
                    <w:t>非正常</w:t>
                  </w:r>
                </w:p>
                <w:p w14:paraId="5EFFEFB4">
                  <w:pPr>
                    <w:widowControl/>
                    <w:jc w:val="center"/>
                    <w:rPr>
                      <w:color w:val="auto"/>
                      <w:szCs w:val="21"/>
                    </w:rPr>
                  </w:pPr>
                  <w:r>
                    <w:rPr>
                      <w:color w:val="auto"/>
                      <w:kern w:val="0"/>
                      <w:szCs w:val="21"/>
                      <w:lang w:bidi="ar"/>
                    </w:rPr>
                    <w:t>排放原</w:t>
                  </w:r>
                </w:p>
                <w:p w14:paraId="21A270B0">
                  <w:pPr>
                    <w:widowControl/>
                    <w:jc w:val="center"/>
                    <w:rPr>
                      <w:color w:val="auto"/>
                      <w:szCs w:val="21"/>
                    </w:rPr>
                  </w:pPr>
                  <w:r>
                    <w:rPr>
                      <w:color w:val="auto"/>
                      <w:kern w:val="0"/>
                      <w:szCs w:val="21"/>
                      <w:lang w:bidi="ar"/>
                    </w:rPr>
                    <w:t>因</w:t>
                  </w:r>
                </w:p>
              </w:tc>
              <w:tc>
                <w:tcPr>
                  <w:tcW w:w="675" w:type="dxa"/>
                  <w:vMerge w:val="restart"/>
                  <w:noWrap w:val="0"/>
                  <w:vAlign w:val="center"/>
                </w:tcPr>
                <w:p w14:paraId="092F230F">
                  <w:pPr>
                    <w:jc w:val="center"/>
                    <w:rPr>
                      <w:color w:val="auto"/>
                      <w:szCs w:val="21"/>
                    </w:rPr>
                  </w:pPr>
                  <w:r>
                    <w:rPr>
                      <w:color w:val="auto"/>
                      <w:szCs w:val="21"/>
                    </w:rPr>
                    <w:t>污染物</w:t>
                  </w:r>
                </w:p>
              </w:tc>
              <w:tc>
                <w:tcPr>
                  <w:tcW w:w="795" w:type="dxa"/>
                  <w:vMerge w:val="restart"/>
                  <w:noWrap w:val="0"/>
                  <w:vAlign w:val="center"/>
                </w:tcPr>
                <w:p w14:paraId="0E3FB3F1">
                  <w:pPr>
                    <w:jc w:val="center"/>
                    <w:rPr>
                      <w:color w:val="auto"/>
                      <w:szCs w:val="21"/>
                    </w:rPr>
                  </w:pPr>
                  <w:r>
                    <w:rPr>
                      <w:rFonts w:hint="eastAsia"/>
                      <w:color w:val="auto"/>
                      <w:szCs w:val="21"/>
                    </w:rPr>
                    <w:t>非正常排放量（</w:t>
                  </w:r>
                  <w:r>
                    <w:rPr>
                      <w:rFonts w:hint="eastAsia"/>
                      <w:color w:val="auto"/>
                      <w:szCs w:val="21"/>
                      <w:lang w:val="en-US" w:eastAsia="zh-CN"/>
                    </w:rPr>
                    <w:t>kg</w:t>
                  </w:r>
                  <w:r>
                    <w:rPr>
                      <w:rFonts w:hint="eastAsia"/>
                      <w:color w:val="auto"/>
                      <w:szCs w:val="21"/>
                    </w:rPr>
                    <w:t>）</w:t>
                  </w:r>
                </w:p>
              </w:tc>
              <w:tc>
                <w:tcPr>
                  <w:tcW w:w="974" w:type="dxa"/>
                  <w:vMerge w:val="restart"/>
                  <w:noWrap w:val="0"/>
                  <w:vAlign w:val="center"/>
                </w:tcPr>
                <w:p w14:paraId="76F690BA">
                  <w:pPr>
                    <w:jc w:val="center"/>
                    <w:rPr>
                      <w:color w:val="auto"/>
                      <w:szCs w:val="21"/>
                    </w:rPr>
                  </w:pPr>
                  <w:r>
                    <w:rPr>
                      <w:color w:val="auto"/>
                      <w:szCs w:val="21"/>
                    </w:rPr>
                    <w:t>非正常排放浓度</w:t>
                  </w:r>
                </w:p>
                <w:p w14:paraId="697CEF1B">
                  <w:pPr>
                    <w:pStyle w:val="19"/>
                    <w:spacing w:line="240" w:lineRule="auto"/>
                    <w:ind w:left="0" w:leftChars="0" w:firstLine="0" w:firstLineChars="0"/>
                    <w:jc w:val="center"/>
                    <w:rPr>
                      <w:rFonts w:ascii="Times New Roman" w:hAnsi="Times New Roman" w:cs="Times New Roman"/>
                      <w:color w:val="auto"/>
                      <w:sz w:val="21"/>
                      <w:szCs w:val="21"/>
                    </w:rPr>
                  </w:pPr>
                  <w:r>
                    <w:rPr>
                      <w:rFonts w:ascii="Times New Roman" w:hAnsi="Times New Roman" w:cs="Times New Roman"/>
                      <w:b w:val="0"/>
                      <w:color w:val="auto"/>
                      <w:sz w:val="21"/>
                      <w:szCs w:val="21"/>
                    </w:rPr>
                    <w:t>（mg/m</w:t>
                  </w:r>
                  <w:r>
                    <w:rPr>
                      <w:rFonts w:ascii="Times New Roman" w:hAnsi="Times New Roman" w:cs="Times New Roman"/>
                      <w:b w:val="0"/>
                      <w:color w:val="auto"/>
                      <w:sz w:val="21"/>
                      <w:szCs w:val="21"/>
                      <w:vertAlign w:val="superscript"/>
                    </w:rPr>
                    <w:t>3</w:t>
                  </w:r>
                  <w:r>
                    <w:rPr>
                      <w:rFonts w:ascii="Times New Roman" w:hAnsi="Times New Roman" w:cs="Times New Roman"/>
                      <w:b w:val="0"/>
                      <w:color w:val="auto"/>
                      <w:sz w:val="21"/>
                      <w:szCs w:val="21"/>
                    </w:rPr>
                    <w:t>）</w:t>
                  </w:r>
                </w:p>
              </w:tc>
              <w:tc>
                <w:tcPr>
                  <w:tcW w:w="942" w:type="dxa"/>
                  <w:vMerge w:val="restart"/>
                  <w:noWrap w:val="0"/>
                  <w:vAlign w:val="center"/>
                </w:tcPr>
                <w:p w14:paraId="2362116E">
                  <w:pPr>
                    <w:jc w:val="center"/>
                    <w:rPr>
                      <w:color w:val="auto"/>
                      <w:szCs w:val="21"/>
                    </w:rPr>
                  </w:pPr>
                  <w:r>
                    <w:rPr>
                      <w:color w:val="auto"/>
                      <w:szCs w:val="21"/>
                    </w:rPr>
                    <w:t>非正常排放速率</w:t>
                  </w:r>
                </w:p>
                <w:p w14:paraId="42A6FAE4">
                  <w:pPr>
                    <w:pStyle w:val="19"/>
                    <w:spacing w:line="240" w:lineRule="auto"/>
                    <w:ind w:left="0" w:leftChars="0" w:firstLine="0" w:firstLineChars="0"/>
                    <w:jc w:val="center"/>
                    <w:rPr>
                      <w:rFonts w:ascii="Times New Roman" w:hAnsi="Times New Roman" w:cs="Times New Roman"/>
                      <w:color w:val="auto"/>
                      <w:sz w:val="21"/>
                      <w:szCs w:val="21"/>
                    </w:rPr>
                  </w:pPr>
                  <w:r>
                    <w:rPr>
                      <w:rFonts w:ascii="Times New Roman" w:hAnsi="Times New Roman" w:cs="Times New Roman"/>
                      <w:b w:val="0"/>
                      <w:color w:val="auto"/>
                      <w:sz w:val="21"/>
                      <w:szCs w:val="21"/>
                    </w:rPr>
                    <w:t>（kg/h）</w:t>
                  </w:r>
                </w:p>
              </w:tc>
              <w:tc>
                <w:tcPr>
                  <w:tcW w:w="1190" w:type="dxa"/>
                  <w:gridSpan w:val="2"/>
                  <w:noWrap w:val="0"/>
                  <w:vAlign w:val="center"/>
                </w:tcPr>
                <w:p w14:paraId="7EC449A0">
                  <w:pPr>
                    <w:jc w:val="center"/>
                    <w:rPr>
                      <w:color w:val="auto"/>
                      <w:szCs w:val="21"/>
                    </w:rPr>
                  </w:pPr>
                  <w:r>
                    <w:rPr>
                      <w:color w:val="auto"/>
                      <w:szCs w:val="21"/>
                    </w:rPr>
                    <w:t>排气筒参数</w:t>
                  </w:r>
                </w:p>
              </w:tc>
              <w:tc>
                <w:tcPr>
                  <w:tcW w:w="527" w:type="dxa"/>
                  <w:vMerge w:val="restart"/>
                  <w:noWrap w:val="0"/>
                  <w:vAlign w:val="center"/>
                </w:tcPr>
                <w:p w14:paraId="479FAE44">
                  <w:pPr>
                    <w:jc w:val="center"/>
                    <w:rPr>
                      <w:color w:val="auto"/>
                      <w:szCs w:val="21"/>
                    </w:rPr>
                  </w:pPr>
                  <w:r>
                    <w:rPr>
                      <w:color w:val="auto"/>
                      <w:szCs w:val="21"/>
                    </w:rPr>
                    <w:t>单次持续时间</w:t>
                  </w:r>
                </w:p>
                <w:p w14:paraId="40389D07">
                  <w:pPr>
                    <w:pStyle w:val="19"/>
                    <w:spacing w:line="240" w:lineRule="auto"/>
                    <w:ind w:left="0" w:leftChars="0" w:firstLine="0" w:firstLineChars="0"/>
                    <w:jc w:val="center"/>
                    <w:rPr>
                      <w:color w:val="auto"/>
                      <w:sz w:val="21"/>
                      <w:szCs w:val="21"/>
                    </w:rPr>
                  </w:pPr>
                  <w:r>
                    <w:rPr>
                      <w:rFonts w:ascii="Times New Roman" w:hAnsi="Times New Roman" w:cs="Times New Roman"/>
                      <w:b w:val="0"/>
                      <w:color w:val="auto"/>
                      <w:sz w:val="21"/>
                      <w:szCs w:val="21"/>
                    </w:rPr>
                    <w:t>（h）</w:t>
                  </w:r>
                </w:p>
              </w:tc>
              <w:tc>
                <w:tcPr>
                  <w:tcW w:w="517" w:type="dxa"/>
                  <w:vMerge w:val="restart"/>
                  <w:noWrap w:val="0"/>
                  <w:vAlign w:val="center"/>
                </w:tcPr>
                <w:p w14:paraId="674679B9">
                  <w:pPr>
                    <w:jc w:val="center"/>
                    <w:rPr>
                      <w:color w:val="auto"/>
                      <w:szCs w:val="21"/>
                    </w:rPr>
                  </w:pPr>
                  <w:r>
                    <w:rPr>
                      <w:color w:val="auto"/>
                      <w:szCs w:val="21"/>
                    </w:rPr>
                    <w:t>发生</w:t>
                  </w:r>
                </w:p>
                <w:p w14:paraId="30260309">
                  <w:pPr>
                    <w:jc w:val="center"/>
                    <w:rPr>
                      <w:color w:val="auto"/>
                      <w:szCs w:val="21"/>
                    </w:rPr>
                  </w:pPr>
                  <w:r>
                    <w:rPr>
                      <w:color w:val="auto"/>
                      <w:szCs w:val="21"/>
                    </w:rPr>
                    <w:t>频次</w:t>
                  </w:r>
                </w:p>
                <w:p w14:paraId="10B2594C">
                  <w:pPr>
                    <w:jc w:val="center"/>
                    <w:rPr>
                      <w:color w:val="auto"/>
                      <w:szCs w:val="21"/>
                    </w:rPr>
                  </w:pPr>
                  <w:r>
                    <w:rPr>
                      <w:rFonts w:hint="eastAsia" w:ascii="宋体" w:hAnsi="宋体" w:cs="宋体"/>
                      <w:color w:val="auto"/>
                      <w:szCs w:val="21"/>
                    </w:rPr>
                    <w:t>/</w:t>
                  </w:r>
                  <w:r>
                    <w:rPr>
                      <w:color w:val="auto"/>
                      <w:szCs w:val="21"/>
                    </w:rPr>
                    <w:t>年</w:t>
                  </w:r>
                </w:p>
              </w:tc>
              <w:tc>
                <w:tcPr>
                  <w:tcW w:w="861" w:type="dxa"/>
                  <w:vMerge w:val="restart"/>
                  <w:noWrap w:val="0"/>
                  <w:vAlign w:val="center"/>
                </w:tcPr>
                <w:p w14:paraId="4F75EE6C">
                  <w:pPr>
                    <w:jc w:val="center"/>
                    <w:rPr>
                      <w:rFonts w:hint="eastAsia" w:ascii="宋体" w:hAnsi="宋体" w:cs="宋体"/>
                      <w:color w:val="auto"/>
                      <w:szCs w:val="21"/>
                    </w:rPr>
                  </w:pPr>
                  <w:r>
                    <w:rPr>
                      <w:rFonts w:hint="eastAsia" w:ascii="宋体" w:hAnsi="宋体" w:cs="宋体"/>
                      <w:color w:val="auto"/>
                      <w:szCs w:val="21"/>
                    </w:rPr>
                    <w:t>应对</w:t>
                  </w:r>
                </w:p>
                <w:p w14:paraId="41586DC1">
                  <w:pPr>
                    <w:jc w:val="center"/>
                    <w:rPr>
                      <w:rFonts w:ascii="宋体" w:hAnsi="宋体" w:cs="宋体"/>
                      <w:color w:val="auto"/>
                      <w:szCs w:val="21"/>
                    </w:rPr>
                  </w:pPr>
                  <w:r>
                    <w:rPr>
                      <w:rFonts w:hint="eastAsia" w:ascii="宋体" w:hAnsi="宋体" w:cs="宋体"/>
                      <w:color w:val="auto"/>
                      <w:szCs w:val="21"/>
                    </w:rPr>
                    <w:t>措施</w:t>
                  </w:r>
                </w:p>
              </w:tc>
            </w:tr>
            <w:tr w14:paraId="71FD39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2" w:type="dxa"/>
                  <w:vMerge w:val="continue"/>
                  <w:noWrap w:val="0"/>
                  <w:vAlign w:val="center"/>
                </w:tcPr>
                <w:p w14:paraId="4C768E03">
                  <w:pPr>
                    <w:jc w:val="center"/>
                    <w:rPr>
                      <w:color w:val="auto"/>
                      <w:szCs w:val="21"/>
                    </w:rPr>
                  </w:pPr>
                </w:p>
              </w:tc>
              <w:tc>
                <w:tcPr>
                  <w:tcW w:w="723" w:type="dxa"/>
                  <w:vMerge w:val="continue"/>
                  <w:noWrap w:val="0"/>
                  <w:vAlign w:val="center"/>
                </w:tcPr>
                <w:p w14:paraId="2CDA2BF0">
                  <w:pPr>
                    <w:widowControl/>
                    <w:jc w:val="center"/>
                    <w:rPr>
                      <w:color w:val="auto"/>
                      <w:kern w:val="0"/>
                      <w:szCs w:val="21"/>
                      <w:lang w:bidi="ar"/>
                    </w:rPr>
                  </w:pPr>
                </w:p>
              </w:tc>
              <w:tc>
                <w:tcPr>
                  <w:tcW w:w="675" w:type="dxa"/>
                  <w:vMerge w:val="continue"/>
                  <w:noWrap w:val="0"/>
                  <w:vAlign w:val="center"/>
                </w:tcPr>
                <w:p w14:paraId="3C9CBC81">
                  <w:pPr>
                    <w:jc w:val="center"/>
                    <w:rPr>
                      <w:color w:val="auto"/>
                      <w:szCs w:val="21"/>
                    </w:rPr>
                  </w:pPr>
                </w:p>
              </w:tc>
              <w:tc>
                <w:tcPr>
                  <w:tcW w:w="795" w:type="dxa"/>
                  <w:vMerge w:val="continue"/>
                  <w:noWrap w:val="0"/>
                  <w:vAlign w:val="center"/>
                </w:tcPr>
                <w:p w14:paraId="4FD5530D">
                  <w:pPr>
                    <w:jc w:val="center"/>
                    <w:rPr>
                      <w:color w:val="auto"/>
                      <w:szCs w:val="21"/>
                    </w:rPr>
                  </w:pPr>
                </w:p>
              </w:tc>
              <w:tc>
                <w:tcPr>
                  <w:tcW w:w="974" w:type="dxa"/>
                  <w:vMerge w:val="continue"/>
                  <w:noWrap w:val="0"/>
                  <w:vAlign w:val="center"/>
                </w:tcPr>
                <w:p w14:paraId="3E905157">
                  <w:pPr>
                    <w:jc w:val="center"/>
                    <w:rPr>
                      <w:color w:val="auto"/>
                      <w:szCs w:val="21"/>
                    </w:rPr>
                  </w:pPr>
                </w:p>
              </w:tc>
              <w:tc>
                <w:tcPr>
                  <w:tcW w:w="942" w:type="dxa"/>
                  <w:vMerge w:val="continue"/>
                  <w:noWrap w:val="0"/>
                  <w:vAlign w:val="center"/>
                </w:tcPr>
                <w:p w14:paraId="5E0CD79A">
                  <w:pPr>
                    <w:jc w:val="center"/>
                    <w:rPr>
                      <w:color w:val="auto"/>
                      <w:szCs w:val="21"/>
                    </w:rPr>
                  </w:pPr>
                </w:p>
              </w:tc>
              <w:tc>
                <w:tcPr>
                  <w:tcW w:w="636" w:type="dxa"/>
                  <w:noWrap w:val="0"/>
                  <w:vAlign w:val="center"/>
                </w:tcPr>
                <w:p w14:paraId="1547606D">
                  <w:pPr>
                    <w:jc w:val="center"/>
                    <w:rPr>
                      <w:color w:val="auto"/>
                      <w:szCs w:val="21"/>
                    </w:rPr>
                  </w:pPr>
                  <w:r>
                    <w:rPr>
                      <w:color w:val="auto"/>
                      <w:szCs w:val="21"/>
                    </w:rPr>
                    <w:t>高度</w:t>
                  </w:r>
                </w:p>
                <w:p w14:paraId="43E8C4D0">
                  <w:pPr>
                    <w:pStyle w:val="19"/>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p>
              </w:tc>
              <w:tc>
                <w:tcPr>
                  <w:tcW w:w="554" w:type="dxa"/>
                  <w:noWrap w:val="0"/>
                  <w:vAlign w:val="center"/>
                </w:tcPr>
                <w:p w14:paraId="53C8C4FA">
                  <w:pPr>
                    <w:jc w:val="center"/>
                    <w:rPr>
                      <w:color w:val="auto"/>
                      <w:szCs w:val="21"/>
                    </w:rPr>
                  </w:pPr>
                  <w:r>
                    <w:rPr>
                      <w:color w:val="auto"/>
                      <w:szCs w:val="21"/>
                    </w:rPr>
                    <w:t>内径</w:t>
                  </w:r>
                </w:p>
                <w:p w14:paraId="260A2454">
                  <w:pPr>
                    <w:pStyle w:val="19"/>
                    <w:spacing w:line="240" w:lineRule="auto"/>
                    <w:ind w:left="0" w:leftChars="0" w:firstLine="0" w:firstLineChars="0"/>
                    <w:jc w:val="center"/>
                    <w:rPr>
                      <w:rFonts w:ascii="Times New Roman" w:hAnsi="Times New Roman" w:cs="Times New Roman"/>
                      <w:color w:val="auto"/>
                      <w:sz w:val="21"/>
                      <w:szCs w:val="21"/>
                    </w:rPr>
                  </w:pPr>
                  <w:r>
                    <w:rPr>
                      <w:rFonts w:ascii="Times New Roman" w:hAnsi="Times New Roman" w:cs="Times New Roman"/>
                      <w:b w:val="0"/>
                      <w:color w:val="auto"/>
                      <w:sz w:val="21"/>
                      <w:szCs w:val="21"/>
                    </w:rPr>
                    <w:t>（m）</w:t>
                  </w:r>
                </w:p>
              </w:tc>
              <w:tc>
                <w:tcPr>
                  <w:tcW w:w="527" w:type="dxa"/>
                  <w:vMerge w:val="continue"/>
                  <w:noWrap w:val="0"/>
                  <w:vAlign w:val="center"/>
                </w:tcPr>
                <w:p w14:paraId="571E03AE">
                  <w:pPr>
                    <w:jc w:val="center"/>
                    <w:rPr>
                      <w:color w:val="auto"/>
                      <w:szCs w:val="21"/>
                    </w:rPr>
                  </w:pPr>
                </w:p>
              </w:tc>
              <w:tc>
                <w:tcPr>
                  <w:tcW w:w="517" w:type="dxa"/>
                  <w:vMerge w:val="continue"/>
                  <w:noWrap w:val="0"/>
                  <w:vAlign w:val="center"/>
                </w:tcPr>
                <w:p w14:paraId="53EC0F15">
                  <w:pPr>
                    <w:jc w:val="center"/>
                    <w:rPr>
                      <w:color w:val="auto"/>
                      <w:szCs w:val="21"/>
                    </w:rPr>
                  </w:pPr>
                </w:p>
              </w:tc>
              <w:tc>
                <w:tcPr>
                  <w:tcW w:w="861" w:type="dxa"/>
                  <w:vMerge w:val="continue"/>
                  <w:noWrap w:val="0"/>
                  <w:vAlign w:val="center"/>
                </w:tcPr>
                <w:p w14:paraId="2385B7FE">
                  <w:pPr>
                    <w:jc w:val="center"/>
                    <w:rPr>
                      <w:color w:val="auto"/>
                      <w:szCs w:val="21"/>
                    </w:rPr>
                  </w:pPr>
                </w:p>
              </w:tc>
            </w:tr>
            <w:tr w14:paraId="51E54C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2" w:type="dxa"/>
                  <w:vMerge w:val="restart"/>
                  <w:noWrap w:val="0"/>
                  <w:vAlign w:val="center"/>
                </w:tcPr>
                <w:p w14:paraId="6C1DB639">
                  <w:pPr>
                    <w:jc w:val="center"/>
                    <w:rPr>
                      <w:color w:val="auto"/>
                      <w:szCs w:val="21"/>
                    </w:rPr>
                  </w:pPr>
                  <w:r>
                    <w:rPr>
                      <w:color w:val="auto"/>
                      <w:szCs w:val="21"/>
                    </w:rPr>
                    <w:t>DA001</w:t>
                  </w:r>
                </w:p>
              </w:tc>
              <w:tc>
                <w:tcPr>
                  <w:tcW w:w="723" w:type="dxa"/>
                  <w:vMerge w:val="restart"/>
                  <w:noWrap w:val="0"/>
                  <w:vAlign w:val="center"/>
                </w:tcPr>
                <w:p w14:paraId="346599B5">
                  <w:pPr>
                    <w:jc w:val="center"/>
                    <w:rPr>
                      <w:color w:val="auto"/>
                      <w:szCs w:val="21"/>
                    </w:rPr>
                  </w:pPr>
                  <w:r>
                    <w:rPr>
                      <w:color w:val="auto"/>
                      <w:szCs w:val="21"/>
                    </w:rPr>
                    <w:t>废气治理设施发生故障</w:t>
                  </w:r>
                </w:p>
              </w:tc>
              <w:tc>
                <w:tcPr>
                  <w:tcW w:w="675" w:type="dxa"/>
                  <w:noWrap w:val="0"/>
                  <w:vAlign w:val="center"/>
                </w:tcPr>
                <w:p w14:paraId="4AD4A18B">
                  <w:pPr>
                    <w:jc w:val="center"/>
                    <w:rPr>
                      <w:rFonts w:hint="eastAsia" w:eastAsia="宋体"/>
                      <w:color w:val="auto"/>
                      <w:spacing w:val="-11"/>
                      <w:kern w:val="2"/>
                      <w:sz w:val="21"/>
                      <w:szCs w:val="21"/>
                      <w:lang w:val="en-US" w:eastAsia="zh-CN" w:bidi="ar-SA"/>
                    </w:rPr>
                  </w:pPr>
                  <w:r>
                    <w:rPr>
                      <w:rFonts w:hint="eastAsia"/>
                      <w:color w:val="auto"/>
                      <w:spacing w:val="-11"/>
                      <w:szCs w:val="21"/>
                      <w:lang w:val="en-US" w:eastAsia="zh-CN"/>
                    </w:rPr>
                    <w:t>非甲烷总烃</w:t>
                  </w:r>
                </w:p>
              </w:tc>
              <w:tc>
                <w:tcPr>
                  <w:tcW w:w="795" w:type="dxa"/>
                  <w:noWrap w:val="0"/>
                  <w:vAlign w:val="center"/>
                </w:tcPr>
                <w:p w14:paraId="437D8491">
                  <w:pPr>
                    <w:keepNext w:val="0"/>
                    <w:keepLines w:val="0"/>
                    <w:widowControl/>
                    <w:suppressLineNumbers w:val="0"/>
                    <w:jc w:val="center"/>
                    <w:textAlignment w:val="center"/>
                    <w:rPr>
                      <w:rFonts w:hint="default" w:ascii="Times New Roman" w:hAnsi="Times New Roman" w:eastAsia="宋体"/>
                      <w:color w:val="auto"/>
                      <w:kern w:val="0"/>
                      <w:sz w:val="21"/>
                      <w:szCs w:val="21"/>
                      <w:lang w:val="en-US" w:eastAsia="zh-CN" w:bidi="ar-SA"/>
                    </w:rPr>
                  </w:pPr>
                  <w:r>
                    <w:rPr>
                      <w:rFonts w:hint="eastAsia" w:cs="宋体"/>
                      <w:i w:val="0"/>
                      <w:iCs w:val="0"/>
                      <w:color w:val="auto"/>
                      <w:kern w:val="0"/>
                      <w:sz w:val="21"/>
                      <w:szCs w:val="22"/>
                      <w:u w:val="none"/>
                      <w:lang w:val="en-US" w:eastAsia="zh-CN" w:bidi="ar"/>
                    </w:rPr>
                    <w:t>1.224</w:t>
                  </w:r>
                </w:p>
              </w:tc>
              <w:tc>
                <w:tcPr>
                  <w:tcW w:w="974" w:type="dxa"/>
                  <w:noWrap w:val="0"/>
                  <w:vAlign w:val="center"/>
                </w:tcPr>
                <w:p w14:paraId="0A73B56D">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 xml:space="preserve">101.969 </w:t>
                  </w:r>
                </w:p>
              </w:tc>
              <w:tc>
                <w:tcPr>
                  <w:tcW w:w="942" w:type="dxa"/>
                  <w:noWrap w:val="0"/>
                  <w:vAlign w:val="center"/>
                </w:tcPr>
                <w:p w14:paraId="6686CC0C">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 xml:space="preserve">1.224 </w:t>
                  </w:r>
                </w:p>
              </w:tc>
              <w:tc>
                <w:tcPr>
                  <w:tcW w:w="636" w:type="dxa"/>
                  <w:vMerge w:val="restart"/>
                  <w:noWrap w:val="0"/>
                  <w:vAlign w:val="center"/>
                </w:tcPr>
                <w:p w14:paraId="0A9E0FAB">
                  <w:pPr>
                    <w:jc w:val="center"/>
                    <w:rPr>
                      <w:color w:val="auto"/>
                      <w:kern w:val="2"/>
                      <w:sz w:val="21"/>
                      <w:szCs w:val="21"/>
                      <w:lang w:val="en-US" w:eastAsia="zh-CN" w:bidi="ar-SA"/>
                    </w:rPr>
                  </w:pPr>
                  <w:r>
                    <w:rPr>
                      <w:rFonts w:hint="eastAsia"/>
                      <w:color w:val="auto"/>
                      <w:szCs w:val="21"/>
                    </w:rPr>
                    <w:t>15</w:t>
                  </w:r>
                </w:p>
              </w:tc>
              <w:tc>
                <w:tcPr>
                  <w:tcW w:w="554" w:type="dxa"/>
                  <w:vMerge w:val="restart"/>
                  <w:noWrap w:val="0"/>
                  <w:vAlign w:val="center"/>
                </w:tcPr>
                <w:p w14:paraId="05A1ABB4">
                  <w:pPr>
                    <w:jc w:val="center"/>
                    <w:rPr>
                      <w:rFonts w:hint="eastAsia"/>
                      <w:color w:val="auto"/>
                      <w:kern w:val="2"/>
                      <w:sz w:val="21"/>
                      <w:szCs w:val="21"/>
                      <w:lang w:val="en-US" w:eastAsia="zh-CN" w:bidi="ar-SA"/>
                    </w:rPr>
                  </w:pPr>
                  <w:r>
                    <w:rPr>
                      <w:rFonts w:hint="eastAsia"/>
                      <w:color w:val="auto"/>
                      <w:szCs w:val="21"/>
                    </w:rPr>
                    <w:t>0.5</w:t>
                  </w:r>
                </w:p>
              </w:tc>
              <w:tc>
                <w:tcPr>
                  <w:tcW w:w="527" w:type="dxa"/>
                  <w:vMerge w:val="restart"/>
                  <w:noWrap w:val="0"/>
                  <w:vAlign w:val="center"/>
                </w:tcPr>
                <w:p w14:paraId="266BCE95">
                  <w:pPr>
                    <w:jc w:val="center"/>
                    <w:rPr>
                      <w:rFonts w:hint="eastAsia"/>
                      <w:color w:val="auto"/>
                      <w:kern w:val="2"/>
                      <w:sz w:val="21"/>
                      <w:szCs w:val="21"/>
                      <w:lang w:val="en-US" w:eastAsia="zh-CN" w:bidi="ar-SA"/>
                    </w:rPr>
                  </w:pPr>
                  <w:r>
                    <w:rPr>
                      <w:rFonts w:hint="eastAsia"/>
                      <w:color w:val="auto"/>
                      <w:szCs w:val="21"/>
                    </w:rPr>
                    <w:t>1</w:t>
                  </w:r>
                </w:p>
              </w:tc>
              <w:tc>
                <w:tcPr>
                  <w:tcW w:w="517" w:type="dxa"/>
                  <w:vMerge w:val="restart"/>
                  <w:noWrap w:val="0"/>
                  <w:vAlign w:val="center"/>
                </w:tcPr>
                <w:p w14:paraId="3BC269AA">
                  <w:pPr>
                    <w:jc w:val="center"/>
                    <w:rPr>
                      <w:rFonts w:hint="eastAsia"/>
                      <w:color w:val="auto"/>
                      <w:kern w:val="2"/>
                      <w:sz w:val="21"/>
                      <w:szCs w:val="21"/>
                      <w:lang w:val="en-US" w:eastAsia="zh-CN" w:bidi="ar-SA"/>
                    </w:rPr>
                  </w:pPr>
                  <w:r>
                    <w:rPr>
                      <w:rFonts w:hint="eastAsia"/>
                      <w:color w:val="auto"/>
                      <w:szCs w:val="21"/>
                    </w:rPr>
                    <w:t>1</w:t>
                  </w:r>
                </w:p>
              </w:tc>
              <w:tc>
                <w:tcPr>
                  <w:tcW w:w="861" w:type="dxa"/>
                  <w:vMerge w:val="restart"/>
                  <w:noWrap w:val="0"/>
                  <w:vAlign w:val="center"/>
                </w:tcPr>
                <w:p w14:paraId="5B871149">
                  <w:pPr>
                    <w:jc w:val="center"/>
                    <w:rPr>
                      <w:color w:val="auto"/>
                      <w:szCs w:val="21"/>
                    </w:rPr>
                  </w:pPr>
                  <w:r>
                    <w:rPr>
                      <w:rFonts w:hint="eastAsia"/>
                      <w:color w:val="auto"/>
                      <w:szCs w:val="21"/>
                    </w:rPr>
                    <w:t>停止相应生产设备运行，立即检修</w:t>
                  </w:r>
                </w:p>
              </w:tc>
            </w:tr>
            <w:tr w14:paraId="1E7B09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2" w:type="dxa"/>
                  <w:vMerge w:val="continue"/>
                  <w:noWrap w:val="0"/>
                  <w:vAlign w:val="center"/>
                </w:tcPr>
                <w:p w14:paraId="7988DCF9">
                  <w:pPr>
                    <w:jc w:val="center"/>
                    <w:rPr>
                      <w:color w:val="auto"/>
                      <w:szCs w:val="21"/>
                    </w:rPr>
                  </w:pPr>
                </w:p>
              </w:tc>
              <w:tc>
                <w:tcPr>
                  <w:tcW w:w="723" w:type="dxa"/>
                  <w:vMerge w:val="continue"/>
                  <w:noWrap w:val="0"/>
                  <w:vAlign w:val="center"/>
                </w:tcPr>
                <w:p w14:paraId="1FFF1811">
                  <w:pPr>
                    <w:jc w:val="center"/>
                    <w:rPr>
                      <w:color w:val="auto"/>
                      <w:szCs w:val="21"/>
                    </w:rPr>
                  </w:pPr>
                </w:p>
              </w:tc>
              <w:tc>
                <w:tcPr>
                  <w:tcW w:w="675" w:type="dxa"/>
                  <w:noWrap w:val="0"/>
                  <w:vAlign w:val="center"/>
                </w:tcPr>
                <w:p w14:paraId="0FA3BDBD">
                  <w:pPr>
                    <w:jc w:val="center"/>
                    <w:rPr>
                      <w:rFonts w:hint="default"/>
                      <w:color w:val="auto"/>
                      <w:spacing w:val="-11"/>
                      <w:szCs w:val="21"/>
                      <w:lang w:val="en-US" w:eastAsia="zh-CN"/>
                    </w:rPr>
                  </w:pPr>
                  <w:r>
                    <w:rPr>
                      <w:rFonts w:hint="eastAsia"/>
                      <w:color w:val="auto"/>
                      <w:spacing w:val="-11"/>
                      <w:szCs w:val="21"/>
                      <w:lang w:val="en-US" w:eastAsia="zh-CN"/>
                    </w:rPr>
                    <w:t>苯乙烯</w:t>
                  </w:r>
                </w:p>
              </w:tc>
              <w:tc>
                <w:tcPr>
                  <w:tcW w:w="795" w:type="dxa"/>
                  <w:noWrap w:val="0"/>
                  <w:vAlign w:val="center"/>
                </w:tcPr>
                <w:p w14:paraId="6A659BF1">
                  <w:pPr>
                    <w:keepNext w:val="0"/>
                    <w:keepLines w:val="0"/>
                    <w:widowControl/>
                    <w:suppressLineNumbers w:val="0"/>
                    <w:jc w:val="center"/>
                    <w:textAlignment w:val="center"/>
                    <w:rPr>
                      <w:rFonts w:hint="default" w:ascii="Times New Roman" w:hAnsi="Times New Roman" w:eastAsia="宋体"/>
                      <w:color w:val="auto"/>
                      <w:kern w:val="0"/>
                      <w:sz w:val="21"/>
                      <w:szCs w:val="21"/>
                      <w:lang w:val="en-US" w:eastAsia="zh-CN" w:bidi="ar-SA"/>
                    </w:rPr>
                  </w:pPr>
                  <w:r>
                    <w:rPr>
                      <w:rFonts w:hint="eastAsia" w:cs="宋体"/>
                      <w:i w:val="0"/>
                      <w:iCs w:val="0"/>
                      <w:color w:val="auto"/>
                      <w:kern w:val="0"/>
                      <w:sz w:val="21"/>
                      <w:szCs w:val="22"/>
                      <w:u w:val="none"/>
                      <w:lang w:val="en-US" w:eastAsia="zh-CN" w:bidi="ar"/>
                    </w:rPr>
                    <w:t>1.125</w:t>
                  </w:r>
                </w:p>
              </w:tc>
              <w:tc>
                <w:tcPr>
                  <w:tcW w:w="974" w:type="dxa"/>
                  <w:noWrap w:val="0"/>
                  <w:vAlign w:val="center"/>
                </w:tcPr>
                <w:p w14:paraId="1B23ABA6">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 xml:space="preserve">93.75 </w:t>
                  </w:r>
                </w:p>
              </w:tc>
              <w:tc>
                <w:tcPr>
                  <w:tcW w:w="942" w:type="dxa"/>
                  <w:noWrap w:val="0"/>
                  <w:vAlign w:val="center"/>
                </w:tcPr>
                <w:p w14:paraId="42A070D2">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 xml:space="preserve">1.125 </w:t>
                  </w:r>
                </w:p>
              </w:tc>
              <w:tc>
                <w:tcPr>
                  <w:tcW w:w="636" w:type="dxa"/>
                  <w:vMerge w:val="continue"/>
                  <w:noWrap w:val="0"/>
                  <w:vAlign w:val="center"/>
                </w:tcPr>
                <w:p w14:paraId="33738BB0">
                  <w:pPr>
                    <w:jc w:val="center"/>
                    <w:rPr>
                      <w:rFonts w:hint="eastAsia"/>
                      <w:color w:val="auto"/>
                      <w:szCs w:val="21"/>
                    </w:rPr>
                  </w:pPr>
                </w:p>
              </w:tc>
              <w:tc>
                <w:tcPr>
                  <w:tcW w:w="554" w:type="dxa"/>
                  <w:vMerge w:val="continue"/>
                  <w:noWrap w:val="0"/>
                  <w:vAlign w:val="center"/>
                </w:tcPr>
                <w:p w14:paraId="36153774">
                  <w:pPr>
                    <w:jc w:val="center"/>
                    <w:rPr>
                      <w:rFonts w:hint="eastAsia"/>
                      <w:color w:val="auto"/>
                      <w:szCs w:val="21"/>
                    </w:rPr>
                  </w:pPr>
                </w:p>
              </w:tc>
              <w:tc>
                <w:tcPr>
                  <w:tcW w:w="527" w:type="dxa"/>
                  <w:vMerge w:val="continue"/>
                  <w:noWrap w:val="0"/>
                  <w:vAlign w:val="center"/>
                </w:tcPr>
                <w:p w14:paraId="222EA1D4">
                  <w:pPr>
                    <w:jc w:val="center"/>
                    <w:rPr>
                      <w:rFonts w:hint="eastAsia"/>
                      <w:color w:val="auto"/>
                      <w:szCs w:val="21"/>
                    </w:rPr>
                  </w:pPr>
                </w:p>
              </w:tc>
              <w:tc>
                <w:tcPr>
                  <w:tcW w:w="517" w:type="dxa"/>
                  <w:vMerge w:val="continue"/>
                  <w:noWrap w:val="0"/>
                  <w:vAlign w:val="center"/>
                </w:tcPr>
                <w:p w14:paraId="5CA8DBC5">
                  <w:pPr>
                    <w:jc w:val="center"/>
                    <w:rPr>
                      <w:rFonts w:hint="eastAsia"/>
                      <w:color w:val="auto"/>
                      <w:szCs w:val="21"/>
                    </w:rPr>
                  </w:pPr>
                </w:p>
              </w:tc>
              <w:tc>
                <w:tcPr>
                  <w:tcW w:w="861" w:type="dxa"/>
                  <w:vMerge w:val="continue"/>
                  <w:noWrap w:val="0"/>
                  <w:vAlign w:val="center"/>
                </w:tcPr>
                <w:p w14:paraId="69D84B0C">
                  <w:pPr>
                    <w:jc w:val="center"/>
                    <w:rPr>
                      <w:rFonts w:hint="eastAsia"/>
                      <w:color w:val="auto"/>
                      <w:szCs w:val="21"/>
                    </w:rPr>
                  </w:pPr>
                </w:p>
              </w:tc>
            </w:tr>
            <w:tr w14:paraId="3F9E12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2" w:type="dxa"/>
                  <w:vMerge w:val="continue"/>
                  <w:noWrap w:val="0"/>
                  <w:vAlign w:val="center"/>
                </w:tcPr>
                <w:p w14:paraId="75B40E8D">
                  <w:pPr>
                    <w:jc w:val="center"/>
                    <w:rPr>
                      <w:color w:val="auto"/>
                      <w:szCs w:val="21"/>
                    </w:rPr>
                  </w:pPr>
                </w:p>
              </w:tc>
              <w:tc>
                <w:tcPr>
                  <w:tcW w:w="723" w:type="dxa"/>
                  <w:vMerge w:val="continue"/>
                  <w:noWrap w:val="0"/>
                  <w:vAlign w:val="center"/>
                </w:tcPr>
                <w:p w14:paraId="1E3C678F">
                  <w:pPr>
                    <w:jc w:val="center"/>
                    <w:rPr>
                      <w:color w:val="auto"/>
                      <w:szCs w:val="21"/>
                    </w:rPr>
                  </w:pPr>
                </w:p>
              </w:tc>
              <w:tc>
                <w:tcPr>
                  <w:tcW w:w="675" w:type="dxa"/>
                  <w:noWrap w:val="0"/>
                  <w:vAlign w:val="center"/>
                </w:tcPr>
                <w:p w14:paraId="5BBDCFAD">
                  <w:pPr>
                    <w:jc w:val="center"/>
                    <w:rPr>
                      <w:rFonts w:hint="default"/>
                      <w:color w:val="auto"/>
                      <w:spacing w:val="-11"/>
                      <w:szCs w:val="21"/>
                      <w:lang w:val="en-US" w:eastAsia="zh-CN"/>
                    </w:rPr>
                  </w:pPr>
                  <w:r>
                    <w:rPr>
                      <w:rFonts w:hint="eastAsia"/>
                      <w:color w:val="auto"/>
                      <w:spacing w:val="-11"/>
                      <w:szCs w:val="21"/>
                      <w:lang w:val="en-US" w:eastAsia="zh-CN"/>
                    </w:rPr>
                    <w:t>苯系物</w:t>
                  </w:r>
                </w:p>
              </w:tc>
              <w:tc>
                <w:tcPr>
                  <w:tcW w:w="795" w:type="dxa"/>
                  <w:noWrap w:val="0"/>
                  <w:vAlign w:val="center"/>
                </w:tcPr>
                <w:p w14:paraId="227B3499">
                  <w:pPr>
                    <w:keepNext w:val="0"/>
                    <w:keepLines w:val="0"/>
                    <w:widowControl/>
                    <w:suppressLineNumbers w:val="0"/>
                    <w:jc w:val="center"/>
                    <w:textAlignment w:val="center"/>
                    <w:rPr>
                      <w:rFonts w:hint="default" w:ascii="Times New Roman" w:hAnsi="Times New Roman" w:eastAsia="宋体"/>
                      <w:color w:val="auto"/>
                      <w:kern w:val="0"/>
                      <w:sz w:val="21"/>
                      <w:szCs w:val="21"/>
                      <w:lang w:val="en-US" w:eastAsia="zh-CN" w:bidi="ar-SA"/>
                    </w:rPr>
                  </w:pPr>
                  <w:r>
                    <w:rPr>
                      <w:rFonts w:hint="eastAsia" w:cs="宋体"/>
                      <w:i w:val="0"/>
                      <w:iCs w:val="0"/>
                      <w:color w:val="auto"/>
                      <w:kern w:val="0"/>
                      <w:sz w:val="21"/>
                      <w:szCs w:val="22"/>
                      <w:u w:val="none"/>
                      <w:lang w:val="en-US" w:eastAsia="zh-CN" w:bidi="ar"/>
                    </w:rPr>
                    <w:t>1.125</w:t>
                  </w:r>
                </w:p>
              </w:tc>
              <w:tc>
                <w:tcPr>
                  <w:tcW w:w="974" w:type="dxa"/>
                  <w:noWrap w:val="0"/>
                  <w:vAlign w:val="center"/>
                </w:tcPr>
                <w:p w14:paraId="65AB874E">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 xml:space="preserve">93.75 </w:t>
                  </w:r>
                </w:p>
              </w:tc>
              <w:tc>
                <w:tcPr>
                  <w:tcW w:w="942" w:type="dxa"/>
                  <w:noWrap w:val="0"/>
                  <w:vAlign w:val="center"/>
                </w:tcPr>
                <w:p w14:paraId="52E75EAA">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 xml:space="preserve">1.125 </w:t>
                  </w:r>
                </w:p>
              </w:tc>
              <w:tc>
                <w:tcPr>
                  <w:tcW w:w="636" w:type="dxa"/>
                  <w:vMerge w:val="continue"/>
                  <w:noWrap w:val="0"/>
                  <w:vAlign w:val="center"/>
                </w:tcPr>
                <w:p w14:paraId="61CD74DB">
                  <w:pPr>
                    <w:jc w:val="center"/>
                    <w:rPr>
                      <w:rFonts w:hint="eastAsia"/>
                      <w:color w:val="auto"/>
                      <w:szCs w:val="21"/>
                    </w:rPr>
                  </w:pPr>
                </w:p>
              </w:tc>
              <w:tc>
                <w:tcPr>
                  <w:tcW w:w="554" w:type="dxa"/>
                  <w:vMerge w:val="continue"/>
                  <w:noWrap w:val="0"/>
                  <w:vAlign w:val="center"/>
                </w:tcPr>
                <w:p w14:paraId="68BF719F">
                  <w:pPr>
                    <w:jc w:val="center"/>
                    <w:rPr>
                      <w:rFonts w:hint="eastAsia"/>
                      <w:color w:val="auto"/>
                      <w:szCs w:val="21"/>
                    </w:rPr>
                  </w:pPr>
                </w:p>
              </w:tc>
              <w:tc>
                <w:tcPr>
                  <w:tcW w:w="527" w:type="dxa"/>
                  <w:vMerge w:val="continue"/>
                  <w:noWrap w:val="0"/>
                  <w:vAlign w:val="center"/>
                </w:tcPr>
                <w:p w14:paraId="41F82B9F">
                  <w:pPr>
                    <w:jc w:val="center"/>
                    <w:rPr>
                      <w:rFonts w:hint="eastAsia"/>
                      <w:color w:val="auto"/>
                      <w:szCs w:val="21"/>
                    </w:rPr>
                  </w:pPr>
                </w:p>
              </w:tc>
              <w:tc>
                <w:tcPr>
                  <w:tcW w:w="517" w:type="dxa"/>
                  <w:vMerge w:val="continue"/>
                  <w:noWrap w:val="0"/>
                  <w:vAlign w:val="center"/>
                </w:tcPr>
                <w:p w14:paraId="6E90F604">
                  <w:pPr>
                    <w:jc w:val="center"/>
                    <w:rPr>
                      <w:rFonts w:hint="eastAsia"/>
                      <w:color w:val="auto"/>
                      <w:szCs w:val="21"/>
                    </w:rPr>
                  </w:pPr>
                </w:p>
              </w:tc>
              <w:tc>
                <w:tcPr>
                  <w:tcW w:w="861" w:type="dxa"/>
                  <w:vMerge w:val="continue"/>
                  <w:noWrap w:val="0"/>
                  <w:vAlign w:val="center"/>
                </w:tcPr>
                <w:p w14:paraId="31E7AB84">
                  <w:pPr>
                    <w:jc w:val="center"/>
                    <w:rPr>
                      <w:rFonts w:hint="eastAsia"/>
                      <w:color w:val="auto"/>
                      <w:szCs w:val="21"/>
                    </w:rPr>
                  </w:pPr>
                </w:p>
              </w:tc>
            </w:tr>
            <w:tr w14:paraId="286C2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2" w:type="dxa"/>
                  <w:noWrap w:val="0"/>
                  <w:vAlign w:val="center"/>
                </w:tcPr>
                <w:p w14:paraId="7D335ADC">
                  <w:pPr>
                    <w:jc w:val="center"/>
                    <w:rPr>
                      <w:rFonts w:hint="default" w:eastAsia="宋体"/>
                      <w:color w:val="auto"/>
                      <w:szCs w:val="21"/>
                      <w:lang w:val="en-US" w:eastAsia="zh-CN"/>
                    </w:rPr>
                  </w:pPr>
                  <w:r>
                    <w:rPr>
                      <w:rFonts w:hint="eastAsia"/>
                      <w:color w:val="auto"/>
                      <w:szCs w:val="21"/>
                      <w:lang w:val="en-US" w:eastAsia="zh-CN"/>
                    </w:rPr>
                    <w:t>DA002</w:t>
                  </w:r>
                </w:p>
              </w:tc>
              <w:tc>
                <w:tcPr>
                  <w:tcW w:w="723" w:type="dxa"/>
                  <w:vMerge w:val="continue"/>
                  <w:noWrap w:val="0"/>
                  <w:vAlign w:val="center"/>
                </w:tcPr>
                <w:p w14:paraId="05809397">
                  <w:pPr>
                    <w:jc w:val="center"/>
                    <w:rPr>
                      <w:color w:val="auto"/>
                      <w:szCs w:val="21"/>
                    </w:rPr>
                  </w:pPr>
                </w:p>
              </w:tc>
              <w:tc>
                <w:tcPr>
                  <w:tcW w:w="675" w:type="dxa"/>
                  <w:noWrap w:val="0"/>
                  <w:vAlign w:val="center"/>
                </w:tcPr>
                <w:p w14:paraId="2F7D74CD">
                  <w:pPr>
                    <w:jc w:val="center"/>
                    <w:rPr>
                      <w:rFonts w:hint="eastAsia"/>
                      <w:color w:val="auto"/>
                      <w:spacing w:val="-11"/>
                      <w:szCs w:val="21"/>
                      <w:lang w:val="en-US" w:eastAsia="zh-CN"/>
                    </w:rPr>
                  </w:pPr>
                  <w:r>
                    <w:rPr>
                      <w:rFonts w:hint="eastAsia"/>
                      <w:color w:val="auto"/>
                      <w:spacing w:val="-11"/>
                      <w:szCs w:val="21"/>
                      <w:lang w:val="en-US" w:eastAsia="zh-CN"/>
                    </w:rPr>
                    <w:t>颗粒物</w:t>
                  </w:r>
                </w:p>
              </w:tc>
              <w:tc>
                <w:tcPr>
                  <w:tcW w:w="795" w:type="dxa"/>
                  <w:noWrap w:val="0"/>
                  <w:vAlign w:val="center"/>
                </w:tcPr>
                <w:p w14:paraId="5665B2A8">
                  <w:pPr>
                    <w:keepNext w:val="0"/>
                    <w:keepLines w:val="0"/>
                    <w:widowControl/>
                    <w:suppressLineNumbers w:val="0"/>
                    <w:jc w:val="center"/>
                    <w:textAlignment w:val="center"/>
                    <w:rPr>
                      <w:rFonts w:hint="default" w:ascii="Times New Roman" w:hAnsi="Times New Roman" w:eastAsia="宋体"/>
                      <w:color w:val="auto"/>
                      <w:kern w:val="0"/>
                      <w:sz w:val="21"/>
                      <w:szCs w:val="21"/>
                      <w:lang w:val="en-US" w:eastAsia="zh-CN" w:bidi="ar-SA"/>
                    </w:rPr>
                  </w:pPr>
                  <w:r>
                    <w:rPr>
                      <w:rFonts w:hint="eastAsia" w:ascii="Times New Roman" w:hAnsi="Times New Roman" w:eastAsia="宋体" w:cs="宋体"/>
                      <w:i w:val="0"/>
                      <w:iCs w:val="0"/>
                      <w:color w:val="auto"/>
                      <w:kern w:val="0"/>
                      <w:sz w:val="21"/>
                      <w:szCs w:val="22"/>
                      <w:u w:val="none"/>
                      <w:lang w:val="en-US" w:eastAsia="zh-CN" w:bidi="ar"/>
                    </w:rPr>
                    <w:t>0.</w:t>
                  </w:r>
                  <w:r>
                    <w:rPr>
                      <w:rFonts w:hint="eastAsia" w:cs="宋体"/>
                      <w:i w:val="0"/>
                      <w:iCs w:val="0"/>
                      <w:color w:val="auto"/>
                      <w:kern w:val="0"/>
                      <w:sz w:val="21"/>
                      <w:szCs w:val="22"/>
                      <w:u w:val="none"/>
                      <w:lang w:val="en-US" w:eastAsia="zh-CN" w:bidi="ar"/>
                    </w:rPr>
                    <w:t>338</w:t>
                  </w:r>
                </w:p>
              </w:tc>
              <w:tc>
                <w:tcPr>
                  <w:tcW w:w="974" w:type="dxa"/>
                  <w:noWrap w:val="0"/>
                  <w:vAlign w:val="center"/>
                </w:tcPr>
                <w:p w14:paraId="79299415">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2"/>
                      <w:u w:val="none"/>
                      <w:lang w:val="en-US" w:eastAsia="zh-CN" w:bidi="ar"/>
                    </w:rPr>
                  </w:pPr>
                  <w:r>
                    <w:rPr>
                      <w:rFonts w:hint="eastAsia" w:cs="宋体"/>
                      <w:i w:val="0"/>
                      <w:iCs w:val="0"/>
                      <w:color w:val="auto"/>
                      <w:kern w:val="0"/>
                      <w:sz w:val="21"/>
                      <w:szCs w:val="22"/>
                      <w:u w:val="none"/>
                      <w:lang w:val="en-US" w:eastAsia="zh-CN" w:bidi="ar"/>
                    </w:rPr>
                    <w:t>33.75</w:t>
                  </w:r>
                </w:p>
              </w:tc>
              <w:tc>
                <w:tcPr>
                  <w:tcW w:w="942" w:type="dxa"/>
                  <w:noWrap w:val="0"/>
                  <w:vAlign w:val="center"/>
                </w:tcPr>
                <w:p w14:paraId="7FDB846B">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2"/>
                      <w:u w:val="none"/>
                      <w:lang w:val="en-US" w:eastAsia="zh-CN" w:bidi="ar"/>
                    </w:rPr>
                  </w:pPr>
                  <w:r>
                    <w:rPr>
                      <w:rFonts w:hint="eastAsia" w:ascii="Times New Roman" w:hAnsi="Times New Roman" w:eastAsia="宋体" w:cs="宋体"/>
                      <w:i w:val="0"/>
                      <w:iCs w:val="0"/>
                      <w:color w:val="auto"/>
                      <w:kern w:val="0"/>
                      <w:sz w:val="21"/>
                      <w:szCs w:val="22"/>
                      <w:u w:val="none"/>
                      <w:lang w:val="en-US" w:eastAsia="zh-CN" w:bidi="ar"/>
                    </w:rPr>
                    <w:t>0.3</w:t>
                  </w:r>
                  <w:r>
                    <w:rPr>
                      <w:rFonts w:hint="eastAsia" w:cs="宋体"/>
                      <w:i w:val="0"/>
                      <w:iCs w:val="0"/>
                      <w:color w:val="auto"/>
                      <w:kern w:val="0"/>
                      <w:sz w:val="21"/>
                      <w:szCs w:val="22"/>
                      <w:u w:val="none"/>
                      <w:lang w:val="en-US" w:eastAsia="zh-CN" w:bidi="ar"/>
                    </w:rPr>
                    <w:t>38</w:t>
                  </w:r>
                  <w:r>
                    <w:rPr>
                      <w:rFonts w:hint="eastAsia" w:ascii="Times New Roman" w:hAnsi="Times New Roman" w:eastAsia="宋体" w:cs="宋体"/>
                      <w:i w:val="0"/>
                      <w:iCs w:val="0"/>
                      <w:color w:val="auto"/>
                      <w:kern w:val="0"/>
                      <w:sz w:val="21"/>
                      <w:szCs w:val="22"/>
                      <w:u w:val="none"/>
                      <w:lang w:val="en-US" w:eastAsia="zh-CN" w:bidi="ar"/>
                    </w:rPr>
                    <w:t xml:space="preserve"> </w:t>
                  </w:r>
                </w:p>
              </w:tc>
              <w:tc>
                <w:tcPr>
                  <w:tcW w:w="636" w:type="dxa"/>
                  <w:noWrap w:val="0"/>
                  <w:vAlign w:val="center"/>
                </w:tcPr>
                <w:p w14:paraId="794213DF">
                  <w:pPr>
                    <w:jc w:val="center"/>
                    <w:rPr>
                      <w:rFonts w:hint="default" w:eastAsia="宋体"/>
                      <w:color w:val="auto"/>
                      <w:szCs w:val="21"/>
                      <w:lang w:val="en-US" w:eastAsia="zh-CN"/>
                    </w:rPr>
                  </w:pPr>
                  <w:r>
                    <w:rPr>
                      <w:rFonts w:hint="eastAsia"/>
                      <w:color w:val="auto"/>
                      <w:szCs w:val="21"/>
                      <w:lang w:val="en-US" w:eastAsia="zh-CN"/>
                    </w:rPr>
                    <w:t>15</w:t>
                  </w:r>
                </w:p>
              </w:tc>
              <w:tc>
                <w:tcPr>
                  <w:tcW w:w="554" w:type="dxa"/>
                  <w:noWrap w:val="0"/>
                  <w:vAlign w:val="center"/>
                </w:tcPr>
                <w:p w14:paraId="517622AA">
                  <w:pPr>
                    <w:jc w:val="center"/>
                    <w:rPr>
                      <w:rFonts w:hint="default" w:eastAsia="宋体"/>
                      <w:color w:val="auto"/>
                      <w:szCs w:val="21"/>
                      <w:lang w:val="en-US" w:eastAsia="zh-CN"/>
                    </w:rPr>
                  </w:pPr>
                  <w:r>
                    <w:rPr>
                      <w:rFonts w:hint="eastAsia"/>
                      <w:color w:val="auto"/>
                      <w:szCs w:val="21"/>
                      <w:lang w:val="en-US" w:eastAsia="zh-CN"/>
                    </w:rPr>
                    <w:t>0.5</w:t>
                  </w:r>
                </w:p>
              </w:tc>
              <w:tc>
                <w:tcPr>
                  <w:tcW w:w="527" w:type="dxa"/>
                  <w:noWrap w:val="0"/>
                  <w:vAlign w:val="center"/>
                </w:tcPr>
                <w:p w14:paraId="66DE3DB7">
                  <w:pPr>
                    <w:jc w:val="center"/>
                    <w:rPr>
                      <w:rFonts w:hint="eastAsia" w:eastAsia="宋体"/>
                      <w:color w:val="auto"/>
                      <w:szCs w:val="21"/>
                      <w:lang w:val="en-US" w:eastAsia="zh-CN"/>
                    </w:rPr>
                  </w:pPr>
                  <w:r>
                    <w:rPr>
                      <w:rFonts w:hint="eastAsia"/>
                      <w:color w:val="auto"/>
                      <w:szCs w:val="21"/>
                      <w:lang w:val="en-US" w:eastAsia="zh-CN"/>
                    </w:rPr>
                    <w:t>1</w:t>
                  </w:r>
                </w:p>
              </w:tc>
              <w:tc>
                <w:tcPr>
                  <w:tcW w:w="517" w:type="dxa"/>
                  <w:noWrap w:val="0"/>
                  <w:vAlign w:val="center"/>
                </w:tcPr>
                <w:p w14:paraId="39729F1B">
                  <w:pPr>
                    <w:jc w:val="center"/>
                    <w:rPr>
                      <w:rFonts w:hint="eastAsia" w:eastAsia="宋体"/>
                      <w:color w:val="auto"/>
                      <w:szCs w:val="21"/>
                      <w:lang w:val="en-US" w:eastAsia="zh-CN"/>
                    </w:rPr>
                  </w:pPr>
                  <w:r>
                    <w:rPr>
                      <w:rFonts w:hint="eastAsia"/>
                      <w:color w:val="auto"/>
                      <w:szCs w:val="21"/>
                      <w:lang w:val="en-US" w:eastAsia="zh-CN"/>
                    </w:rPr>
                    <w:t>1</w:t>
                  </w:r>
                </w:p>
              </w:tc>
              <w:tc>
                <w:tcPr>
                  <w:tcW w:w="861" w:type="dxa"/>
                  <w:vMerge w:val="continue"/>
                  <w:noWrap w:val="0"/>
                  <w:vAlign w:val="center"/>
                </w:tcPr>
                <w:p w14:paraId="5A36C930">
                  <w:pPr>
                    <w:jc w:val="center"/>
                    <w:rPr>
                      <w:rFonts w:hint="eastAsia"/>
                      <w:color w:val="auto"/>
                      <w:szCs w:val="21"/>
                    </w:rPr>
                  </w:pPr>
                </w:p>
              </w:tc>
            </w:tr>
          </w:tbl>
          <w:p w14:paraId="5A49B09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rPr>
            </w:pPr>
            <w:r>
              <w:rPr>
                <w:rFonts w:hint="eastAsia"/>
                <w:color w:val="auto"/>
              </w:rPr>
              <w:t>根据上表可知非正常工况下，废气的排放浓度和排放速率均大幅上升，因此需要企业加强日常维护管理，定期检修，确保设施稳定运行。</w:t>
            </w:r>
          </w:p>
          <w:p w14:paraId="114B7371">
            <w:pPr>
              <w:pStyle w:val="18"/>
              <w:keepNext w:val="0"/>
              <w:keepLines w:val="0"/>
              <w:pageBreakBefore w:val="0"/>
              <w:widowControl w:val="0"/>
              <w:kinsoku/>
              <w:wordWrap/>
              <w:overflowPunct/>
              <w:topLinePunct w:val="0"/>
              <w:bidi w:val="0"/>
              <w:adjustRightInd/>
              <w:snapToGrid/>
              <w:spacing w:after="0" w:line="360" w:lineRule="auto"/>
              <w:ind w:left="0" w:leftChars="0" w:firstLine="482"/>
              <w:jc w:val="both"/>
              <w:textAlignment w:val="auto"/>
              <w:rPr>
                <w:b w:val="0"/>
                <w:bCs w:val="0"/>
                <w:color w:val="auto"/>
              </w:rPr>
            </w:pPr>
            <w:r>
              <w:rPr>
                <w:rFonts w:hint="eastAsia"/>
                <w:b w:val="0"/>
                <w:bCs w:val="0"/>
                <w:color w:val="auto"/>
                <w:lang w:val="en-US" w:eastAsia="zh-CN"/>
              </w:rPr>
              <w:t>3</w:t>
            </w:r>
            <w:r>
              <w:rPr>
                <w:b w:val="0"/>
                <w:bCs w:val="0"/>
                <w:color w:val="auto"/>
              </w:rPr>
              <w:t>、</w:t>
            </w:r>
            <w:r>
              <w:rPr>
                <w:rFonts w:hint="eastAsia"/>
                <w:b w:val="0"/>
                <w:bCs w:val="0"/>
                <w:color w:val="auto"/>
              </w:rPr>
              <w:t>废气</w:t>
            </w:r>
            <w:r>
              <w:rPr>
                <w:b w:val="0"/>
                <w:bCs w:val="0"/>
                <w:color w:val="auto"/>
              </w:rPr>
              <w:t>污染防治技术可行性分析</w:t>
            </w:r>
          </w:p>
          <w:p w14:paraId="20E9AFD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lang w:val="en-US" w:eastAsia="zh-CN"/>
              </w:rPr>
            </w:pPr>
            <w:r>
              <w:rPr>
                <w:rFonts w:hint="eastAsia" w:cs="Times New Roman"/>
                <w:color w:val="auto"/>
                <w:lang w:val="en-US" w:eastAsia="zh-CN"/>
              </w:rPr>
              <w:t>①有机废气治理技术的可行性分析</w:t>
            </w:r>
          </w:p>
          <w:p w14:paraId="21AC3D59">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Times New Roman"/>
                <w:color w:val="auto"/>
                <w:lang w:val="en-US" w:eastAsia="zh-CN"/>
              </w:rPr>
              <w:t>有机废气治理技术</w:t>
            </w:r>
            <w:r>
              <w:rPr>
                <w:rFonts w:hint="eastAsia" w:ascii="Times New Roman" w:hAnsi="Times New Roman" w:eastAsia="宋体" w:cs="Times New Roman"/>
                <w:color w:val="auto"/>
                <w:lang w:val="en-US" w:eastAsia="zh-CN"/>
              </w:rPr>
              <w:t>参考</w:t>
            </w:r>
            <w:r>
              <w:rPr>
                <w:rFonts w:hint="eastAsia" w:ascii="Times New Roman" w:hAnsi="Times New Roman" w:eastAsia="宋体" w:cs="Times New Roman"/>
                <w:color w:val="auto"/>
              </w:rPr>
              <w:t>《排污许可证申请与核发技术规范</w:t>
            </w:r>
            <w:r>
              <w:rPr>
                <w:rFonts w:hint="eastAsia" w:ascii="Times New Roman" w:hAnsi="Times New Roman" w:eastAsia="宋体" w:cs="Times New Roman"/>
                <w:color w:val="auto"/>
                <w:lang w:val="en-US" w:eastAsia="zh-CN"/>
              </w:rPr>
              <w:t>橡胶和塑料制品工业</w:t>
            </w:r>
            <w:r>
              <w:rPr>
                <w:rFonts w:hint="eastAsia" w:ascii="Times New Roman" w:hAnsi="Times New Roman" w:eastAsia="宋体" w:cs="Times New Roman"/>
                <w:color w:val="auto"/>
              </w:rPr>
              <w:t>》（HJ</w:t>
            </w:r>
            <w:r>
              <w:rPr>
                <w:rFonts w:hint="eastAsia" w:ascii="Times New Roman" w:hAnsi="Times New Roman" w:eastAsia="宋体" w:cs="Times New Roman"/>
                <w:color w:val="auto"/>
                <w:lang w:val="en-US" w:eastAsia="zh-CN"/>
              </w:rPr>
              <w:t>1122-2020</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附录表A.2中“塑料零件及其他塑料制品制造 ”治理有机废气可行性技术为“</w:t>
            </w:r>
            <w:r>
              <w:rPr>
                <w:rFonts w:hint="eastAsia" w:ascii="Times New Roman" w:hAnsi="Times New Roman" w:eastAsia="宋体" w:cs="Times New Roman"/>
                <w:color w:val="auto"/>
              </w:rPr>
              <w:t>喷淋；吸附；吸附浓缩+热力燃烧/催化燃烧”</w:t>
            </w:r>
            <w:r>
              <w:rPr>
                <w:rFonts w:hint="eastAsia" w:cs="Times New Roman"/>
                <w:color w:val="auto"/>
                <w:lang w:val="en-US" w:eastAsia="zh-CN"/>
              </w:rPr>
              <w:t>。</w:t>
            </w:r>
            <w:r>
              <w:rPr>
                <w:rFonts w:hint="eastAsia" w:ascii="Times New Roman" w:hAnsi="Times New Roman" w:eastAsia="宋体" w:cs="Times New Roman"/>
                <w:color w:val="auto"/>
                <w:lang w:val="en-US" w:eastAsia="zh-CN"/>
              </w:rPr>
              <w:t>本项目建成后</w:t>
            </w:r>
            <w:r>
              <w:rPr>
                <w:rFonts w:hint="eastAsia" w:ascii="Times New Roman" w:hAnsi="Times New Roman" w:eastAsia="宋体" w:cs="Times New Roman"/>
                <w:color w:val="auto"/>
              </w:rPr>
              <w:t>拟采用的有机废气治理技术为“二级活性炭吸附装置吸附法”</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选择</w:t>
            </w:r>
            <w:r>
              <w:rPr>
                <w:rFonts w:hint="eastAsia" w:ascii="Times New Roman" w:hAnsi="Times New Roman" w:eastAsia="宋体" w:cs="Times New Roman"/>
                <w:color w:val="auto"/>
              </w:rPr>
              <w:t>活性炭时，选择</w:t>
            </w:r>
            <w:r>
              <w:rPr>
                <w:rFonts w:hint="default" w:ascii="Times New Roman" w:hAnsi="Times New Roman" w:eastAsia="宋体" w:cs="Times New Roman"/>
                <w:color w:val="auto"/>
              </w:rPr>
              <w:t>碘值不低于800毫克/克的活性炭，并按照</w:t>
            </w:r>
            <w:r>
              <w:rPr>
                <w:rFonts w:hint="eastAsia" w:ascii="Times New Roman" w:hAnsi="Times New Roman" w:eastAsia="宋体" w:cs="Times New Roman"/>
                <w:color w:val="auto"/>
              </w:rPr>
              <w:t>设计</w:t>
            </w:r>
            <w:r>
              <w:rPr>
                <w:rFonts w:hint="default" w:ascii="Times New Roman" w:hAnsi="Times New Roman" w:eastAsia="宋体" w:cs="Times New Roman"/>
                <w:color w:val="auto"/>
              </w:rPr>
              <w:t>要求足量添加、及时更换</w:t>
            </w:r>
            <w:r>
              <w:rPr>
                <w:rFonts w:hint="eastAsia" w:ascii="Times New Roman" w:hAnsi="Times New Roman" w:eastAsia="宋体" w:cs="Times New Roman"/>
                <w:color w:val="auto"/>
              </w:rPr>
              <w:t>，</w:t>
            </w:r>
            <w:r>
              <w:rPr>
                <w:rFonts w:hint="eastAsia" w:cs="Times New Roman"/>
                <w:color w:val="auto"/>
                <w:lang w:val="en-US" w:eastAsia="zh-CN"/>
              </w:rPr>
              <w:t>二级活性炭吸附法</w:t>
            </w:r>
            <w:r>
              <w:rPr>
                <w:rFonts w:hint="eastAsia" w:ascii="Times New Roman" w:hAnsi="Times New Roman" w:eastAsia="宋体" w:cs="Times New Roman"/>
                <w:color w:val="auto"/>
                <w:lang w:val="en-US" w:eastAsia="zh-CN"/>
              </w:rPr>
              <w:t>为</w:t>
            </w:r>
            <w:r>
              <w:rPr>
                <w:rFonts w:hint="eastAsia" w:ascii="Times New Roman" w:hAnsi="Times New Roman" w:eastAsia="宋体" w:cs="Times New Roman"/>
                <w:color w:val="auto"/>
              </w:rPr>
              <w:t>《排污许可证申请与核发技术规范</w:t>
            </w:r>
            <w:r>
              <w:rPr>
                <w:rFonts w:hint="eastAsia" w:ascii="Times New Roman" w:hAnsi="Times New Roman" w:eastAsia="宋体" w:cs="Times New Roman"/>
                <w:color w:val="auto"/>
                <w:lang w:val="en-US" w:eastAsia="zh-CN"/>
              </w:rPr>
              <w:t>橡胶和塑料制品工业</w:t>
            </w:r>
            <w:r>
              <w:rPr>
                <w:rFonts w:hint="eastAsia" w:ascii="Times New Roman" w:hAnsi="Times New Roman" w:eastAsia="宋体" w:cs="Times New Roman"/>
                <w:color w:val="auto"/>
              </w:rPr>
              <w:t>》（HJ</w:t>
            </w:r>
            <w:r>
              <w:rPr>
                <w:rFonts w:hint="eastAsia" w:ascii="Times New Roman" w:hAnsi="Times New Roman" w:eastAsia="宋体" w:cs="Times New Roman"/>
                <w:color w:val="auto"/>
                <w:lang w:val="en-US" w:eastAsia="zh-CN"/>
              </w:rPr>
              <w:t>1122-2020</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中提供的可行技术。</w:t>
            </w:r>
          </w:p>
          <w:p w14:paraId="060A1485">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lang w:val="en-US" w:eastAsia="zh-CN"/>
              </w:rPr>
            </w:pPr>
            <w:r>
              <w:rPr>
                <w:rFonts w:hint="eastAsia" w:cs="Times New Roman"/>
                <w:color w:val="auto"/>
                <w:lang w:val="en-US" w:eastAsia="zh-CN"/>
              </w:rPr>
              <w:t>②颗粒物治理技术的可行性分析</w:t>
            </w:r>
          </w:p>
          <w:p w14:paraId="3F49B9C3">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Times New Roman"/>
                <w:color w:val="auto"/>
                <w:lang w:val="en-US" w:eastAsia="zh-CN"/>
              </w:rPr>
              <w:t>颗粒物治理技术</w:t>
            </w:r>
            <w:r>
              <w:rPr>
                <w:rFonts w:hint="eastAsia" w:ascii="Times New Roman" w:hAnsi="Times New Roman" w:eastAsia="宋体" w:cs="Times New Roman"/>
                <w:color w:val="auto"/>
                <w:lang w:val="en-US" w:eastAsia="zh-CN"/>
              </w:rPr>
              <w:t>参考</w:t>
            </w:r>
            <w:r>
              <w:rPr>
                <w:rFonts w:hint="eastAsia" w:ascii="Times New Roman" w:hAnsi="Times New Roman" w:eastAsia="宋体" w:cs="Times New Roman"/>
                <w:color w:val="auto"/>
              </w:rPr>
              <w:t>《排污许可证申请与核发技术规范</w:t>
            </w:r>
            <w:r>
              <w:rPr>
                <w:rFonts w:hint="eastAsia" w:ascii="Times New Roman" w:hAnsi="Times New Roman" w:eastAsia="宋体" w:cs="Times New Roman"/>
                <w:color w:val="auto"/>
                <w:lang w:val="en-US" w:eastAsia="zh-CN"/>
              </w:rPr>
              <w:t>橡胶和塑料制品工业</w:t>
            </w:r>
            <w:r>
              <w:rPr>
                <w:rFonts w:hint="eastAsia" w:ascii="Times New Roman" w:hAnsi="Times New Roman" w:eastAsia="宋体" w:cs="Times New Roman"/>
                <w:color w:val="auto"/>
              </w:rPr>
              <w:t>》（HJ</w:t>
            </w:r>
            <w:r>
              <w:rPr>
                <w:rFonts w:hint="eastAsia" w:ascii="Times New Roman" w:hAnsi="Times New Roman" w:eastAsia="宋体" w:cs="Times New Roman"/>
                <w:color w:val="auto"/>
                <w:lang w:val="en-US" w:eastAsia="zh-CN"/>
              </w:rPr>
              <w:t>1122-2020</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附录表A.2中“塑料零件及其他塑料制品制造 ”治理</w:t>
            </w:r>
            <w:r>
              <w:rPr>
                <w:rFonts w:hint="eastAsia" w:cs="Times New Roman"/>
                <w:color w:val="auto"/>
                <w:lang w:val="en-US" w:eastAsia="zh-CN"/>
              </w:rPr>
              <w:t>颗粒物</w:t>
            </w:r>
            <w:r>
              <w:rPr>
                <w:rFonts w:hint="eastAsia" w:ascii="Times New Roman" w:hAnsi="Times New Roman" w:eastAsia="宋体" w:cs="Times New Roman"/>
                <w:color w:val="auto"/>
                <w:lang w:val="en-US" w:eastAsia="zh-CN"/>
              </w:rPr>
              <w:t>可行性技术为“</w:t>
            </w:r>
            <w:r>
              <w:rPr>
                <w:rFonts w:hint="eastAsia" w:cs="Times New Roman"/>
                <w:color w:val="auto"/>
                <w:lang w:val="en-US" w:eastAsia="zh-CN"/>
              </w:rPr>
              <w:t>袋式除尘</w:t>
            </w:r>
            <w:r>
              <w:rPr>
                <w:rFonts w:hint="eastAsia" w:ascii="Times New Roman" w:hAnsi="Times New Roman" w:eastAsia="宋体" w:cs="Times New Roman"/>
                <w:color w:val="auto"/>
              </w:rPr>
              <w:t>；滤筒/滤芯除尘 ”</w:t>
            </w:r>
            <w:r>
              <w:rPr>
                <w:rFonts w:hint="eastAsia" w:cs="Times New Roman"/>
                <w:color w:val="auto"/>
                <w:lang w:val="en-US" w:eastAsia="zh-CN"/>
              </w:rPr>
              <w:t>。</w:t>
            </w:r>
            <w:r>
              <w:rPr>
                <w:rFonts w:hint="eastAsia" w:ascii="Times New Roman" w:hAnsi="Times New Roman" w:eastAsia="宋体" w:cs="Times New Roman"/>
                <w:color w:val="auto"/>
                <w:lang w:val="en-US" w:eastAsia="zh-CN"/>
              </w:rPr>
              <w:t>本项目建成后</w:t>
            </w:r>
            <w:r>
              <w:rPr>
                <w:rFonts w:hint="eastAsia" w:ascii="Times New Roman" w:hAnsi="Times New Roman" w:eastAsia="宋体" w:cs="Times New Roman"/>
                <w:color w:val="auto"/>
              </w:rPr>
              <w:t>拟采用的</w:t>
            </w:r>
            <w:r>
              <w:rPr>
                <w:rFonts w:hint="eastAsia" w:cs="Times New Roman"/>
                <w:color w:val="auto"/>
                <w:lang w:val="en-US" w:eastAsia="zh-CN"/>
              </w:rPr>
              <w:t>颗粒物</w:t>
            </w:r>
            <w:r>
              <w:rPr>
                <w:rFonts w:hint="eastAsia" w:ascii="Times New Roman" w:hAnsi="Times New Roman" w:eastAsia="宋体" w:cs="Times New Roman"/>
                <w:color w:val="auto"/>
              </w:rPr>
              <w:t>治理技术为“</w:t>
            </w:r>
            <w:r>
              <w:rPr>
                <w:rFonts w:hint="eastAsia" w:cs="Times New Roman"/>
                <w:color w:val="auto"/>
                <w:lang w:val="en-US" w:eastAsia="zh-CN"/>
              </w:rPr>
              <w:t>袋式除尘</w:t>
            </w:r>
            <w:r>
              <w:rPr>
                <w:rFonts w:hint="eastAsia" w:ascii="Times New Roman" w:hAnsi="Times New Roman" w:eastAsia="宋体" w:cs="Times New Roman"/>
                <w:color w:val="auto"/>
              </w:rPr>
              <w:t>”</w:t>
            </w:r>
            <w:r>
              <w:rPr>
                <w:rFonts w:hint="eastAsia" w:cs="Times New Roman"/>
                <w:color w:val="auto"/>
                <w:lang w:eastAsia="zh-CN"/>
              </w:rPr>
              <w:t>。</w:t>
            </w:r>
          </w:p>
          <w:p w14:paraId="5E285D20">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rPr>
              <w:t>综上分析，本项目</w:t>
            </w:r>
            <w:r>
              <w:rPr>
                <w:rFonts w:hint="default" w:ascii="Times New Roman" w:hAnsi="Times New Roman" w:cs="Times New Roman"/>
                <w:color w:val="auto"/>
              </w:rPr>
              <w:t>营运期采用的废气污染物治理技术为可行性技术</w:t>
            </w:r>
            <w:r>
              <w:rPr>
                <w:rFonts w:hint="default" w:ascii="Times New Roman" w:hAnsi="Times New Roman" w:cs="Times New Roman"/>
                <w:color w:val="auto"/>
                <w:szCs w:val="21"/>
              </w:rPr>
              <w:t>。</w:t>
            </w:r>
          </w:p>
          <w:p w14:paraId="594EBA1E">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4</w:t>
            </w:r>
            <w:r>
              <w:rPr>
                <w:rFonts w:hint="default" w:ascii="Times New Roman" w:hAnsi="Times New Roman" w:cs="Times New Roman"/>
                <w:b w:val="0"/>
                <w:bCs w:val="0"/>
                <w:color w:val="auto"/>
              </w:rPr>
              <w:t>、卫生防护距离</w:t>
            </w:r>
          </w:p>
          <w:p w14:paraId="381876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按照“工程分析”核算的有害气体无组织排放量，根据《大气有害物质无组织排放卫生防护距离推导技术导则》(GB/T39499-2020)的有关规定，当目标企业无组织排放存在多种有毒有害污染物时，基于单个污染物的等标排放量（Qc/Cm）计算结果，优先选择等标排放量最大的污染物 1～2 种为企业无组织排放的主要特征大气有害物质。当前两种污染物的等标排放量相差在 10%以内时，需要同时选择这两种特征大气有害物质分别计算卫生防护距离初值，建设项目无组织</w:t>
            </w:r>
            <w:r>
              <w:rPr>
                <w:rFonts w:hint="eastAsia" w:cs="Times New Roman"/>
                <w:color w:val="auto"/>
                <w:sz w:val="24"/>
                <w:lang w:eastAsia="zh-CN"/>
              </w:rPr>
              <w:t>污染物达标排放</w:t>
            </w:r>
            <w:r>
              <w:rPr>
                <w:rFonts w:hint="default" w:ascii="Times New Roman" w:hAnsi="Times New Roman" w:eastAsia="宋体" w:cs="Times New Roman"/>
                <w:color w:val="auto"/>
                <w:sz w:val="24"/>
              </w:rPr>
              <w:t>量详见</w:t>
            </w:r>
            <w:r>
              <w:rPr>
                <w:rFonts w:hint="eastAsia" w:ascii="Times New Roman" w:hAnsi="Times New Roman" w:eastAsia="宋体" w:cs="Times New Roman"/>
                <w:color w:val="auto"/>
                <w:sz w:val="24"/>
                <w:lang w:val="en-US" w:eastAsia="zh-CN"/>
              </w:rPr>
              <w:t>下表</w:t>
            </w:r>
            <w:r>
              <w:rPr>
                <w:rFonts w:hint="default" w:ascii="Times New Roman" w:hAnsi="Times New Roman" w:eastAsia="宋体" w:cs="Times New Roman"/>
                <w:color w:val="auto"/>
                <w:sz w:val="24"/>
              </w:rPr>
              <w:t>。</w:t>
            </w:r>
          </w:p>
          <w:p w14:paraId="2414BE59">
            <w:pPr>
              <w:spacing w:line="24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ascii="Times New Roman" w:hAnsi="Times New Roman" w:eastAsia="宋体" w:cs="Times New Roman"/>
                <w:b/>
                <w:color w:val="auto"/>
                <w:sz w:val="21"/>
                <w:szCs w:val="21"/>
                <w:lang w:val="en-US" w:eastAsia="zh-CN"/>
              </w:rPr>
              <w:t>-7</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建设项目无组织废气</w:t>
            </w:r>
            <w:r>
              <w:rPr>
                <w:rFonts w:hint="eastAsia" w:cs="Times New Roman"/>
                <w:b/>
                <w:color w:val="auto"/>
                <w:sz w:val="21"/>
                <w:szCs w:val="21"/>
                <w:lang w:eastAsia="zh-CN"/>
              </w:rPr>
              <w:t>达标</w:t>
            </w:r>
            <w:r>
              <w:rPr>
                <w:rFonts w:hint="default" w:ascii="Times New Roman" w:hAnsi="Times New Roman" w:eastAsia="宋体" w:cs="Times New Roman"/>
                <w:b/>
                <w:color w:val="auto"/>
                <w:sz w:val="21"/>
                <w:szCs w:val="21"/>
              </w:rPr>
              <w:t>排放量计算结果一览表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485"/>
              <w:gridCol w:w="1607"/>
              <w:gridCol w:w="1580"/>
              <w:gridCol w:w="1889"/>
            </w:tblGrid>
            <w:tr w14:paraId="41731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noWrap w:val="0"/>
                  <w:vAlign w:val="center"/>
                </w:tcPr>
                <w:p w14:paraId="16D9229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面源</w:t>
                  </w:r>
                </w:p>
              </w:tc>
              <w:tc>
                <w:tcPr>
                  <w:tcW w:w="934" w:type="pct"/>
                  <w:noWrap w:val="0"/>
                  <w:vAlign w:val="center"/>
                </w:tcPr>
                <w:p w14:paraId="60190CD0">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w:t>
                  </w:r>
                </w:p>
              </w:tc>
              <w:tc>
                <w:tcPr>
                  <w:tcW w:w="1011" w:type="pct"/>
                  <w:noWrap w:val="0"/>
                  <w:vAlign w:val="center"/>
                </w:tcPr>
                <w:p w14:paraId="2C5AA9D6">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源强Q</w:t>
                  </w:r>
                  <w:r>
                    <w:rPr>
                      <w:rFonts w:hint="default" w:ascii="Times New Roman" w:hAnsi="Times New Roman" w:eastAsia="宋体" w:cs="Times New Roman"/>
                      <w:b w:val="0"/>
                      <w:bCs/>
                      <w:color w:val="auto"/>
                      <w:sz w:val="21"/>
                      <w:szCs w:val="21"/>
                      <w:vertAlign w:val="subscript"/>
                    </w:rPr>
                    <w:t>c</w:t>
                  </w:r>
                  <w:r>
                    <w:rPr>
                      <w:rFonts w:hint="default" w:ascii="Times New Roman" w:hAnsi="Times New Roman" w:eastAsia="宋体" w:cs="Times New Roman"/>
                      <w:b w:val="0"/>
                      <w:bCs/>
                      <w:color w:val="auto"/>
                      <w:sz w:val="21"/>
                      <w:szCs w:val="21"/>
                    </w:rPr>
                    <w:t>（kg/h）</w:t>
                  </w:r>
                </w:p>
              </w:tc>
              <w:tc>
                <w:tcPr>
                  <w:tcW w:w="994" w:type="pct"/>
                  <w:noWrap w:val="0"/>
                  <w:vAlign w:val="center"/>
                </w:tcPr>
                <w:p w14:paraId="4358092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标准限值C</w:t>
                  </w:r>
                  <w:r>
                    <w:rPr>
                      <w:rFonts w:hint="default" w:ascii="Times New Roman" w:hAnsi="Times New Roman" w:eastAsia="宋体" w:cs="Times New Roman"/>
                      <w:b w:val="0"/>
                      <w:bCs/>
                      <w:color w:val="auto"/>
                      <w:sz w:val="21"/>
                      <w:szCs w:val="21"/>
                      <w:vertAlign w:val="subscript"/>
                    </w:rPr>
                    <w:t>m</w:t>
                  </w:r>
                  <w:r>
                    <w:rPr>
                      <w:rFonts w:hint="default" w:ascii="Times New Roman" w:hAnsi="Times New Roman" w:eastAsia="宋体" w:cs="Times New Roman"/>
                      <w:b w:val="0"/>
                      <w:bCs/>
                      <w:color w:val="auto"/>
                      <w:sz w:val="21"/>
                      <w:szCs w:val="21"/>
                    </w:rPr>
                    <w:t>（mg/Nm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w:t>
                  </w:r>
                </w:p>
              </w:tc>
              <w:tc>
                <w:tcPr>
                  <w:tcW w:w="1188" w:type="pct"/>
                  <w:noWrap w:val="0"/>
                  <w:vAlign w:val="center"/>
                </w:tcPr>
                <w:p w14:paraId="06CAF6F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Q</w:t>
                  </w:r>
                  <w:r>
                    <w:rPr>
                      <w:rFonts w:hint="default" w:ascii="Times New Roman" w:hAnsi="Times New Roman" w:eastAsia="宋体" w:cs="Times New Roman"/>
                      <w:b w:val="0"/>
                      <w:bCs/>
                      <w:color w:val="auto"/>
                      <w:sz w:val="21"/>
                      <w:szCs w:val="21"/>
                      <w:vertAlign w:val="subscript"/>
                    </w:rPr>
                    <w:t>c</w:t>
                  </w:r>
                  <w:r>
                    <w:rPr>
                      <w:rFonts w:hint="default" w:ascii="Times New Roman" w:hAnsi="Times New Roman" w:eastAsia="宋体" w:cs="Times New Roman"/>
                      <w:b w:val="0"/>
                      <w:bCs/>
                      <w:color w:val="auto"/>
                      <w:sz w:val="21"/>
                      <w:szCs w:val="21"/>
                    </w:rPr>
                    <w:t xml:space="preserve"> /C</w:t>
                  </w:r>
                  <w:r>
                    <w:rPr>
                      <w:rFonts w:hint="default" w:ascii="Times New Roman" w:hAnsi="Times New Roman" w:eastAsia="宋体" w:cs="Times New Roman"/>
                      <w:b w:val="0"/>
                      <w:bCs/>
                      <w:color w:val="auto"/>
                      <w:sz w:val="21"/>
                      <w:szCs w:val="21"/>
                      <w:vertAlign w:val="subscript"/>
                    </w:rPr>
                    <w:t>m</w:t>
                  </w:r>
                </w:p>
              </w:tc>
            </w:tr>
            <w:tr w14:paraId="35711C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71" w:type="pct"/>
                  <w:vMerge w:val="restart"/>
                  <w:noWrap w:val="0"/>
                  <w:vAlign w:val="center"/>
                </w:tcPr>
                <w:p w14:paraId="506C6FD2">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车间</w:t>
                  </w:r>
                </w:p>
              </w:tc>
              <w:tc>
                <w:tcPr>
                  <w:tcW w:w="934" w:type="pct"/>
                  <w:noWrap w:val="0"/>
                  <w:vAlign w:val="center"/>
                </w:tcPr>
                <w:p w14:paraId="3D9EF9C0">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color w:val="auto"/>
                      <w:kern w:val="0"/>
                      <w:sz w:val="21"/>
                      <w:szCs w:val="21"/>
                    </w:rPr>
                    <w:t>颗粒物</w:t>
                  </w:r>
                </w:p>
              </w:tc>
              <w:tc>
                <w:tcPr>
                  <w:tcW w:w="1608" w:type="dxa"/>
                  <w:noWrap w:val="0"/>
                  <w:vAlign w:val="center"/>
                </w:tcPr>
                <w:p w14:paraId="29FE40E6">
                  <w:pPr>
                    <w:widowControl/>
                    <w:spacing w:line="240" w:lineRule="auto"/>
                    <w:ind w:firstLine="0" w:firstLineChars="0"/>
                    <w:jc w:val="center"/>
                    <w:textAlignment w:val="center"/>
                    <w:rPr>
                      <w:rFonts w:hint="default" w:ascii="Times New Roman" w:hAnsi="Times New Roman" w:eastAsia="宋体" w:cs="Times New Roman"/>
                      <w:b w:val="0"/>
                      <w:color w:val="auto"/>
                      <w:kern w:val="0"/>
                      <w:sz w:val="21"/>
                      <w:szCs w:val="21"/>
                      <w:lang w:val="en-US" w:eastAsia="zh-CN" w:bidi="ar"/>
                    </w:rPr>
                  </w:pPr>
                  <w:r>
                    <w:rPr>
                      <w:rFonts w:hint="default" w:ascii="Times New Roman" w:hAnsi="Times New Roman" w:eastAsia="宋体" w:cs="Times New Roman"/>
                      <w:b w:val="0"/>
                      <w:color w:val="auto"/>
                      <w:kern w:val="0"/>
                      <w:sz w:val="21"/>
                      <w:szCs w:val="21"/>
                      <w:lang w:val="en-US" w:eastAsia="zh-CN" w:bidi="ar"/>
                    </w:rPr>
                    <w:t>0.0</w:t>
                  </w:r>
                  <w:r>
                    <w:rPr>
                      <w:rFonts w:hint="eastAsia" w:cs="Times New Roman"/>
                      <w:b w:val="0"/>
                      <w:color w:val="auto"/>
                      <w:kern w:val="0"/>
                      <w:sz w:val="21"/>
                      <w:szCs w:val="21"/>
                      <w:lang w:val="en-US" w:eastAsia="zh-CN" w:bidi="ar"/>
                    </w:rPr>
                    <w:t>75</w:t>
                  </w:r>
                </w:p>
              </w:tc>
              <w:tc>
                <w:tcPr>
                  <w:tcW w:w="994" w:type="pct"/>
                  <w:noWrap w:val="0"/>
                  <w:vAlign w:val="center"/>
                </w:tcPr>
                <w:p w14:paraId="04717C03">
                  <w:pPr>
                    <w:widowControl/>
                    <w:spacing w:line="240" w:lineRule="auto"/>
                    <w:ind w:firstLine="0" w:firstLineChars="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color w:val="auto"/>
                      <w:kern w:val="0"/>
                      <w:sz w:val="21"/>
                      <w:szCs w:val="21"/>
                      <w:lang w:bidi="ar"/>
                    </w:rPr>
                    <w:t>0.9</w:t>
                  </w:r>
                </w:p>
              </w:tc>
              <w:tc>
                <w:tcPr>
                  <w:tcW w:w="1188" w:type="pct"/>
                  <w:noWrap w:val="0"/>
                  <w:vAlign w:val="center"/>
                </w:tcPr>
                <w:p w14:paraId="7F673B2E">
                  <w:pPr>
                    <w:widowControl/>
                    <w:spacing w:line="240" w:lineRule="auto"/>
                    <w:ind w:firstLine="0" w:firstLineChars="0"/>
                    <w:jc w:val="center"/>
                    <w:textAlignment w:val="center"/>
                    <w:rPr>
                      <w:rFonts w:hint="default" w:ascii="Times New Roman" w:hAnsi="Times New Roman" w:eastAsia="宋体" w:cs="Times New Roman"/>
                      <w:b w:val="0"/>
                      <w:color w:val="auto"/>
                      <w:kern w:val="0"/>
                      <w:sz w:val="21"/>
                      <w:szCs w:val="21"/>
                      <w:lang w:val="en-US" w:eastAsia="zh-CN" w:bidi="ar"/>
                    </w:rPr>
                  </w:pPr>
                  <w:r>
                    <w:rPr>
                      <w:rFonts w:hint="eastAsia" w:ascii="Times New Roman" w:hAnsi="Times New Roman" w:eastAsia="宋体" w:cs="Times New Roman"/>
                      <w:b w:val="0"/>
                      <w:color w:val="auto"/>
                      <w:kern w:val="0"/>
                      <w:sz w:val="21"/>
                      <w:szCs w:val="21"/>
                      <w:lang w:val="en-US" w:eastAsia="zh-CN" w:bidi="ar"/>
                    </w:rPr>
                    <w:t>0.</w:t>
                  </w:r>
                  <w:r>
                    <w:rPr>
                      <w:rFonts w:hint="eastAsia" w:cs="Times New Roman"/>
                      <w:b w:val="0"/>
                      <w:color w:val="auto"/>
                      <w:kern w:val="0"/>
                      <w:sz w:val="21"/>
                      <w:szCs w:val="21"/>
                      <w:lang w:val="en-US" w:eastAsia="zh-CN" w:bidi="ar"/>
                    </w:rPr>
                    <w:t>083</w:t>
                  </w:r>
                </w:p>
              </w:tc>
            </w:tr>
            <w:tr w14:paraId="114CF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vMerge w:val="continue"/>
                  <w:noWrap w:val="0"/>
                  <w:vAlign w:val="center"/>
                </w:tcPr>
                <w:p w14:paraId="2FAB48C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934" w:type="pct"/>
                  <w:noWrap w:val="0"/>
                  <w:vAlign w:val="center"/>
                </w:tcPr>
                <w:p w14:paraId="73ECB0A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color w:val="auto"/>
                      <w:kern w:val="0"/>
                      <w:sz w:val="21"/>
                      <w:szCs w:val="21"/>
                    </w:rPr>
                    <w:t>非甲烷总烃</w:t>
                  </w:r>
                </w:p>
              </w:tc>
              <w:tc>
                <w:tcPr>
                  <w:tcW w:w="1608" w:type="dxa"/>
                  <w:noWrap w:val="0"/>
                  <w:vAlign w:val="center"/>
                </w:tcPr>
                <w:p w14:paraId="2660D3C8">
                  <w:pPr>
                    <w:widowControl/>
                    <w:spacing w:line="240" w:lineRule="auto"/>
                    <w:ind w:firstLine="0" w:firstLineChars="0"/>
                    <w:jc w:val="center"/>
                    <w:textAlignment w:val="center"/>
                    <w:rPr>
                      <w:rFonts w:hint="default" w:ascii="Times New Roman" w:hAnsi="Times New Roman" w:eastAsia="宋体" w:cs="Times New Roman"/>
                      <w:b w:val="0"/>
                      <w:color w:val="auto"/>
                      <w:kern w:val="0"/>
                      <w:sz w:val="21"/>
                      <w:szCs w:val="21"/>
                      <w:lang w:val="en-US" w:eastAsia="zh-CN" w:bidi="ar"/>
                    </w:rPr>
                  </w:pPr>
                  <w:r>
                    <w:rPr>
                      <w:rFonts w:hint="default" w:ascii="Times New Roman" w:hAnsi="Times New Roman" w:eastAsia="宋体" w:cs="Times New Roman"/>
                      <w:b w:val="0"/>
                      <w:color w:val="auto"/>
                      <w:kern w:val="0"/>
                      <w:sz w:val="21"/>
                      <w:szCs w:val="21"/>
                      <w:lang w:val="en-US" w:eastAsia="zh-CN" w:bidi="ar"/>
                    </w:rPr>
                    <w:t>0.</w:t>
                  </w:r>
                  <w:r>
                    <w:rPr>
                      <w:rFonts w:hint="eastAsia" w:cs="Times New Roman"/>
                      <w:b w:val="0"/>
                      <w:color w:val="auto"/>
                      <w:kern w:val="0"/>
                      <w:sz w:val="21"/>
                      <w:szCs w:val="21"/>
                      <w:lang w:val="en-US" w:eastAsia="zh-CN" w:bidi="ar"/>
                    </w:rPr>
                    <w:t>272</w:t>
                  </w:r>
                </w:p>
              </w:tc>
              <w:tc>
                <w:tcPr>
                  <w:tcW w:w="994" w:type="pct"/>
                  <w:noWrap w:val="0"/>
                  <w:vAlign w:val="center"/>
                </w:tcPr>
                <w:p w14:paraId="0B819DEB">
                  <w:pPr>
                    <w:widowControl/>
                    <w:spacing w:line="240" w:lineRule="auto"/>
                    <w:ind w:firstLine="0" w:firstLineChars="0"/>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color w:val="auto"/>
                      <w:kern w:val="0"/>
                      <w:sz w:val="21"/>
                      <w:szCs w:val="21"/>
                      <w:lang w:bidi="ar"/>
                    </w:rPr>
                    <w:t>2</w:t>
                  </w:r>
                </w:p>
              </w:tc>
              <w:tc>
                <w:tcPr>
                  <w:tcW w:w="1188" w:type="pct"/>
                  <w:noWrap w:val="0"/>
                  <w:vAlign w:val="center"/>
                </w:tcPr>
                <w:p w14:paraId="48DAC1DC">
                  <w:pPr>
                    <w:widowControl/>
                    <w:spacing w:line="240" w:lineRule="auto"/>
                    <w:ind w:firstLine="0" w:firstLineChars="0"/>
                    <w:jc w:val="center"/>
                    <w:textAlignment w:val="center"/>
                    <w:rPr>
                      <w:rFonts w:hint="default" w:ascii="Times New Roman" w:hAnsi="Times New Roman" w:eastAsia="宋体" w:cs="Times New Roman"/>
                      <w:b w:val="0"/>
                      <w:color w:val="auto"/>
                      <w:kern w:val="0"/>
                      <w:sz w:val="21"/>
                      <w:szCs w:val="21"/>
                      <w:lang w:val="en-US" w:eastAsia="zh-CN" w:bidi="ar"/>
                    </w:rPr>
                  </w:pPr>
                  <w:r>
                    <w:rPr>
                      <w:rFonts w:hint="eastAsia" w:ascii="Times New Roman" w:hAnsi="Times New Roman" w:eastAsia="宋体" w:cs="Times New Roman"/>
                      <w:b w:val="0"/>
                      <w:color w:val="auto"/>
                      <w:kern w:val="0"/>
                      <w:sz w:val="21"/>
                      <w:szCs w:val="21"/>
                      <w:lang w:val="en-US" w:eastAsia="zh-CN" w:bidi="ar"/>
                    </w:rPr>
                    <w:t>0.</w:t>
                  </w:r>
                  <w:r>
                    <w:rPr>
                      <w:rFonts w:hint="eastAsia" w:cs="Times New Roman"/>
                      <w:b w:val="0"/>
                      <w:color w:val="auto"/>
                      <w:kern w:val="0"/>
                      <w:sz w:val="21"/>
                      <w:szCs w:val="21"/>
                      <w:lang w:val="en-US" w:eastAsia="zh-CN" w:bidi="ar"/>
                    </w:rPr>
                    <w:t>136</w:t>
                  </w:r>
                </w:p>
              </w:tc>
            </w:tr>
          </w:tbl>
          <w:p w14:paraId="1DE4C6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由上表可知，建设项目车间面源等标排放量最大的大气污染物为颗粒物，颗粒物和非甲烷总烃两种污染物等标排放量相差超过10%，故本次评价车间选择</w:t>
            </w:r>
            <w:r>
              <w:rPr>
                <w:rFonts w:hint="eastAsia" w:ascii="Times New Roman" w:hAnsi="Times New Roman" w:cs="Times New Roman"/>
                <w:color w:val="auto"/>
                <w:sz w:val="24"/>
                <w:lang w:val="en-US" w:eastAsia="zh-CN"/>
              </w:rPr>
              <w:t>非甲烷总烃</w:t>
            </w:r>
            <w:r>
              <w:rPr>
                <w:rFonts w:hint="default" w:ascii="Times New Roman" w:hAnsi="Times New Roman" w:cs="Times New Roman"/>
                <w:color w:val="auto"/>
                <w:sz w:val="24"/>
                <w:lang w:val="en-US" w:eastAsia="zh-CN"/>
              </w:rPr>
              <w:t>为特征大气有害物质计算卫生防护距离。</w:t>
            </w:r>
          </w:p>
          <w:p w14:paraId="5AD96C36">
            <w:pPr>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根据《大气有害物质无组织排放卫生防护距离推导技术导则GB/T39499-2020》推荐的计算公式，计算本项目无组织排放的</w:t>
            </w:r>
            <w:r>
              <w:rPr>
                <w:rFonts w:hint="default" w:ascii="Times New Roman" w:hAnsi="Times New Roman" w:cs="Times New Roman"/>
                <w:color w:val="auto"/>
                <w:sz w:val="24"/>
                <w:lang w:val="en-GB"/>
              </w:rPr>
              <w:t>各污染源</w:t>
            </w:r>
            <w:r>
              <w:rPr>
                <w:rFonts w:hint="default" w:ascii="Times New Roman" w:hAnsi="Times New Roman" w:cs="Times New Roman"/>
                <w:color w:val="auto"/>
                <w:sz w:val="24"/>
              </w:rPr>
              <w:t>卫生防护距离。</w:t>
            </w:r>
          </w:p>
          <w:p w14:paraId="52175832">
            <w:pPr>
              <w:pStyle w:val="19"/>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pict>
                <v:shape id="Object 545" o:spid="_x0000_s2594" o:spt="75" type="#_x0000_t75" style="position:absolute;left:0pt;margin-left:123.25pt;margin-top:-14.5pt;height:34.5pt;width:150.75pt;mso-wrap-distance-bottom:0pt;mso-wrap-distance-left:9pt;mso-wrap-distance-right:9pt;mso-wrap-distance-top:0pt;z-index:251659264;mso-width-relative:page;mso-height-relative:page;" o:ole="t" filled="f" o:preferrelative="t" stroked="f" coordsize="21600,21600">
                  <v:path/>
                  <v:fill on="f" focussize="0,0"/>
                  <v:stroke on="f"/>
                  <v:imagedata r:id="rId12" o:title=""/>
                  <o:lock v:ext="edit" aspectratio="t"/>
                  <w10:wrap type="square"/>
                </v:shape>
                <o:OLEObject Type="Embed" ProgID="Equation.3" ShapeID="Object 545" DrawAspect="Content" ObjectID="_1468075727" r:id="rId11">
                  <o:LockedField>false</o:LockedField>
                </o:OLEObject>
              </w:pict>
            </w:r>
          </w:p>
          <w:p w14:paraId="608EECD4">
            <w:pPr>
              <w:keepNext w:val="0"/>
              <w:keepLines w:val="0"/>
              <w:pageBreakBefore w:val="0"/>
              <w:widowControl w:val="0"/>
              <w:kinsoku/>
              <w:wordWrap/>
              <w:overflowPunct/>
              <w:topLinePunct w:val="0"/>
              <w:bidi w:val="0"/>
              <w:snapToGrid/>
              <w:spacing w:line="360" w:lineRule="auto"/>
              <w:ind w:left="1199" w:leftChars="228" w:hanging="720" w:hangingChars="3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式中：C</w:t>
            </w:r>
            <w:r>
              <w:rPr>
                <w:rFonts w:hint="default" w:ascii="Times New Roman" w:hAnsi="Times New Roman" w:cs="Times New Roman"/>
                <w:color w:val="auto"/>
                <w:sz w:val="24"/>
                <w:vertAlign w:val="subscript"/>
              </w:rPr>
              <w:t>m</w:t>
            </w:r>
            <w:r>
              <w:rPr>
                <w:rFonts w:hint="default" w:ascii="Times New Roman" w:hAnsi="Times New Roman" w:cs="Times New Roman"/>
                <w:color w:val="auto"/>
                <w:sz w:val="24"/>
              </w:rPr>
              <w:t>——标准浓度限值，mg/m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default" w:ascii="Times New Roman" w:hAnsi="Times New Roman" w:cs="Times New Roman"/>
                <w:color w:val="auto"/>
                <w:sz w:val="24"/>
              </w:rPr>
              <w:cr/>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C</w:t>
            </w:r>
            <w:r>
              <w:rPr>
                <w:rFonts w:hint="default" w:ascii="Times New Roman" w:hAnsi="Times New Roman" w:cs="Times New Roman"/>
                <w:color w:val="auto"/>
                <w:sz w:val="24"/>
              </w:rPr>
              <w:t>——工业企业有害气体排放量可以达到的控制水平，kg/h；</w:t>
            </w:r>
            <w:r>
              <w:rPr>
                <w:rFonts w:hint="default" w:ascii="Times New Roman" w:hAnsi="Times New Roman" w:cs="Times New Roman"/>
                <w:color w:val="auto"/>
                <w:sz w:val="24"/>
              </w:rPr>
              <w:cr/>
            </w:r>
            <w:r>
              <w:rPr>
                <w:rFonts w:hint="default" w:ascii="Times New Roman" w:hAnsi="Times New Roman" w:cs="Times New Roman"/>
                <w:color w:val="auto"/>
                <w:sz w:val="24"/>
              </w:rPr>
              <w:t>L——工业企业所需卫生防护距离，m；</w:t>
            </w:r>
            <w:r>
              <w:rPr>
                <w:rFonts w:hint="default" w:ascii="Times New Roman" w:hAnsi="Times New Roman" w:cs="Times New Roman"/>
                <w:color w:val="auto"/>
                <w:sz w:val="24"/>
              </w:rPr>
              <w:cr/>
            </w:r>
            <w:r>
              <w:rPr>
                <w:rFonts w:hint="default" w:ascii="Times New Roman" w:hAnsi="Times New Roman" w:cs="Times New Roman"/>
                <w:color w:val="auto"/>
                <w:sz w:val="24"/>
              </w:rPr>
              <w:t>γ——有害气体排放源所在生产单元的等效半径，m。根据该生产单元占地面积S（m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）计算，r=（S/π）</w:t>
            </w:r>
            <w:r>
              <w:rPr>
                <w:rFonts w:hint="default" w:ascii="Times New Roman" w:hAnsi="Times New Roman" w:cs="Times New Roman"/>
                <w:color w:val="auto"/>
                <w:sz w:val="24"/>
                <w:vertAlign w:val="superscript"/>
              </w:rPr>
              <w:t>0.5</w:t>
            </w:r>
            <w:r>
              <w:rPr>
                <w:rFonts w:hint="default" w:ascii="Times New Roman" w:hAnsi="Times New Roman" w:cs="Times New Roman"/>
                <w:color w:val="auto"/>
                <w:sz w:val="24"/>
              </w:rPr>
              <w:t>；</w:t>
            </w:r>
          </w:p>
          <w:p w14:paraId="454E841B">
            <w:pPr>
              <w:keepNext w:val="0"/>
              <w:keepLines w:val="0"/>
              <w:pageBreakBefore w:val="0"/>
              <w:widowControl w:val="0"/>
              <w:numPr>
                <w:ilvl w:val="0"/>
                <w:numId w:val="7"/>
              </w:numPr>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B</w:t>
            </w:r>
            <w:r>
              <w:rPr>
                <w:rFonts w:hint="eastAsia" w:cs="Times New Roman"/>
                <w:color w:val="auto"/>
                <w:sz w:val="24"/>
                <w:lang w:eastAsia="zh-CN"/>
              </w:rPr>
              <w:t>.</w:t>
            </w:r>
            <w:r>
              <w:rPr>
                <w:rFonts w:hint="default" w:ascii="Times New Roman" w:hAnsi="Times New Roman" w:cs="Times New Roman"/>
                <w:color w:val="auto"/>
                <w:sz w:val="24"/>
              </w:rPr>
              <w:t>C、D——计算系数，根据建设项目所在地区近五年平均风速及工业企业大气污染源构成类别从</w:t>
            </w:r>
            <w:r>
              <w:rPr>
                <w:rFonts w:hint="default" w:ascii="Times New Roman" w:hAnsi="Times New Roman" w:cs="Times New Roman"/>
                <w:color w:val="auto"/>
                <w:sz w:val="24"/>
                <w:lang w:val="en-US" w:eastAsia="zh-CN"/>
              </w:rPr>
              <w:t>下表</w:t>
            </w:r>
            <w:r>
              <w:rPr>
                <w:rFonts w:hint="default" w:ascii="Times New Roman" w:hAnsi="Times New Roman" w:cs="Times New Roman"/>
                <w:color w:val="auto"/>
                <w:sz w:val="24"/>
              </w:rPr>
              <w:t>中选取。</w:t>
            </w:r>
          </w:p>
          <w:p w14:paraId="4B1DFF5C">
            <w:pPr>
              <w:pStyle w:val="19"/>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eastAsia"/>
                <w:b/>
                <w:color w:val="auto"/>
                <w:sz w:val="21"/>
                <w:szCs w:val="21"/>
              </w:rPr>
            </w:pPr>
            <w:r>
              <w:rPr>
                <w:rFonts w:hint="default" w:ascii="Times New Roman" w:hAnsi="Times New Roman" w:cs="Times New Roman"/>
                <w:b w:val="0"/>
                <w:bCs/>
                <w:color w:val="auto"/>
              </w:rPr>
              <w:t>建设项目有与无组织排放源共存的排放同</w:t>
            </w:r>
            <w:r>
              <w:rPr>
                <w:rFonts w:hint="eastAsia" w:ascii="Times New Roman" w:hAnsi="Times New Roman"/>
                <w:b w:val="0"/>
                <w:bCs/>
                <w:color w:val="auto"/>
              </w:rPr>
              <w:t>种有害物质的排气筒，且其排放量小于江苏省地方标准《大气</w:t>
            </w:r>
            <w:r>
              <w:rPr>
                <w:rFonts w:hint="default" w:ascii="Times New Roman" w:hAnsi="Times New Roman" w:cs="Times New Roman"/>
                <w:b w:val="0"/>
                <w:bCs/>
                <w:color w:val="auto"/>
              </w:rPr>
              <w:t>污染物综合排放标准》（DB32/4041-2021）表3中标准规定的允许排放量的1/3，故建设项目按Ⅱ类进行取值；同时项目所在地近5年平均风速为2.7m/s，建设项目卫生防护距离计算系数</w:t>
            </w:r>
            <w:r>
              <w:rPr>
                <w:rFonts w:hint="eastAsia" w:ascii="Times New Roman" w:hAnsi="Times New Roman"/>
                <w:b w:val="0"/>
                <w:bCs/>
                <w:color w:val="auto"/>
              </w:rPr>
              <w:t>取值见下表。</w:t>
            </w:r>
          </w:p>
          <w:p w14:paraId="6BEAD1BD">
            <w:pPr>
              <w:spacing w:line="240" w:lineRule="auto"/>
              <w:jc w:val="center"/>
              <w:rPr>
                <w:b/>
                <w:color w:val="auto"/>
                <w:sz w:val="21"/>
                <w:szCs w:val="21"/>
              </w:rPr>
            </w:pPr>
            <w:r>
              <w:rPr>
                <w:rFonts w:hint="eastAsia"/>
                <w:b/>
                <w:color w:val="auto"/>
                <w:sz w:val="21"/>
                <w:szCs w:val="21"/>
              </w:rPr>
              <w:t>表4-</w:t>
            </w:r>
            <w:r>
              <w:rPr>
                <w:rFonts w:hint="eastAsia"/>
                <w:b/>
                <w:color w:val="auto"/>
                <w:sz w:val="21"/>
                <w:szCs w:val="21"/>
                <w:lang w:val="en-US" w:eastAsia="zh-CN"/>
              </w:rPr>
              <w:t xml:space="preserve">8 </w:t>
            </w:r>
            <w:r>
              <w:rPr>
                <w:rFonts w:hint="eastAsia"/>
                <w:b/>
                <w:color w:val="auto"/>
                <w:sz w:val="21"/>
                <w:szCs w:val="21"/>
              </w:rPr>
              <w:t>卫生防护距离计算系数</w:t>
            </w:r>
          </w:p>
          <w:tbl>
            <w:tblPr>
              <w:tblStyle w:val="23"/>
              <w:tblW w:w="77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85"/>
              <w:gridCol w:w="690"/>
              <w:gridCol w:w="675"/>
              <w:gridCol w:w="675"/>
              <w:gridCol w:w="705"/>
              <w:gridCol w:w="645"/>
              <w:gridCol w:w="660"/>
              <w:gridCol w:w="660"/>
              <w:gridCol w:w="630"/>
              <w:gridCol w:w="604"/>
            </w:tblGrid>
            <w:tr w14:paraId="078495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42BC7BD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卫生防护距离初值计算系数</w:t>
                  </w:r>
                </w:p>
              </w:tc>
              <w:tc>
                <w:tcPr>
                  <w:tcW w:w="885" w:type="dxa"/>
                  <w:vMerge w:val="restart"/>
                  <w:noWrap w:val="0"/>
                  <w:vAlign w:val="center"/>
                </w:tcPr>
                <w:p w14:paraId="45C03AD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工业企业所在地区近5年平均风速</w:t>
                  </w:r>
                </w:p>
              </w:tc>
              <w:tc>
                <w:tcPr>
                  <w:tcW w:w="5944" w:type="dxa"/>
                  <w:gridSpan w:val="9"/>
                  <w:noWrap w:val="0"/>
                  <w:vAlign w:val="center"/>
                </w:tcPr>
                <w:p w14:paraId="517B6B4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卫生防护距离L/m</w:t>
                  </w:r>
                </w:p>
              </w:tc>
            </w:tr>
            <w:tr w14:paraId="739FDB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5799C2A4">
                  <w:pPr>
                    <w:spacing w:line="280" w:lineRule="exact"/>
                    <w:jc w:val="center"/>
                    <w:rPr>
                      <w:rFonts w:hint="default" w:ascii="Times New Roman" w:hAnsi="Times New Roman" w:cs="Times New Roman"/>
                      <w:color w:val="auto"/>
                    </w:rPr>
                  </w:pPr>
                </w:p>
              </w:tc>
              <w:tc>
                <w:tcPr>
                  <w:tcW w:w="885" w:type="dxa"/>
                  <w:vMerge w:val="continue"/>
                  <w:noWrap w:val="0"/>
                  <w:vAlign w:val="center"/>
                </w:tcPr>
                <w:p w14:paraId="2BDB446A">
                  <w:pPr>
                    <w:spacing w:line="280" w:lineRule="exact"/>
                    <w:jc w:val="center"/>
                    <w:rPr>
                      <w:rFonts w:hint="default" w:ascii="Times New Roman" w:hAnsi="Times New Roman" w:cs="Times New Roman"/>
                      <w:color w:val="auto"/>
                    </w:rPr>
                  </w:pPr>
                </w:p>
              </w:tc>
              <w:tc>
                <w:tcPr>
                  <w:tcW w:w="2040" w:type="dxa"/>
                  <w:gridSpan w:val="3"/>
                  <w:noWrap w:val="0"/>
                  <w:vAlign w:val="center"/>
                </w:tcPr>
                <w:p w14:paraId="3F45F71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L≤1000</w:t>
                  </w:r>
                </w:p>
              </w:tc>
              <w:tc>
                <w:tcPr>
                  <w:tcW w:w="2010" w:type="dxa"/>
                  <w:gridSpan w:val="3"/>
                  <w:noWrap w:val="0"/>
                  <w:vAlign w:val="center"/>
                </w:tcPr>
                <w:p w14:paraId="0D579CF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1000＜L≤2000</w:t>
                  </w:r>
                </w:p>
              </w:tc>
              <w:tc>
                <w:tcPr>
                  <w:tcW w:w="1894" w:type="dxa"/>
                  <w:gridSpan w:val="3"/>
                  <w:noWrap w:val="0"/>
                  <w:vAlign w:val="center"/>
                </w:tcPr>
                <w:p w14:paraId="5F427E6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L＞2000</w:t>
                  </w:r>
                </w:p>
              </w:tc>
            </w:tr>
            <w:tr w14:paraId="5B9014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3BE6E712">
                  <w:pPr>
                    <w:spacing w:line="280" w:lineRule="exact"/>
                    <w:jc w:val="center"/>
                    <w:rPr>
                      <w:rFonts w:hint="default" w:ascii="Times New Roman" w:hAnsi="Times New Roman" w:cs="Times New Roman"/>
                      <w:color w:val="auto"/>
                    </w:rPr>
                  </w:pPr>
                </w:p>
              </w:tc>
              <w:tc>
                <w:tcPr>
                  <w:tcW w:w="885" w:type="dxa"/>
                  <w:vMerge w:val="continue"/>
                  <w:noWrap w:val="0"/>
                  <w:vAlign w:val="center"/>
                </w:tcPr>
                <w:p w14:paraId="3CBEB065">
                  <w:pPr>
                    <w:spacing w:line="280" w:lineRule="exact"/>
                    <w:jc w:val="center"/>
                    <w:rPr>
                      <w:rFonts w:hint="default" w:ascii="Times New Roman" w:hAnsi="Times New Roman" w:cs="Times New Roman"/>
                      <w:color w:val="auto"/>
                    </w:rPr>
                  </w:pPr>
                </w:p>
              </w:tc>
              <w:tc>
                <w:tcPr>
                  <w:tcW w:w="5944" w:type="dxa"/>
                  <w:gridSpan w:val="9"/>
                  <w:noWrap w:val="0"/>
                  <w:vAlign w:val="center"/>
                </w:tcPr>
                <w:p w14:paraId="4B92442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工业企业大气污染源构成类别</w:t>
                  </w:r>
                </w:p>
              </w:tc>
            </w:tr>
            <w:tr w14:paraId="545675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52D4DFCE">
                  <w:pPr>
                    <w:spacing w:line="280" w:lineRule="exact"/>
                    <w:jc w:val="center"/>
                    <w:rPr>
                      <w:rFonts w:hint="default" w:ascii="Times New Roman" w:hAnsi="Times New Roman" w:cs="Times New Roman"/>
                      <w:color w:val="auto"/>
                    </w:rPr>
                  </w:pPr>
                </w:p>
              </w:tc>
              <w:tc>
                <w:tcPr>
                  <w:tcW w:w="885" w:type="dxa"/>
                  <w:vMerge w:val="continue"/>
                  <w:noWrap w:val="0"/>
                  <w:vAlign w:val="center"/>
                </w:tcPr>
                <w:p w14:paraId="123FAE35">
                  <w:pPr>
                    <w:spacing w:line="280" w:lineRule="exact"/>
                    <w:jc w:val="center"/>
                    <w:rPr>
                      <w:rFonts w:hint="default" w:ascii="Times New Roman" w:hAnsi="Times New Roman" w:cs="Times New Roman"/>
                      <w:color w:val="auto"/>
                    </w:rPr>
                  </w:pPr>
                </w:p>
              </w:tc>
              <w:tc>
                <w:tcPr>
                  <w:tcW w:w="690" w:type="dxa"/>
                  <w:noWrap w:val="0"/>
                  <w:vAlign w:val="center"/>
                </w:tcPr>
                <w:p w14:paraId="74EC30A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75" w:type="dxa"/>
                  <w:noWrap w:val="0"/>
                  <w:vAlign w:val="center"/>
                </w:tcPr>
                <w:p w14:paraId="6FB4CBC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75" w:type="dxa"/>
                  <w:noWrap w:val="0"/>
                  <w:vAlign w:val="center"/>
                </w:tcPr>
                <w:p w14:paraId="20DE48D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705" w:type="dxa"/>
                  <w:noWrap w:val="0"/>
                  <w:vAlign w:val="center"/>
                </w:tcPr>
                <w:p w14:paraId="5D2245E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45" w:type="dxa"/>
                  <w:noWrap w:val="0"/>
                  <w:vAlign w:val="center"/>
                </w:tcPr>
                <w:p w14:paraId="47A1E46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60" w:type="dxa"/>
                  <w:noWrap w:val="0"/>
                  <w:vAlign w:val="center"/>
                </w:tcPr>
                <w:p w14:paraId="6ECC0FB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660" w:type="dxa"/>
                  <w:noWrap w:val="0"/>
                  <w:vAlign w:val="center"/>
                </w:tcPr>
                <w:p w14:paraId="088DE21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30" w:type="dxa"/>
                  <w:noWrap w:val="0"/>
                  <w:vAlign w:val="center"/>
                </w:tcPr>
                <w:p w14:paraId="64BC237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04" w:type="dxa"/>
                  <w:noWrap w:val="0"/>
                  <w:vAlign w:val="center"/>
                </w:tcPr>
                <w:p w14:paraId="3178B71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r>
            <w:tr w14:paraId="2209D5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CDF177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A</w:t>
                  </w:r>
                </w:p>
              </w:tc>
              <w:tc>
                <w:tcPr>
                  <w:tcW w:w="885" w:type="dxa"/>
                  <w:noWrap w:val="0"/>
                  <w:vAlign w:val="center"/>
                </w:tcPr>
                <w:p w14:paraId="38FEF6B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690" w:type="dxa"/>
                  <w:noWrap w:val="0"/>
                  <w:vAlign w:val="center"/>
                </w:tcPr>
                <w:p w14:paraId="55821CA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75" w:type="dxa"/>
                  <w:noWrap w:val="0"/>
                  <w:vAlign w:val="center"/>
                </w:tcPr>
                <w:p w14:paraId="36D31EE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75" w:type="dxa"/>
                  <w:noWrap w:val="0"/>
                  <w:vAlign w:val="center"/>
                </w:tcPr>
                <w:p w14:paraId="41984D9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705" w:type="dxa"/>
                  <w:noWrap w:val="0"/>
                  <w:vAlign w:val="center"/>
                </w:tcPr>
                <w:p w14:paraId="589EEAA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45" w:type="dxa"/>
                  <w:noWrap w:val="0"/>
                  <w:vAlign w:val="center"/>
                </w:tcPr>
                <w:p w14:paraId="718DB3F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60" w:type="dxa"/>
                  <w:noWrap w:val="0"/>
                  <w:vAlign w:val="center"/>
                </w:tcPr>
                <w:p w14:paraId="74D8B77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60" w:type="dxa"/>
                  <w:noWrap w:val="0"/>
                  <w:vAlign w:val="center"/>
                </w:tcPr>
                <w:p w14:paraId="17B14D7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c>
                <w:tcPr>
                  <w:tcW w:w="630" w:type="dxa"/>
                  <w:noWrap w:val="0"/>
                  <w:vAlign w:val="center"/>
                </w:tcPr>
                <w:p w14:paraId="6459A76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c>
                <w:tcPr>
                  <w:tcW w:w="604" w:type="dxa"/>
                  <w:noWrap w:val="0"/>
                  <w:vAlign w:val="center"/>
                </w:tcPr>
                <w:p w14:paraId="7285F45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r>
            <w:tr w14:paraId="6AAA63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05C9A49B">
                  <w:pPr>
                    <w:spacing w:line="280" w:lineRule="exact"/>
                    <w:jc w:val="center"/>
                    <w:rPr>
                      <w:rFonts w:hint="default" w:ascii="Times New Roman" w:hAnsi="Times New Roman" w:cs="Times New Roman"/>
                      <w:color w:val="auto"/>
                    </w:rPr>
                  </w:pPr>
                </w:p>
              </w:tc>
              <w:tc>
                <w:tcPr>
                  <w:tcW w:w="885" w:type="dxa"/>
                  <w:noWrap w:val="0"/>
                  <w:vAlign w:val="center"/>
                </w:tcPr>
                <w:p w14:paraId="2D5C0B1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2-4</w:t>
                  </w:r>
                </w:p>
              </w:tc>
              <w:tc>
                <w:tcPr>
                  <w:tcW w:w="690" w:type="dxa"/>
                  <w:noWrap w:val="0"/>
                  <w:vAlign w:val="center"/>
                </w:tcPr>
                <w:p w14:paraId="5690889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700</w:t>
                  </w:r>
                </w:p>
              </w:tc>
              <w:tc>
                <w:tcPr>
                  <w:tcW w:w="675" w:type="dxa"/>
                  <w:noWrap w:val="0"/>
                  <w:vAlign w:val="center"/>
                </w:tcPr>
                <w:p w14:paraId="1A08109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470*</w:t>
                  </w:r>
                </w:p>
              </w:tc>
              <w:tc>
                <w:tcPr>
                  <w:tcW w:w="675" w:type="dxa"/>
                  <w:noWrap w:val="0"/>
                  <w:vAlign w:val="center"/>
                </w:tcPr>
                <w:p w14:paraId="54637E7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705" w:type="dxa"/>
                  <w:noWrap w:val="0"/>
                  <w:vAlign w:val="center"/>
                </w:tcPr>
                <w:p w14:paraId="650A2FC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700</w:t>
                  </w:r>
                </w:p>
              </w:tc>
              <w:tc>
                <w:tcPr>
                  <w:tcW w:w="645" w:type="dxa"/>
                  <w:noWrap w:val="0"/>
                  <w:vAlign w:val="center"/>
                </w:tcPr>
                <w:p w14:paraId="26D3871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470</w:t>
                  </w:r>
                </w:p>
              </w:tc>
              <w:tc>
                <w:tcPr>
                  <w:tcW w:w="660" w:type="dxa"/>
                  <w:noWrap w:val="0"/>
                  <w:vAlign w:val="center"/>
                </w:tcPr>
                <w:p w14:paraId="7DF2BA1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60" w:type="dxa"/>
                  <w:noWrap w:val="0"/>
                  <w:vAlign w:val="center"/>
                </w:tcPr>
                <w:p w14:paraId="106ED19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380</w:t>
                  </w:r>
                </w:p>
              </w:tc>
              <w:tc>
                <w:tcPr>
                  <w:tcW w:w="630" w:type="dxa"/>
                  <w:noWrap w:val="0"/>
                  <w:vAlign w:val="center"/>
                </w:tcPr>
                <w:p w14:paraId="6F703D5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250</w:t>
                  </w:r>
                </w:p>
              </w:tc>
              <w:tc>
                <w:tcPr>
                  <w:tcW w:w="604" w:type="dxa"/>
                  <w:noWrap w:val="0"/>
                  <w:vAlign w:val="center"/>
                </w:tcPr>
                <w:p w14:paraId="11F3563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190</w:t>
                  </w:r>
                </w:p>
              </w:tc>
            </w:tr>
            <w:tr w14:paraId="456C2F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5787868F">
                  <w:pPr>
                    <w:spacing w:line="280" w:lineRule="exact"/>
                    <w:jc w:val="center"/>
                    <w:rPr>
                      <w:rFonts w:hint="default" w:ascii="Times New Roman" w:hAnsi="Times New Roman" w:cs="Times New Roman"/>
                      <w:color w:val="auto"/>
                    </w:rPr>
                  </w:pPr>
                </w:p>
              </w:tc>
              <w:tc>
                <w:tcPr>
                  <w:tcW w:w="885" w:type="dxa"/>
                  <w:noWrap w:val="0"/>
                  <w:vAlign w:val="center"/>
                </w:tcPr>
                <w:p w14:paraId="5AA1B626">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w:t>
                  </w:r>
                </w:p>
              </w:tc>
              <w:tc>
                <w:tcPr>
                  <w:tcW w:w="690" w:type="dxa"/>
                  <w:noWrap w:val="0"/>
                  <w:vAlign w:val="center"/>
                </w:tcPr>
                <w:p w14:paraId="1DF532E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530</w:t>
                  </w:r>
                </w:p>
              </w:tc>
              <w:tc>
                <w:tcPr>
                  <w:tcW w:w="675" w:type="dxa"/>
                  <w:noWrap w:val="0"/>
                  <w:vAlign w:val="center"/>
                </w:tcPr>
                <w:p w14:paraId="74ACFF5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75" w:type="dxa"/>
                  <w:noWrap w:val="0"/>
                  <w:vAlign w:val="center"/>
                </w:tcPr>
                <w:p w14:paraId="54E18D1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260</w:t>
                  </w:r>
                </w:p>
              </w:tc>
              <w:tc>
                <w:tcPr>
                  <w:tcW w:w="705" w:type="dxa"/>
                  <w:noWrap w:val="0"/>
                  <w:vAlign w:val="center"/>
                </w:tcPr>
                <w:p w14:paraId="4BE5AF3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530</w:t>
                  </w:r>
                </w:p>
              </w:tc>
              <w:tc>
                <w:tcPr>
                  <w:tcW w:w="645" w:type="dxa"/>
                  <w:noWrap w:val="0"/>
                  <w:vAlign w:val="center"/>
                </w:tcPr>
                <w:p w14:paraId="53F67E2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60" w:type="dxa"/>
                  <w:noWrap w:val="0"/>
                  <w:vAlign w:val="center"/>
                </w:tcPr>
                <w:p w14:paraId="10D4BD2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260</w:t>
                  </w:r>
                </w:p>
              </w:tc>
              <w:tc>
                <w:tcPr>
                  <w:tcW w:w="660" w:type="dxa"/>
                  <w:noWrap w:val="0"/>
                  <w:vAlign w:val="center"/>
                </w:tcPr>
                <w:p w14:paraId="56C5AAB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290</w:t>
                  </w:r>
                </w:p>
              </w:tc>
              <w:tc>
                <w:tcPr>
                  <w:tcW w:w="630" w:type="dxa"/>
                  <w:noWrap w:val="0"/>
                  <w:vAlign w:val="center"/>
                </w:tcPr>
                <w:p w14:paraId="31182BD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190</w:t>
                  </w:r>
                </w:p>
              </w:tc>
              <w:tc>
                <w:tcPr>
                  <w:tcW w:w="604" w:type="dxa"/>
                  <w:noWrap w:val="0"/>
                  <w:vAlign w:val="center"/>
                </w:tcPr>
                <w:p w14:paraId="78AD9B5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110</w:t>
                  </w:r>
                </w:p>
              </w:tc>
            </w:tr>
            <w:tr w14:paraId="7F3FAE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077BB18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B</w:t>
                  </w:r>
                </w:p>
              </w:tc>
              <w:tc>
                <w:tcPr>
                  <w:tcW w:w="885" w:type="dxa"/>
                  <w:noWrap w:val="0"/>
                  <w:vAlign w:val="center"/>
                </w:tcPr>
                <w:p w14:paraId="48B2C30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2040" w:type="dxa"/>
                  <w:gridSpan w:val="3"/>
                  <w:noWrap w:val="0"/>
                  <w:vAlign w:val="center"/>
                </w:tcPr>
                <w:p w14:paraId="2364A67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w:t>
                  </w:r>
                </w:p>
              </w:tc>
              <w:tc>
                <w:tcPr>
                  <w:tcW w:w="2010" w:type="dxa"/>
                  <w:gridSpan w:val="3"/>
                  <w:noWrap w:val="0"/>
                  <w:vAlign w:val="center"/>
                </w:tcPr>
                <w:p w14:paraId="12ED5B0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0.015</w:t>
                  </w:r>
                </w:p>
              </w:tc>
              <w:tc>
                <w:tcPr>
                  <w:tcW w:w="1894" w:type="dxa"/>
                  <w:gridSpan w:val="3"/>
                  <w:noWrap w:val="0"/>
                  <w:vAlign w:val="center"/>
                </w:tcPr>
                <w:p w14:paraId="72199A4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0.015</w:t>
                  </w:r>
                </w:p>
              </w:tc>
            </w:tr>
            <w:tr w14:paraId="12169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F41B88D">
                  <w:pPr>
                    <w:spacing w:line="280" w:lineRule="exact"/>
                    <w:jc w:val="center"/>
                    <w:rPr>
                      <w:rFonts w:hint="default" w:ascii="Times New Roman" w:hAnsi="Times New Roman" w:cs="Times New Roman"/>
                      <w:color w:val="auto"/>
                    </w:rPr>
                  </w:pPr>
                </w:p>
              </w:tc>
              <w:tc>
                <w:tcPr>
                  <w:tcW w:w="885" w:type="dxa"/>
                  <w:noWrap w:val="0"/>
                  <w:vAlign w:val="center"/>
                </w:tcPr>
                <w:p w14:paraId="1DD6BE5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2040" w:type="dxa"/>
                  <w:gridSpan w:val="3"/>
                  <w:noWrap w:val="0"/>
                  <w:vAlign w:val="center"/>
                </w:tcPr>
                <w:p w14:paraId="786AA58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0.021*</w:t>
                  </w:r>
                </w:p>
              </w:tc>
              <w:tc>
                <w:tcPr>
                  <w:tcW w:w="2010" w:type="dxa"/>
                  <w:gridSpan w:val="3"/>
                  <w:noWrap w:val="0"/>
                  <w:vAlign w:val="center"/>
                </w:tcPr>
                <w:p w14:paraId="674FABE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0.036</w:t>
                  </w:r>
                </w:p>
              </w:tc>
              <w:tc>
                <w:tcPr>
                  <w:tcW w:w="1894" w:type="dxa"/>
                  <w:gridSpan w:val="3"/>
                  <w:noWrap w:val="0"/>
                  <w:vAlign w:val="center"/>
                </w:tcPr>
                <w:p w14:paraId="23FF685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0.036</w:t>
                  </w:r>
                </w:p>
              </w:tc>
            </w:tr>
            <w:tr w14:paraId="58F5A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0579F7F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C</w:t>
                  </w:r>
                </w:p>
              </w:tc>
              <w:tc>
                <w:tcPr>
                  <w:tcW w:w="885" w:type="dxa"/>
                  <w:noWrap w:val="0"/>
                  <w:vAlign w:val="center"/>
                </w:tcPr>
                <w:p w14:paraId="33ADFCB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2040" w:type="dxa"/>
                  <w:gridSpan w:val="3"/>
                  <w:noWrap w:val="0"/>
                  <w:vAlign w:val="center"/>
                </w:tcPr>
                <w:p w14:paraId="2ED463D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1.85</w:t>
                  </w:r>
                </w:p>
              </w:tc>
              <w:tc>
                <w:tcPr>
                  <w:tcW w:w="2010" w:type="dxa"/>
                  <w:gridSpan w:val="3"/>
                  <w:noWrap w:val="0"/>
                  <w:vAlign w:val="center"/>
                </w:tcPr>
                <w:p w14:paraId="70A9140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1.79</w:t>
                  </w:r>
                </w:p>
              </w:tc>
              <w:tc>
                <w:tcPr>
                  <w:tcW w:w="1894" w:type="dxa"/>
                  <w:gridSpan w:val="3"/>
                  <w:noWrap w:val="0"/>
                  <w:vAlign w:val="center"/>
                </w:tcPr>
                <w:p w14:paraId="1C24F5D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1.79</w:t>
                  </w:r>
                </w:p>
              </w:tc>
            </w:tr>
            <w:tr w14:paraId="5304DB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3562676D">
                  <w:pPr>
                    <w:spacing w:line="280" w:lineRule="exact"/>
                    <w:jc w:val="center"/>
                    <w:rPr>
                      <w:rFonts w:hint="default" w:ascii="Times New Roman" w:hAnsi="Times New Roman" w:cs="Times New Roman"/>
                      <w:color w:val="auto"/>
                    </w:rPr>
                  </w:pPr>
                </w:p>
              </w:tc>
              <w:tc>
                <w:tcPr>
                  <w:tcW w:w="885" w:type="dxa"/>
                  <w:noWrap w:val="0"/>
                  <w:vAlign w:val="center"/>
                </w:tcPr>
                <w:p w14:paraId="7A1F6B8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2040" w:type="dxa"/>
                  <w:gridSpan w:val="3"/>
                  <w:noWrap w:val="0"/>
                  <w:vAlign w:val="center"/>
                </w:tcPr>
                <w:p w14:paraId="18BB846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1.85*</w:t>
                  </w:r>
                </w:p>
              </w:tc>
              <w:tc>
                <w:tcPr>
                  <w:tcW w:w="2010" w:type="dxa"/>
                  <w:gridSpan w:val="3"/>
                  <w:noWrap w:val="0"/>
                  <w:vAlign w:val="center"/>
                </w:tcPr>
                <w:p w14:paraId="7C9F94E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1.77</w:t>
                  </w:r>
                </w:p>
              </w:tc>
              <w:tc>
                <w:tcPr>
                  <w:tcW w:w="1894" w:type="dxa"/>
                  <w:gridSpan w:val="3"/>
                  <w:noWrap w:val="0"/>
                  <w:vAlign w:val="center"/>
                </w:tcPr>
                <w:p w14:paraId="4074F4F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1.77</w:t>
                  </w:r>
                </w:p>
              </w:tc>
            </w:tr>
            <w:tr w14:paraId="653D5C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38436A1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D</w:t>
                  </w:r>
                </w:p>
              </w:tc>
              <w:tc>
                <w:tcPr>
                  <w:tcW w:w="885" w:type="dxa"/>
                  <w:noWrap w:val="0"/>
                  <w:vAlign w:val="center"/>
                </w:tcPr>
                <w:p w14:paraId="05457DE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2040" w:type="dxa"/>
                  <w:gridSpan w:val="3"/>
                  <w:noWrap w:val="0"/>
                  <w:vAlign w:val="center"/>
                </w:tcPr>
                <w:p w14:paraId="1E7452D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0.78</w:t>
                  </w:r>
                </w:p>
              </w:tc>
              <w:tc>
                <w:tcPr>
                  <w:tcW w:w="2010" w:type="dxa"/>
                  <w:gridSpan w:val="3"/>
                  <w:noWrap w:val="0"/>
                  <w:vAlign w:val="center"/>
                </w:tcPr>
                <w:p w14:paraId="053D3E9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0.78</w:t>
                  </w:r>
                </w:p>
              </w:tc>
              <w:tc>
                <w:tcPr>
                  <w:tcW w:w="1894" w:type="dxa"/>
                  <w:gridSpan w:val="3"/>
                  <w:noWrap w:val="0"/>
                  <w:vAlign w:val="center"/>
                </w:tcPr>
                <w:p w14:paraId="281E4931">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0.57</w:t>
                  </w:r>
                </w:p>
              </w:tc>
            </w:tr>
            <w:tr w14:paraId="113C02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374E8D69">
                  <w:pPr>
                    <w:spacing w:line="280" w:lineRule="exact"/>
                    <w:jc w:val="center"/>
                    <w:rPr>
                      <w:rFonts w:hint="default" w:ascii="Times New Roman" w:hAnsi="Times New Roman" w:cs="Times New Roman"/>
                      <w:color w:val="auto"/>
                    </w:rPr>
                  </w:pPr>
                </w:p>
              </w:tc>
              <w:tc>
                <w:tcPr>
                  <w:tcW w:w="885" w:type="dxa"/>
                  <w:noWrap w:val="0"/>
                  <w:vAlign w:val="center"/>
                </w:tcPr>
                <w:p w14:paraId="45473AF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w:t>
                  </w:r>
                </w:p>
              </w:tc>
              <w:tc>
                <w:tcPr>
                  <w:tcW w:w="2040" w:type="dxa"/>
                  <w:gridSpan w:val="3"/>
                  <w:noWrap w:val="0"/>
                  <w:vAlign w:val="center"/>
                </w:tcPr>
                <w:p w14:paraId="5B34CA8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0.84*</w:t>
                  </w:r>
                </w:p>
              </w:tc>
              <w:tc>
                <w:tcPr>
                  <w:tcW w:w="2010" w:type="dxa"/>
                  <w:gridSpan w:val="3"/>
                  <w:noWrap w:val="0"/>
                  <w:vAlign w:val="center"/>
                </w:tcPr>
                <w:p w14:paraId="49A171A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0.84</w:t>
                  </w:r>
                </w:p>
              </w:tc>
              <w:tc>
                <w:tcPr>
                  <w:tcW w:w="1894" w:type="dxa"/>
                  <w:gridSpan w:val="3"/>
                  <w:noWrap w:val="0"/>
                  <w:vAlign w:val="center"/>
                </w:tcPr>
                <w:p w14:paraId="775C9E7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0.76</w:t>
                  </w:r>
                </w:p>
              </w:tc>
            </w:tr>
            <w:tr w14:paraId="440141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8" w:type="dxa"/>
                  <w:gridSpan w:val="11"/>
                  <w:noWrap w:val="0"/>
                  <w:vAlign w:val="center"/>
                </w:tcPr>
                <w:p w14:paraId="188E6AD0">
                  <w:pPr>
                    <w:keepNext w:val="0"/>
                    <w:keepLines w:val="0"/>
                    <w:pageBreakBefore w:val="0"/>
                    <w:widowControl w:val="0"/>
                    <w:kinsoku/>
                    <w:wordWrap/>
                    <w:overflowPunct/>
                    <w:topLinePunct w:val="0"/>
                    <w:bidi w:val="0"/>
                    <w:spacing w:line="28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注：Ⅰ类：与无组织排放源共存的排放同种有害气体的排气筒的排放量，大于或等于标准规定的允许排放量的1/3者。</w:t>
                  </w:r>
                </w:p>
                <w:p w14:paraId="69610701">
                  <w:pPr>
                    <w:pStyle w:val="19"/>
                    <w:keepNext w:val="0"/>
                    <w:keepLines w:val="0"/>
                    <w:pageBreakBefore w:val="0"/>
                    <w:widowControl w:val="0"/>
                    <w:kinsoku/>
                    <w:wordWrap/>
                    <w:overflowPunct/>
                    <w:topLinePunct w:val="0"/>
                    <w:bidi w:val="0"/>
                    <w:spacing w:line="280" w:lineRule="exact"/>
                    <w:ind w:firstLine="420" w:firstLineChars="200"/>
                    <w:jc w:val="both"/>
                    <w:textAlignment w:val="auto"/>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2089D71F">
                  <w:pPr>
                    <w:pStyle w:val="18"/>
                    <w:keepNext w:val="0"/>
                    <w:keepLines w:val="0"/>
                    <w:pageBreakBefore w:val="0"/>
                    <w:widowControl w:val="0"/>
                    <w:kinsoku/>
                    <w:wordWrap/>
                    <w:overflowPunct/>
                    <w:topLinePunct w:val="0"/>
                    <w:bidi w:val="0"/>
                    <w:spacing w:after="0" w:line="280" w:lineRule="exact"/>
                    <w:ind w:left="0" w:leftChars="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bCs/>
                      <w:color w:val="auto"/>
                      <w:sz w:val="21"/>
                    </w:rPr>
                    <w:t>Ⅲ类：无排放同种有害物质的排气筒与无组织排放源共存，但无组织排放的有害物质的容许排放是按慢性反应指标确定者。</w:t>
                  </w:r>
                </w:p>
              </w:tc>
            </w:tr>
          </w:tbl>
          <w:p w14:paraId="39FB6264">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18"/>
                <w:szCs w:val="18"/>
              </w:rPr>
            </w:pPr>
            <w:r>
              <w:rPr>
                <w:rFonts w:hint="eastAsia"/>
                <w:color w:val="auto"/>
                <w:sz w:val="18"/>
                <w:szCs w:val="18"/>
              </w:rPr>
              <w:t>注：*表示本项目取值</w:t>
            </w:r>
          </w:p>
          <w:p w14:paraId="285B75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
                <w:color w:val="auto"/>
                <w:sz w:val="24"/>
              </w:rPr>
            </w:pPr>
            <w:r>
              <w:rPr>
                <w:color w:val="auto"/>
                <w:sz w:val="24"/>
              </w:rPr>
              <w:t>根据本项目无组织排放的情况，由公式计算确定无组织排放污染物需要设置的卫生防护距离见</w:t>
            </w:r>
            <w:r>
              <w:rPr>
                <w:rFonts w:hint="eastAsia"/>
                <w:color w:val="auto"/>
                <w:sz w:val="24"/>
                <w:lang w:val="en-US" w:eastAsia="zh-CN"/>
              </w:rPr>
              <w:t>下表</w:t>
            </w:r>
            <w:r>
              <w:rPr>
                <w:color w:val="auto"/>
                <w:sz w:val="24"/>
              </w:rPr>
              <w:t>。</w:t>
            </w:r>
          </w:p>
          <w:p w14:paraId="65CB51D1">
            <w:pPr>
              <w:spacing w:line="240" w:lineRule="auto"/>
              <w:ind w:firstLine="413" w:firstLineChars="196"/>
              <w:jc w:val="center"/>
              <w:rPr>
                <w:b/>
                <w:color w:val="auto"/>
                <w:sz w:val="24"/>
              </w:rPr>
            </w:pPr>
            <w:r>
              <w:rPr>
                <w:b/>
                <w:color w:val="auto"/>
                <w:sz w:val="21"/>
                <w:szCs w:val="21"/>
              </w:rPr>
              <w:t>表</w:t>
            </w:r>
            <w:r>
              <w:rPr>
                <w:rFonts w:hint="eastAsia"/>
                <w:b/>
                <w:color w:val="auto"/>
                <w:sz w:val="21"/>
                <w:szCs w:val="21"/>
              </w:rPr>
              <w:t>4-</w:t>
            </w:r>
            <w:r>
              <w:rPr>
                <w:rFonts w:hint="eastAsia"/>
                <w:b/>
                <w:color w:val="auto"/>
                <w:sz w:val="21"/>
                <w:szCs w:val="21"/>
                <w:lang w:val="en-US" w:eastAsia="zh-CN"/>
              </w:rPr>
              <w:t xml:space="preserve">9 </w:t>
            </w:r>
            <w:r>
              <w:rPr>
                <w:b/>
                <w:color w:val="auto"/>
                <w:sz w:val="21"/>
                <w:szCs w:val="21"/>
              </w:rPr>
              <w:t>卫生防护距离计算参数及计算结果</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46"/>
              <w:gridCol w:w="1133"/>
              <w:gridCol w:w="1316"/>
              <w:gridCol w:w="1196"/>
              <w:gridCol w:w="1455"/>
            </w:tblGrid>
            <w:tr w14:paraId="4785FE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42" w:type="pct"/>
                  <w:noWrap w:val="0"/>
                  <w:vAlign w:val="center"/>
                </w:tcPr>
                <w:p w14:paraId="06346331">
                  <w:pPr>
                    <w:jc w:val="center"/>
                    <w:rPr>
                      <w:color w:val="auto"/>
                      <w:szCs w:val="21"/>
                    </w:rPr>
                  </w:pPr>
                  <w:r>
                    <w:rPr>
                      <w:color w:val="auto"/>
                      <w:szCs w:val="21"/>
                    </w:rPr>
                    <w:t>污染源位置</w:t>
                  </w:r>
                </w:p>
              </w:tc>
              <w:tc>
                <w:tcPr>
                  <w:tcW w:w="847" w:type="pct"/>
                  <w:noWrap w:val="0"/>
                  <w:vAlign w:val="center"/>
                </w:tcPr>
                <w:p w14:paraId="25530F7D">
                  <w:pPr>
                    <w:jc w:val="center"/>
                    <w:rPr>
                      <w:color w:val="auto"/>
                      <w:szCs w:val="21"/>
                    </w:rPr>
                  </w:pPr>
                  <w:r>
                    <w:rPr>
                      <w:color w:val="auto"/>
                      <w:szCs w:val="21"/>
                    </w:rPr>
                    <w:t>污染物名称</w:t>
                  </w:r>
                </w:p>
              </w:tc>
              <w:tc>
                <w:tcPr>
                  <w:tcW w:w="713" w:type="pct"/>
                  <w:noWrap w:val="0"/>
                  <w:vAlign w:val="center"/>
                </w:tcPr>
                <w:p w14:paraId="6B80193F">
                  <w:pPr>
                    <w:jc w:val="center"/>
                    <w:rPr>
                      <w:color w:val="auto"/>
                      <w:szCs w:val="21"/>
                    </w:rPr>
                  </w:pPr>
                  <w:r>
                    <w:rPr>
                      <w:rFonts w:hint="eastAsia"/>
                      <w:color w:val="auto"/>
                      <w:szCs w:val="21"/>
                    </w:rPr>
                    <w:t>排放</w:t>
                  </w:r>
                  <w:r>
                    <w:rPr>
                      <w:color w:val="auto"/>
                      <w:szCs w:val="21"/>
                    </w:rPr>
                    <w:t>速率</w:t>
                  </w:r>
                </w:p>
                <w:p w14:paraId="217E2182">
                  <w:pPr>
                    <w:jc w:val="center"/>
                    <w:rPr>
                      <w:color w:val="auto"/>
                      <w:szCs w:val="21"/>
                    </w:rPr>
                  </w:pPr>
                  <w:r>
                    <w:rPr>
                      <w:rFonts w:hint="eastAsia"/>
                      <w:color w:val="auto"/>
                      <w:szCs w:val="21"/>
                    </w:rPr>
                    <w:t>（</w:t>
                  </w:r>
                  <w:r>
                    <w:rPr>
                      <w:color w:val="auto"/>
                      <w:szCs w:val="21"/>
                    </w:rPr>
                    <w:t>kg/h</w:t>
                  </w:r>
                  <w:r>
                    <w:rPr>
                      <w:rFonts w:hint="eastAsia"/>
                      <w:color w:val="auto"/>
                      <w:szCs w:val="21"/>
                    </w:rPr>
                    <w:t>）</w:t>
                  </w:r>
                </w:p>
              </w:tc>
              <w:tc>
                <w:tcPr>
                  <w:tcW w:w="828" w:type="pct"/>
                  <w:noWrap w:val="0"/>
                  <w:vAlign w:val="center"/>
                </w:tcPr>
                <w:p w14:paraId="4F3E7A1D">
                  <w:pPr>
                    <w:jc w:val="center"/>
                    <w:rPr>
                      <w:color w:val="auto"/>
                      <w:szCs w:val="21"/>
                    </w:rPr>
                  </w:pPr>
                  <w:r>
                    <w:rPr>
                      <w:color w:val="auto"/>
                      <w:szCs w:val="21"/>
                    </w:rPr>
                    <w:t>标准限值（mg/m</w:t>
                  </w:r>
                  <w:r>
                    <w:rPr>
                      <w:color w:val="auto"/>
                      <w:szCs w:val="21"/>
                      <w:vertAlign w:val="superscript"/>
                    </w:rPr>
                    <w:t>3</w:t>
                  </w:r>
                  <w:r>
                    <w:rPr>
                      <w:color w:val="auto"/>
                      <w:szCs w:val="21"/>
                    </w:rPr>
                    <w:t>）</w:t>
                  </w:r>
                </w:p>
              </w:tc>
              <w:tc>
                <w:tcPr>
                  <w:tcW w:w="752" w:type="pct"/>
                  <w:noWrap w:val="0"/>
                  <w:vAlign w:val="center"/>
                </w:tcPr>
                <w:p w14:paraId="3AD96397">
                  <w:pPr>
                    <w:jc w:val="center"/>
                    <w:rPr>
                      <w:color w:val="auto"/>
                      <w:szCs w:val="21"/>
                    </w:rPr>
                  </w:pPr>
                  <w:r>
                    <w:rPr>
                      <w:color w:val="auto"/>
                      <w:szCs w:val="21"/>
                    </w:rPr>
                    <w:t>计算结果（m）</w:t>
                  </w:r>
                </w:p>
              </w:tc>
              <w:tc>
                <w:tcPr>
                  <w:tcW w:w="915" w:type="pct"/>
                  <w:noWrap w:val="0"/>
                  <w:vAlign w:val="center"/>
                </w:tcPr>
                <w:p w14:paraId="4E78886E">
                  <w:pPr>
                    <w:jc w:val="center"/>
                    <w:rPr>
                      <w:color w:val="auto"/>
                      <w:szCs w:val="21"/>
                    </w:rPr>
                  </w:pPr>
                  <w:r>
                    <w:rPr>
                      <w:color w:val="auto"/>
                      <w:szCs w:val="21"/>
                    </w:rPr>
                    <w:t>卫生防护距离（m）</w:t>
                  </w:r>
                </w:p>
              </w:tc>
            </w:tr>
            <w:tr w14:paraId="1296C8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2" w:type="pct"/>
                  <w:noWrap w:val="0"/>
                  <w:vAlign w:val="center"/>
                </w:tcPr>
                <w:p w14:paraId="155D0938">
                  <w:pPr>
                    <w:jc w:val="center"/>
                    <w:rPr>
                      <w:rFonts w:hint="default" w:eastAsia="宋体"/>
                      <w:color w:val="auto"/>
                      <w:szCs w:val="21"/>
                      <w:lang w:val="en-US" w:eastAsia="zh-CN"/>
                    </w:rPr>
                  </w:pPr>
                  <w:r>
                    <w:rPr>
                      <w:rFonts w:hint="eastAsia"/>
                      <w:color w:val="auto"/>
                      <w:szCs w:val="21"/>
                      <w:lang w:val="en-US" w:eastAsia="zh-CN"/>
                    </w:rPr>
                    <w:t>生产车间</w:t>
                  </w:r>
                </w:p>
              </w:tc>
              <w:tc>
                <w:tcPr>
                  <w:tcW w:w="847" w:type="pct"/>
                  <w:noWrap w:val="0"/>
                  <w:vAlign w:val="center"/>
                </w:tcPr>
                <w:p w14:paraId="6417A427">
                  <w:pPr>
                    <w:jc w:val="center"/>
                    <w:rPr>
                      <w:rFonts w:hint="default" w:eastAsia="宋体"/>
                      <w:color w:val="auto"/>
                      <w:kern w:val="2"/>
                      <w:sz w:val="21"/>
                      <w:szCs w:val="21"/>
                      <w:lang w:val="en-US" w:eastAsia="zh-CN" w:bidi="ar-SA"/>
                    </w:rPr>
                  </w:pPr>
                  <w:r>
                    <w:rPr>
                      <w:rFonts w:hint="eastAsia"/>
                      <w:color w:val="auto"/>
                      <w:szCs w:val="21"/>
                      <w:lang w:val="en-US" w:eastAsia="zh-CN"/>
                    </w:rPr>
                    <w:t>非甲烷总烃</w:t>
                  </w:r>
                </w:p>
              </w:tc>
              <w:tc>
                <w:tcPr>
                  <w:tcW w:w="713" w:type="pct"/>
                  <w:noWrap w:val="0"/>
                  <w:vAlign w:val="center"/>
                </w:tcPr>
                <w:p w14:paraId="1819E0F2">
                  <w:pPr>
                    <w:spacing w:line="320" w:lineRule="exact"/>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0.272</w:t>
                  </w:r>
                </w:p>
              </w:tc>
              <w:tc>
                <w:tcPr>
                  <w:tcW w:w="828" w:type="pct"/>
                  <w:noWrap w:val="0"/>
                  <w:vAlign w:val="center"/>
                </w:tcPr>
                <w:p w14:paraId="2BE70ACD">
                  <w:pPr>
                    <w:tabs>
                      <w:tab w:val="left" w:pos="4680"/>
                    </w:tabs>
                    <w:adjustRightInd w:val="0"/>
                    <w:snapToGrid w:val="0"/>
                    <w:ind w:right="-48" w:rightChars="0"/>
                    <w:jc w:val="center"/>
                    <w:rPr>
                      <w:rFonts w:hint="default" w:eastAsia="宋体" w:cs="宋体"/>
                      <w:color w:val="auto"/>
                      <w:kern w:val="2"/>
                      <w:sz w:val="21"/>
                      <w:szCs w:val="21"/>
                      <w:lang w:val="en-US" w:eastAsia="zh-CN" w:bidi="ar-SA"/>
                    </w:rPr>
                  </w:pPr>
                  <w:r>
                    <w:rPr>
                      <w:rFonts w:hint="eastAsia" w:cs="宋体"/>
                      <w:color w:val="auto"/>
                      <w:szCs w:val="21"/>
                      <w:lang w:val="en-US" w:eastAsia="zh-CN"/>
                    </w:rPr>
                    <w:t>2.0</w:t>
                  </w:r>
                </w:p>
              </w:tc>
              <w:tc>
                <w:tcPr>
                  <w:tcW w:w="752" w:type="pct"/>
                  <w:noWrap w:val="0"/>
                  <w:vAlign w:val="center"/>
                </w:tcPr>
                <w:p w14:paraId="2A98E9A5">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4.96</w:t>
                  </w:r>
                </w:p>
              </w:tc>
              <w:tc>
                <w:tcPr>
                  <w:tcW w:w="915" w:type="pct"/>
                  <w:noWrap w:val="0"/>
                  <w:vAlign w:val="center"/>
                </w:tcPr>
                <w:p w14:paraId="313A4C53">
                  <w:pPr>
                    <w:jc w:val="center"/>
                    <w:rPr>
                      <w:rFonts w:hint="eastAsia"/>
                      <w:color w:val="auto"/>
                      <w:kern w:val="2"/>
                      <w:sz w:val="21"/>
                      <w:szCs w:val="21"/>
                      <w:lang w:val="en-US" w:eastAsia="zh-CN" w:bidi="ar-SA"/>
                    </w:rPr>
                  </w:pPr>
                  <w:r>
                    <w:rPr>
                      <w:rFonts w:hint="eastAsia"/>
                      <w:color w:val="auto"/>
                      <w:szCs w:val="21"/>
                    </w:rPr>
                    <w:t>50</w:t>
                  </w:r>
                </w:p>
              </w:tc>
            </w:tr>
          </w:tbl>
          <w:p w14:paraId="18656D26">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cs="Times New Roman"/>
                <w:b w:val="0"/>
                <w:bCs/>
                <w:color w:val="auto"/>
                <w:kern w:val="0"/>
                <w:sz w:val="24"/>
                <w:szCs w:val="24"/>
                <w:lang w:val="en-US" w:eastAsia="zh-CN" w:bidi="ar-SA"/>
              </w:rPr>
              <w:t>根据计算结果，</w:t>
            </w:r>
            <w:r>
              <w:rPr>
                <w:rFonts w:hint="eastAsia" w:ascii="Times New Roman" w:hAnsi="Times New Roman" w:eastAsia="宋体" w:cs="Times New Roman"/>
                <w:b w:val="0"/>
                <w:bCs/>
                <w:color w:val="auto"/>
                <w:kern w:val="0"/>
                <w:sz w:val="24"/>
                <w:szCs w:val="24"/>
                <w:lang w:val="en-US" w:eastAsia="zh-CN" w:bidi="ar-SA"/>
              </w:rPr>
              <w:t>本项目以生产厂房为起点设置</w:t>
            </w:r>
            <w:r>
              <w:rPr>
                <w:rFonts w:hint="eastAsia" w:ascii="Times New Roman" w:hAnsi="Times New Roman" w:cs="Times New Roman"/>
                <w:b w:val="0"/>
                <w:bCs/>
                <w:color w:val="auto"/>
                <w:kern w:val="0"/>
                <w:sz w:val="24"/>
                <w:szCs w:val="24"/>
                <w:lang w:val="en-US" w:eastAsia="zh-CN" w:bidi="ar-SA"/>
              </w:rPr>
              <w:t>5</w:t>
            </w:r>
            <w:r>
              <w:rPr>
                <w:rFonts w:hint="eastAsia" w:ascii="Times New Roman" w:hAnsi="Times New Roman" w:eastAsia="宋体" w:cs="Times New Roman"/>
                <w:b w:val="0"/>
                <w:bCs/>
                <w:color w:val="auto"/>
                <w:kern w:val="0"/>
                <w:sz w:val="24"/>
                <w:szCs w:val="24"/>
                <w:lang w:val="en-US" w:eastAsia="zh-CN" w:bidi="ar-SA"/>
              </w:rPr>
              <w:t>0m的卫生防护距离。根据实地勘察，本项目卫生防护距离范围内目前无居民、学校、医院等环境保护敏感目标，今后该范围内不得规划新建住宅、学校、医院等环境保护敏感目标。本项目卫生防护包络线图详见附图3。</w:t>
            </w:r>
          </w:p>
          <w:p w14:paraId="39EDE39E">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cs="Times New Roman"/>
                <w:b w:val="0"/>
                <w:bCs/>
                <w:color w:val="auto"/>
              </w:rPr>
            </w:pPr>
            <w:r>
              <w:rPr>
                <w:rFonts w:hint="eastAsia" w:ascii="Times New Roman" w:hAnsi="Times New Roman" w:cs="Times New Roman"/>
                <w:b w:val="0"/>
                <w:bCs/>
                <w:color w:val="auto"/>
                <w:lang w:val="en-US" w:eastAsia="zh-CN"/>
              </w:rPr>
              <w:t>6</w:t>
            </w:r>
            <w:r>
              <w:rPr>
                <w:rFonts w:ascii="Times New Roman" w:hAnsi="Times New Roman" w:cs="Times New Roman"/>
                <w:b w:val="0"/>
                <w:bCs/>
                <w:color w:val="auto"/>
              </w:rPr>
              <w:t>、废气污染源监测要求</w:t>
            </w:r>
          </w:p>
          <w:p w14:paraId="5193A139">
            <w:pPr>
              <w:pStyle w:val="18"/>
              <w:keepNext w:val="0"/>
              <w:keepLines w:val="0"/>
              <w:pageBreakBefore w:val="0"/>
              <w:widowControl w:val="0"/>
              <w:kinsoku/>
              <w:wordWrap/>
              <w:overflowPunct/>
              <w:topLinePunct w:val="0"/>
              <w:bidi w:val="0"/>
              <w:snapToGrid/>
              <w:spacing w:after="0" w:line="360" w:lineRule="auto"/>
              <w:ind w:left="0" w:leftChars="0" w:firstLine="480"/>
              <w:jc w:val="both"/>
              <w:textAlignment w:val="auto"/>
              <w:rPr>
                <w:rFonts w:hint="eastAsia"/>
                <w:color w:val="auto"/>
              </w:rPr>
            </w:pPr>
            <w:r>
              <w:rPr>
                <w:rFonts w:hint="eastAsia"/>
                <w:color w:val="auto"/>
                <w:szCs w:val="24"/>
              </w:rPr>
              <w:t>根据《排污单位自行监测技术指南总则》（HJ819-2017）</w:t>
            </w:r>
            <w:r>
              <w:rPr>
                <w:rFonts w:hint="eastAsia"/>
                <w:color w:val="auto"/>
                <w:szCs w:val="24"/>
                <w:lang w:eastAsia="zh-CN"/>
              </w:rPr>
              <w:t>、《</w:t>
            </w:r>
            <w:r>
              <w:rPr>
                <w:rFonts w:hint="eastAsia"/>
                <w:color w:val="auto"/>
                <w:szCs w:val="24"/>
                <w:lang w:val="en-US" w:eastAsia="zh-CN"/>
              </w:rPr>
              <w:t>排污单位自行监测技术指南橡胶和塑料制品</w:t>
            </w:r>
            <w:r>
              <w:rPr>
                <w:rFonts w:hint="eastAsia"/>
                <w:color w:val="auto"/>
                <w:szCs w:val="24"/>
                <w:lang w:eastAsia="zh-CN"/>
              </w:rPr>
              <w:t>》（</w:t>
            </w:r>
            <w:r>
              <w:rPr>
                <w:rFonts w:hint="eastAsia"/>
                <w:color w:val="auto"/>
                <w:szCs w:val="24"/>
                <w:lang w:val="en-US" w:eastAsia="zh-CN"/>
              </w:rPr>
              <w:t>HJ1207-2021</w:t>
            </w:r>
            <w:r>
              <w:rPr>
                <w:rFonts w:hint="eastAsia"/>
                <w:color w:val="auto"/>
                <w:szCs w:val="24"/>
                <w:lang w:eastAsia="zh-CN"/>
              </w:rPr>
              <w:t>）</w:t>
            </w:r>
            <w:r>
              <w:rPr>
                <w:rFonts w:hint="eastAsia"/>
                <w:color w:val="auto"/>
                <w:szCs w:val="24"/>
              </w:rPr>
              <w:t>中相关规定</w:t>
            </w:r>
            <w:r>
              <w:rPr>
                <w:color w:val="auto"/>
                <w:szCs w:val="24"/>
              </w:rPr>
              <w:t>，本项目营运期废气应进行常规自行监测，废气污染因子监测要求如下表。</w:t>
            </w:r>
          </w:p>
          <w:p w14:paraId="3300A061">
            <w:pPr>
              <w:pStyle w:val="18"/>
              <w:spacing w:after="0" w:line="240" w:lineRule="auto"/>
              <w:ind w:left="0" w:leftChars="0" w:firstLine="0" w:firstLineChars="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10 </w:t>
            </w:r>
            <w:r>
              <w:rPr>
                <w:rFonts w:hint="eastAsia"/>
                <w:b/>
                <w:bCs/>
                <w:color w:val="auto"/>
                <w:sz w:val="21"/>
                <w:szCs w:val="21"/>
              </w:rPr>
              <w:t>本项目废气监测要求一览表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95"/>
              <w:gridCol w:w="1785"/>
              <w:gridCol w:w="1560"/>
              <w:gridCol w:w="2866"/>
            </w:tblGrid>
            <w:tr w14:paraId="79BA6D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noWrap w:val="0"/>
                  <w:vAlign w:val="center"/>
                </w:tcPr>
                <w:p w14:paraId="69BC5733">
                  <w:pPr>
                    <w:pStyle w:val="18"/>
                    <w:spacing w:after="0"/>
                    <w:ind w:left="0" w:leftChars="0" w:firstLine="0" w:firstLineChars="0"/>
                    <w:jc w:val="center"/>
                    <w:rPr>
                      <w:color w:val="auto"/>
                      <w:sz w:val="21"/>
                      <w:szCs w:val="21"/>
                    </w:rPr>
                  </w:pPr>
                  <w:r>
                    <w:rPr>
                      <w:rFonts w:hint="eastAsia"/>
                      <w:color w:val="auto"/>
                      <w:sz w:val="21"/>
                      <w:szCs w:val="21"/>
                    </w:rPr>
                    <w:t>序号</w:t>
                  </w:r>
                </w:p>
              </w:tc>
              <w:tc>
                <w:tcPr>
                  <w:tcW w:w="689" w:type="pct"/>
                  <w:noWrap w:val="0"/>
                  <w:vAlign w:val="center"/>
                </w:tcPr>
                <w:p w14:paraId="71D995C6">
                  <w:pPr>
                    <w:pStyle w:val="18"/>
                    <w:spacing w:after="0"/>
                    <w:ind w:left="0" w:leftChars="0" w:firstLine="0" w:firstLineChars="0"/>
                    <w:jc w:val="center"/>
                    <w:rPr>
                      <w:color w:val="auto"/>
                      <w:sz w:val="21"/>
                      <w:szCs w:val="21"/>
                    </w:rPr>
                  </w:pPr>
                  <w:r>
                    <w:rPr>
                      <w:rFonts w:hint="eastAsia"/>
                      <w:color w:val="auto"/>
                      <w:sz w:val="21"/>
                      <w:szCs w:val="21"/>
                    </w:rPr>
                    <w:t>监测点位</w:t>
                  </w:r>
                </w:p>
              </w:tc>
              <w:tc>
                <w:tcPr>
                  <w:tcW w:w="1123" w:type="pct"/>
                  <w:noWrap w:val="0"/>
                  <w:vAlign w:val="center"/>
                </w:tcPr>
                <w:p w14:paraId="7B1C4476">
                  <w:pPr>
                    <w:pStyle w:val="18"/>
                    <w:spacing w:after="0"/>
                    <w:ind w:left="0" w:leftChars="0" w:firstLine="0" w:firstLineChars="0"/>
                    <w:jc w:val="center"/>
                    <w:rPr>
                      <w:color w:val="auto"/>
                      <w:sz w:val="21"/>
                      <w:szCs w:val="21"/>
                    </w:rPr>
                  </w:pPr>
                  <w:r>
                    <w:rPr>
                      <w:rFonts w:hint="eastAsia"/>
                      <w:color w:val="auto"/>
                      <w:sz w:val="21"/>
                      <w:szCs w:val="21"/>
                    </w:rPr>
                    <w:t>监测因子</w:t>
                  </w:r>
                </w:p>
              </w:tc>
              <w:tc>
                <w:tcPr>
                  <w:tcW w:w="981" w:type="pct"/>
                  <w:noWrap w:val="0"/>
                  <w:vAlign w:val="center"/>
                </w:tcPr>
                <w:p w14:paraId="64116B80">
                  <w:pPr>
                    <w:pStyle w:val="18"/>
                    <w:spacing w:after="0"/>
                    <w:ind w:left="0" w:leftChars="0" w:firstLine="0" w:firstLineChars="0"/>
                    <w:jc w:val="center"/>
                    <w:rPr>
                      <w:color w:val="auto"/>
                      <w:sz w:val="21"/>
                      <w:szCs w:val="21"/>
                    </w:rPr>
                  </w:pPr>
                  <w:r>
                    <w:rPr>
                      <w:rFonts w:hint="eastAsia"/>
                      <w:color w:val="auto"/>
                      <w:sz w:val="21"/>
                      <w:szCs w:val="21"/>
                    </w:rPr>
                    <w:t>监测频次</w:t>
                  </w:r>
                </w:p>
              </w:tc>
              <w:tc>
                <w:tcPr>
                  <w:tcW w:w="1804" w:type="pct"/>
                  <w:noWrap w:val="0"/>
                  <w:vAlign w:val="center"/>
                </w:tcPr>
                <w:p w14:paraId="20F3BE1E">
                  <w:pPr>
                    <w:pStyle w:val="18"/>
                    <w:spacing w:after="0"/>
                    <w:ind w:left="0" w:leftChars="0" w:firstLine="0" w:firstLineChars="0"/>
                    <w:jc w:val="center"/>
                    <w:rPr>
                      <w:color w:val="auto"/>
                      <w:sz w:val="21"/>
                      <w:szCs w:val="21"/>
                    </w:rPr>
                  </w:pPr>
                  <w:r>
                    <w:rPr>
                      <w:rFonts w:hint="eastAsia"/>
                      <w:color w:val="auto"/>
                      <w:sz w:val="21"/>
                      <w:szCs w:val="21"/>
                    </w:rPr>
                    <w:t>执行标准</w:t>
                  </w:r>
                </w:p>
              </w:tc>
            </w:tr>
            <w:tr w14:paraId="1158AA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restart"/>
                  <w:noWrap w:val="0"/>
                  <w:vAlign w:val="center"/>
                </w:tcPr>
                <w:p w14:paraId="34D31DDC">
                  <w:pPr>
                    <w:pStyle w:val="18"/>
                    <w:spacing w:after="0"/>
                    <w:ind w:left="0" w:leftChars="0" w:firstLine="0" w:firstLineChars="0"/>
                    <w:jc w:val="center"/>
                    <w:rPr>
                      <w:color w:val="auto"/>
                      <w:sz w:val="21"/>
                      <w:szCs w:val="21"/>
                    </w:rPr>
                  </w:pPr>
                  <w:r>
                    <w:rPr>
                      <w:rFonts w:hint="eastAsia"/>
                      <w:color w:val="auto"/>
                      <w:sz w:val="21"/>
                      <w:szCs w:val="21"/>
                    </w:rPr>
                    <w:t>1</w:t>
                  </w:r>
                </w:p>
              </w:tc>
              <w:tc>
                <w:tcPr>
                  <w:tcW w:w="689" w:type="pct"/>
                  <w:vMerge w:val="restart"/>
                  <w:noWrap w:val="0"/>
                  <w:vAlign w:val="center"/>
                </w:tcPr>
                <w:p w14:paraId="28D79473">
                  <w:pPr>
                    <w:pStyle w:val="18"/>
                    <w:spacing w:after="0"/>
                    <w:ind w:left="0" w:leftChars="0" w:firstLine="0" w:firstLineChars="0"/>
                    <w:jc w:val="center"/>
                    <w:rPr>
                      <w:color w:val="auto"/>
                      <w:sz w:val="21"/>
                      <w:szCs w:val="21"/>
                    </w:rPr>
                  </w:pPr>
                  <w:r>
                    <w:rPr>
                      <w:rFonts w:hint="eastAsia"/>
                      <w:color w:val="auto"/>
                      <w:sz w:val="21"/>
                      <w:szCs w:val="21"/>
                    </w:rPr>
                    <w:t>DA001</w:t>
                  </w:r>
                </w:p>
              </w:tc>
              <w:tc>
                <w:tcPr>
                  <w:tcW w:w="1123" w:type="pct"/>
                  <w:noWrap w:val="0"/>
                  <w:vAlign w:val="center"/>
                </w:tcPr>
                <w:p w14:paraId="0737E555">
                  <w:pPr>
                    <w:pStyle w:val="18"/>
                    <w:spacing w:after="0"/>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非甲烷总烃</w:t>
                  </w:r>
                </w:p>
              </w:tc>
              <w:tc>
                <w:tcPr>
                  <w:tcW w:w="981" w:type="pct"/>
                  <w:noWrap w:val="0"/>
                  <w:vAlign w:val="center"/>
                </w:tcPr>
                <w:p w14:paraId="3860F494">
                  <w:pPr>
                    <w:pStyle w:val="18"/>
                    <w:spacing w:after="0"/>
                    <w:ind w:left="0" w:leftChars="0" w:firstLine="0" w:firstLineChars="0"/>
                    <w:jc w:val="center"/>
                    <w:rPr>
                      <w:color w:val="auto"/>
                      <w:sz w:val="21"/>
                      <w:szCs w:val="21"/>
                    </w:rPr>
                  </w:pPr>
                  <w:r>
                    <w:rPr>
                      <w:rFonts w:hint="eastAsia"/>
                      <w:color w:val="auto"/>
                      <w:sz w:val="21"/>
                      <w:szCs w:val="21"/>
                    </w:rPr>
                    <w:t>1次/</w:t>
                  </w:r>
                  <w:r>
                    <w:rPr>
                      <w:rFonts w:hint="eastAsia"/>
                      <w:color w:val="auto"/>
                      <w:sz w:val="21"/>
                      <w:szCs w:val="21"/>
                      <w:lang w:val="en-US" w:eastAsia="zh-CN"/>
                    </w:rPr>
                    <w:t>半</w:t>
                  </w:r>
                  <w:r>
                    <w:rPr>
                      <w:rFonts w:hint="eastAsia"/>
                      <w:color w:val="auto"/>
                      <w:sz w:val="21"/>
                      <w:szCs w:val="21"/>
                    </w:rPr>
                    <w:t>年</w:t>
                  </w:r>
                </w:p>
              </w:tc>
              <w:tc>
                <w:tcPr>
                  <w:tcW w:w="1804" w:type="pct"/>
                  <w:vMerge w:val="restart"/>
                  <w:noWrap w:val="0"/>
                  <w:vAlign w:val="center"/>
                </w:tcPr>
                <w:p w14:paraId="4D62CCF1">
                  <w:pPr>
                    <w:pStyle w:val="18"/>
                    <w:spacing w:after="0"/>
                    <w:ind w:left="0" w:leftChars="0" w:firstLine="0" w:firstLineChars="0"/>
                    <w:jc w:val="center"/>
                    <w:rPr>
                      <w:rFonts w:hint="eastAsia"/>
                      <w:color w:val="auto"/>
                      <w:sz w:val="21"/>
                      <w:szCs w:val="21"/>
                    </w:rPr>
                  </w:pPr>
                  <w:r>
                    <w:rPr>
                      <w:rFonts w:hint="eastAsia"/>
                      <w:color w:val="auto"/>
                      <w:sz w:val="21"/>
                      <w:szCs w:val="21"/>
                    </w:rPr>
                    <w:t>《合成树脂工业污染物排放标准》（GB31572-2015</w:t>
                  </w:r>
                  <w:r>
                    <w:rPr>
                      <w:rFonts w:hint="eastAsia"/>
                      <w:color w:val="auto"/>
                      <w:sz w:val="21"/>
                      <w:szCs w:val="21"/>
                      <w:lang w:eastAsia="zh-CN"/>
                    </w:rPr>
                    <w:t>，</w:t>
                  </w:r>
                  <w:r>
                    <w:rPr>
                      <w:rFonts w:hint="eastAsia"/>
                      <w:color w:val="auto"/>
                      <w:sz w:val="21"/>
                      <w:szCs w:val="21"/>
                    </w:rPr>
                    <w:t>含2024年修改单）</w:t>
                  </w:r>
                </w:p>
              </w:tc>
            </w:tr>
            <w:tr w14:paraId="57F009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69DF19E9">
                  <w:pPr>
                    <w:pStyle w:val="18"/>
                    <w:spacing w:after="0"/>
                    <w:ind w:left="0" w:leftChars="0" w:firstLine="0" w:firstLineChars="0"/>
                    <w:jc w:val="center"/>
                    <w:rPr>
                      <w:rFonts w:hint="eastAsia"/>
                      <w:color w:val="auto"/>
                      <w:sz w:val="21"/>
                      <w:szCs w:val="21"/>
                    </w:rPr>
                  </w:pPr>
                </w:p>
              </w:tc>
              <w:tc>
                <w:tcPr>
                  <w:tcW w:w="689" w:type="pct"/>
                  <w:vMerge w:val="continue"/>
                  <w:noWrap w:val="0"/>
                  <w:vAlign w:val="center"/>
                </w:tcPr>
                <w:p w14:paraId="3B7753C9">
                  <w:pPr>
                    <w:pStyle w:val="18"/>
                    <w:spacing w:after="0"/>
                    <w:ind w:left="0" w:leftChars="0" w:firstLine="0" w:firstLineChars="0"/>
                    <w:jc w:val="center"/>
                    <w:rPr>
                      <w:rFonts w:hint="eastAsia"/>
                      <w:color w:val="auto"/>
                      <w:sz w:val="21"/>
                      <w:szCs w:val="21"/>
                    </w:rPr>
                  </w:pPr>
                </w:p>
              </w:tc>
              <w:tc>
                <w:tcPr>
                  <w:tcW w:w="1123" w:type="pct"/>
                  <w:noWrap w:val="0"/>
                  <w:vAlign w:val="center"/>
                </w:tcPr>
                <w:p w14:paraId="7EDD8677">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苯乙烯</w:t>
                  </w:r>
                </w:p>
              </w:tc>
              <w:tc>
                <w:tcPr>
                  <w:tcW w:w="981" w:type="pct"/>
                  <w:vMerge w:val="restart"/>
                  <w:noWrap w:val="0"/>
                  <w:vAlign w:val="center"/>
                </w:tcPr>
                <w:p w14:paraId="4E73DDA9">
                  <w:pPr>
                    <w:pStyle w:val="18"/>
                    <w:spacing w:after="0"/>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1次/年</w:t>
                  </w:r>
                </w:p>
              </w:tc>
              <w:tc>
                <w:tcPr>
                  <w:tcW w:w="1804" w:type="pct"/>
                  <w:vMerge w:val="continue"/>
                  <w:noWrap w:val="0"/>
                  <w:vAlign w:val="center"/>
                </w:tcPr>
                <w:p w14:paraId="66FE2348">
                  <w:pPr>
                    <w:pStyle w:val="18"/>
                    <w:spacing w:after="0"/>
                    <w:ind w:left="0" w:leftChars="0" w:firstLine="0" w:firstLineChars="0"/>
                    <w:jc w:val="center"/>
                    <w:rPr>
                      <w:rFonts w:hint="eastAsia"/>
                      <w:color w:val="auto"/>
                      <w:sz w:val="21"/>
                      <w:szCs w:val="21"/>
                    </w:rPr>
                  </w:pPr>
                </w:p>
              </w:tc>
            </w:tr>
            <w:tr w14:paraId="17C92F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4089C7EF">
                  <w:pPr>
                    <w:pStyle w:val="18"/>
                    <w:spacing w:after="0"/>
                    <w:ind w:left="0" w:leftChars="0" w:firstLine="0" w:firstLineChars="0"/>
                    <w:jc w:val="center"/>
                    <w:rPr>
                      <w:rFonts w:hint="eastAsia"/>
                      <w:color w:val="auto"/>
                      <w:sz w:val="21"/>
                      <w:szCs w:val="21"/>
                    </w:rPr>
                  </w:pPr>
                </w:p>
              </w:tc>
              <w:tc>
                <w:tcPr>
                  <w:tcW w:w="689" w:type="pct"/>
                  <w:vMerge w:val="continue"/>
                  <w:noWrap w:val="0"/>
                  <w:vAlign w:val="center"/>
                </w:tcPr>
                <w:p w14:paraId="0E9A7845">
                  <w:pPr>
                    <w:pStyle w:val="18"/>
                    <w:spacing w:after="0"/>
                    <w:ind w:left="0" w:leftChars="0" w:firstLine="0" w:firstLineChars="0"/>
                    <w:jc w:val="center"/>
                    <w:rPr>
                      <w:rFonts w:hint="eastAsia"/>
                      <w:color w:val="auto"/>
                      <w:sz w:val="21"/>
                      <w:szCs w:val="21"/>
                    </w:rPr>
                  </w:pPr>
                </w:p>
              </w:tc>
              <w:tc>
                <w:tcPr>
                  <w:tcW w:w="1123" w:type="pct"/>
                  <w:noWrap w:val="0"/>
                  <w:vAlign w:val="center"/>
                </w:tcPr>
                <w:p w14:paraId="316ADB91">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臭气浓度</w:t>
                  </w:r>
                </w:p>
              </w:tc>
              <w:tc>
                <w:tcPr>
                  <w:tcW w:w="981" w:type="pct"/>
                  <w:vMerge w:val="continue"/>
                  <w:noWrap w:val="0"/>
                  <w:vAlign w:val="center"/>
                </w:tcPr>
                <w:p w14:paraId="2168FB57">
                  <w:pPr>
                    <w:pStyle w:val="18"/>
                    <w:spacing w:after="0"/>
                    <w:ind w:left="0" w:leftChars="0" w:firstLine="0" w:firstLineChars="0"/>
                    <w:jc w:val="center"/>
                    <w:rPr>
                      <w:rFonts w:hint="eastAsia"/>
                      <w:color w:val="auto"/>
                      <w:sz w:val="21"/>
                      <w:szCs w:val="21"/>
                    </w:rPr>
                  </w:pPr>
                </w:p>
              </w:tc>
              <w:tc>
                <w:tcPr>
                  <w:tcW w:w="1804" w:type="pct"/>
                  <w:noWrap w:val="0"/>
                  <w:vAlign w:val="center"/>
                </w:tcPr>
                <w:p w14:paraId="715419D2">
                  <w:pPr>
                    <w:pStyle w:val="18"/>
                    <w:spacing w:after="0"/>
                    <w:ind w:left="0" w:leftChars="0" w:firstLine="0" w:firstLineChars="0"/>
                    <w:jc w:val="center"/>
                    <w:rPr>
                      <w:rFonts w:hint="eastAsia"/>
                      <w:color w:val="auto"/>
                      <w:sz w:val="21"/>
                      <w:szCs w:val="21"/>
                    </w:rPr>
                  </w:pPr>
                  <w:r>
                    <w:rPr>
                      <w:rFonts w:hint="eastAsia"/>
                      <w:color w:val="auto"/>
                      <w:sz w:val="21"/>
                      <w:szCs w:val="21"/>
                    </w:rPr>
                    <w:t>《恶臭污染物排放标准》（GB14554-93）</w:t>
                  </w:r>
                </w:p>
              </w:tc>
            </w:tr>
            <w:tr w14:paraId="27D2A7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345CE9A4">
                  <w:pPr>
                    <w:pStyle w:val="18"/>
                    <w:spacing w:after="0"/>
                    <w:ind w:left="0" w:leftChars="0" w:firstLine="0" w:firstLineChars="0"/>
                    <w:jc w:val="center"/>
                    <w:rPr>
                      <w:rFonts w:hint="eastAsia"/>
                      <w:color w:val="auto"/>
                      <w:sz w:val="21"/>
                      <w:szCs w:val="21"/>
                    </w:rPr>
                  </w:pPr>
                </w:p>
              </w:tc>
              <w:tc>
                <w:tcPr>
                  <w:tcW w:w="689" w:type="pct"/>
                  <w:vMerge w:val="continue"/>
                  <w:noWrap w:val="0"/>
                  <w:vAlign w:val="center"/>
                </w:tcPr>
                <w:p w14:paraId="584D953B">
                  <w:pPr>
                    <w:pStyle w:val="18"/>
                    <w:spacing w:after="0"/>
                    <w:ind w:left="0" w:leftChars="0" w:firstLine="0" w:firstLineChars="0"/>
                    <w:jc w:val="center"/>
                    <w:rPr>
                      <w:rFonts w:hint="eastAsia"/>
                      <w:color w:val="auto"/>
                      <w:sz w:val="21"/>
                      <w:szCs w:val="21"/>
                    </w:rPr>
                  </w:pPr>
                </w:p>
              </w:tc>
              <w:tc>
                <w:tcPr>
                  <w:tcW w:w="1123" w:type="pct"/>
                  <w:noWrap w:val="0"/>
                  <w:vAlign w:val="center"/>
                </w:tcPr>
                <w:p w14:paraId="48257F2A">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苯系物</w:t>
                  </w:r>
                </w:p>
              </w:tc>
              <w:tc>
                <w:tcPr>
                  <w:tcW w:w="981" w:type="pct"/>
                  <w:vMerge w:val="continue"/>
                  <w:noWrap w:val="0"/>
                  <w:vAlign w:val="center"/>
                </w:tcPr>
                <w:p w14:paraId="112E3738">
                  <w:pPr>
                    <w:pStyle w:val="18"/>
                    <w:spacing w:after="0"/>
                    <w:ind w:left="0" w:leftChars="0" w:firstLine="0" w:firstLineChars="0"/>
                    <w:jc w:val="center"/>
                    <w:rPr>
                      <w:rFonts w:hint="eastAsia"/>
                      <w:color w:val="auto"/>
                      <w:sz w:val="21"/>
                      <w:szCs w:val="21"/>
                    </w:rPr>
                  </w:pPr>
                </w:p>
              </w:tc>
              <w:tc>
                <w:tcPr>
                  <w:tcW w:w="1804" w:type="pct"/>
                  <w:noWrap w:val="0"/>
                  <w:vAlign w:val="center"/>
                </w:tcPr>
                <w:p w14:paraId="3F643950">
                  <w:pPr>
                    <w:pStyle w:val="18"/>
                    <w:spacing w:after="0"/>
                    <w:ind w:left="0" w:leftChars="0" w:firstLine="0" w:firstLineChars="0"/>
                    <w:jc w:val="center"/>
                    <w:rPr>
                      <w:rFonts w:hint="eastAsia"/>
                      <w:color w:val="auto"/>
                      <w:sz w:val="21"/>
                      <w:szCs w:val="21"/>
                    </w:rPr>
                  </w:pPr>
                  <w:r>
                    <w:rPr>
                      <w:rFonts w:hint="eastAsia"/>
                      <w:color w:val="auto"/>
                      <w:sz w:val="21"/>
                      <w:szCs w:val="21"/>
                    </w:rPr>
                    <w:t>《大气污染物综合排放标准》</w:t>
                  </w:r>
                </w:p>
                <w:p w14:paraId="36CBA7FB">
                  <w:pPr>
                    <w:pStyle w:val="18"/>
                    <w:spacing w:after="0"/>
                    <w:ind w:left="0" w:leftChars="0" w:firstLine="0" w:firstLineChars="0"/>
                    <w:jc w:val="center"/>
                    <w:rPr>
                      <w:rFonts w:hint="eastAsia"/>
                      <w:color w:val="auto"/>
                      <w:sz w:val="21"/>
                      <w:szCs w:val="21"/>
                    </w:rPr>
                  </w:pPr>
                  <w:r>
                    <w:rPr>
                      <w:rFonts w:hint="eastAsia"/>
                      <w:color w:val="auto"/>
                      <w:sz w:val="21"/>
                      <w:szCs w:val="21"/>
                    </w:rPr>
                    <w:t>（DB32/4041-2021）</w:t>
                  </w:r>
                </w:p>
              </w:tc>
            </w:tr>
            <w:tr w14:paraId="76C2D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noWrap w:val="0"/>
                  <w:vAlign w:val="center"/>
                </w:tcPr>
                <w:p w14:paraId="7AF57FA2">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2</w:t>
                  </w:r>
                </w:p>
              </w:tc>
              <w:tc>
                <w:tcPr>
                  <w:tcW w:w="689" w:type="pct"/>
                  <w:noWrap w:val="0"/>
                  <w:vAlign w:val="center"/>
                </w:tcPr>
                <w:p w14:paraId="41222AEE">
                  <w:pPr>
                    <w:pStyle w:val="18"/>
                    <w:spacing w:after="0"/>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DA002</w:t>
                  </w:r>
                </w:p>
              </w:tc>
              <w:tc>
                <w:tcPr>
                  <w:tcW w:w="1123" w:type="pct"/>
                  <w:noWrap w:val="0"/>
                  <w:vAlign w:val="center"/>
                </w:tcPr>
                <w:p w14:paraId="4FBDEE09">
                  <w:pPr>
                    <w:pStyle w:val="18"/>
                    <w:spacing w:after="0"/>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颗粒物</w:t>
                  </w:r>
                </w:p>
              </w:tc>
              <w:tc>
                <w:tcPr>
                  <w:tcW w:w="981" w:type="pct"/>
                  <w:noWrap w:val="0"/>
                  <w:vAlign w:val="center"/>
                </w:tcPr>
                <w:p w14:paraId="193734E6">
                  <w:pPr>
                    <w:pStyle w:val="18"/>
                    <w:spacing w:after="0"/>
                    <w:ind w:left="0" w:leftChars="0" w:firstLine="0" w:firstLineChars="0"/>
                    <w:jc w:val="center"/>
                    <w:rPr>
                      <w:rFonts w:hint="eastAsia"/>
                      <w:color w:val="auto"/>
                      <w:sz w:val="21"/>
                      <w:szCs w:val="21"/>
                    </w:rPr>
                  </w:pPr>
                  <w:r>
                    <w:rPr>
                      <w:rFonts w:hint="eastAsia"/>
                      <w:color w:val="auto"/>
                      <w:sz w:val="21"/>
                      <w:szCs w:val="21"/>
                    </w:rPr>
                    <w:t>1次/年</w:t>
                  </w:r>
                </w:p>
              </w:tc>
              <w:tc>
                <w:tcPr>
                  <w:tcW w:w="1804" w:type="pct"/>
                  <w:noWrap w:val="0"/>
                  <w:vAlign w:val="center"/>
                </w:tcPr>
                <w:p w14:paraId="36E7C3F8">
                  <w:pPr>
                    <w:pStyle w:val="18"/>
                    <w:spacing w:after="0"/>
                    <w:ind w:left="0" w:leftChars="0" w:firstLine="0" w:firstLineChars="0"/>
                    <w:jc w:val="center"/>
                    <w:rPr>
                      <w:rFonts w:hint="eastAsia"/>
                      <w:color w:val="auto"/>
                      <w:sz w:val="21"/>
                      <w:szCs w:val="21"/>
                    </w:rPr>
                  </w:pPr>
                  <w:r>
                    <w:rPr>
                      <w:rFonts w:hint="eastAsia"/>
                      <w:color w:val="auto"/>
                      <w:sz w:val="21"/>
                      <w:szCs w:val="21"/>
                    </w:rPr>
                    <w:t>《合成树脂工业污染物排放标准》（GB31572-2015</w:t>
                  </w:r>
                  <w:r>
                    <w:rPr>
                      <w:rFonts w:hint="eastAsia"/>
                      <w:color w:val="auto"/>
                      <w:sz w:val="21"/>
                      <w:szCs w:val="21"/>
                      <w:lang w:eastAsia="zh-CN"/>
                    </w:rPr>
                    <w:t>，</w:t>
                  </w:r>
                  <w:r>
                    <w:rPr>
                      <w:rFonts w:hint="eastAsia"/>
                      <w:color w:val="auto"/>
                      <w:sz w:val="21"/>
                      <w:szCs w:val="21"/>
                    </w:rPr>
                    <w:t>含2024年修改单）</w:t>
                  </w:r>
                </w:p>
              </w:tc>
            </w:tr>
            <w:tr w14:paraId="11CEFB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restart"/>
                  <w:noWrap w:val="0"/>
                  <w:vAlign w:val="center"/>
                </w:tcPr>
                <w:p w14:paraId="24234876">
                  <w:pPr>
                    <w:pStyle w:val="18"/>
                    <w:spacing w:after="0"/>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2</w:t>
                  </w:r>
                </w:p>
              </w:tc>
              <w:tc>
                <w:tcPr>
                  <w:tcW w:w="689" w:type="pct"/>
                  <w:vMerge w:val="restart"/>
                  <w:noWrap w:val="0"/>
                  <w:vAlign w:val="center"/>
                </w:tcPr>
                <w:p w14:paraId="545D1EEB">
                  <w:pPr>
                    <w:pStyle w:val="18"/>
                    <w:spacing w:after="0"/>
                    <w:ind w:left="0" w:leftChars="0" w:firstLine="0" w:firstLineChars="0"/>
                    <w:jc w:val="center"/>
                    <w:rPr>
                      <w:color w:val="auto"/>
                      <w:sz w:val="21"/>
                      <w:szCs w:val="21"/>
                    </w:rPr>
                  </w:pPr>
                  <w:r>
                    <w:rPr>
                      <w:rFonts w:hint="eastAsia"/>
                      <w:color w:val="auto"/>
                      <w:sz w:val="21"/>
                      <w:szCs w:val="21"/>
                    </w:rPr>
                    <w:t>厂界</w:t>
                  </w:r>
                </w:p>
              </w:tc>
              <w:tc>
                <w:tcPr>
                  <w:tcW w:w="1123" w:type="pct"/>
                  <w:noWrap w:val="0"/>
                  <w:vAlign w:val="center"/>
                </w:tcPr>
                <w:p w14:paraId="1C14454E">
                  <w:pPr>
                    <w:pStyle w:val="18"/>
                    <w:spacing w:after="0"/>
                    <w:ind w:left="0" w:leftChars="0" w:firstLine="0" w:firstLineChars="0"/>
                    <w:jc w:val="center"/>
                    <w:rPr>
                      <w:rFonts w:hint="default" w:eastAsia="宋体"/>
                      <w:color w:val="auto"/>
                      <w:kern w:val="0"/>
                      <w:sz w:val="21"/>
                      <w:szCs w:val="21"/>
                      <w:lang w:val="en-US" w:eastAsia="zh-CN" w:bidi="ar-SA"/>
                    </w:rPr>
                  </w:pPr>
                  <w:r>
                    <w:rPr>
                      <w:rFonts w:hint="eastAsia"/>
                      <w:color w:val="auto"/>
                      <w:sz w:val="21"/>
                      <w:szCs w:val="21"/>
                      <w:lang w:val="en-US" w:eastAsia="zh-CN"/>
                    </w:rPr>
                    <w:t>非甲烷总烃</w:t>
                  </w:r>
                </w:p>
              </w:tc>
              <w:tc>
                <w:tcPr>
                  <w:tcW w:w="981" w:type="pct"/>
                  <w:vMerge w:val="restart"/>
                  <w:noWrap w:val="0"/>
                  <w:vAlign w:val="center"/>
                </w:tcPr>
                <w:p w14:paraId="2CFAD246">
                  <w:pPr>
                    <w:pStyle w:val="18"/>
                    <w:spacing w:after="0"/>
                    <w:ind w:left="0" w:leftChars="0" w:firstLine="0" w:firstLineChars="0"/>
                    <w:jc w:val="center"/>
                    <w:rPr>
                      <w:rFonts w:hint="eastAsia"/>
                      <w:color w:val="auto"/>
                      <w:kern w:val="0"/>
                      <w:sz w:val="21"/>
                      <w:szCs w:val="21"/>
                      <w:lang w:val="en-US" w:eastAsia="zh-CN" w:bidi="ar-SA"/>
                    </w:rPr>
                  </w:pPr>
                  <w:r>
                    <w:rPr>
                      <w:rFonts w:hint="eastAsia"/>
                      <w:color w:val="auto"/>
                      <w:sz w:val="21"/>
                      <w:szCs w:val="21"/>
                    </w:rPr>
                    <w:t>1次/年</w:t>
                  </w:r>
                </w:p>
              </w:tc>
              <w:tc>
                <w:tcPr>
                  <w:tcW w:w="1804" w:type="pct"/>
                  <w:vMerge w:val="restart"/>
                  <w:noWrap w:val="0"/>
                  <w:vAlign w:val="center"/>
                </w:tcPr>
                <w:p w14:paraId="14F8FD23">
                  <w:pPr>
                    <w:pStyle w:val="18"/>
                    <w:spacing w:after="0"/>
                    <w:ind w:left="0" w:leftChars="0" w:firstLine="0" w:firstLineChars="0"/>
                    <w:jc w:val="center"/>
                    <w:rPr>
                      <w:color w:val="auto"/>
                      <w:sz w:val="21"/>
                      <w:szCs w:val="21"/>
                    </w:rPr>
                  </w:pPr>
                  <w:r>
                    <w:rPr>
                      <w:rFonts w:hint="eastAsia"/>
                      <w:color w:val="auto"/>
                      <w:sz w:val="21"/>
                      <w:szCs w:val="21"/>
                    </w:rPr>
                    <w:t>《合成树脂工业污染物排放标准》（GB31572-2015）</w:t>
                  </w:r>
                </w:p>
              </w:tc>
            </w:tr>
            <w:tr w14:paraId="73383B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2ABB3C6D">
                  <w:pPr>
                    <w:pStyle w:val="18"/>
                    <w:spacing w:after="0"/>
                    <w:ind w:left="0" w:leftChars="0" w:firstLine="0" w:firstLineChars="0"/>
                    <w:jc w:val="center"/>
                    <w:rPr>
                      <w:rFonts w:hint="eastAsia"/>
                      <w:color w:val="auto"/>
                      <w:sz w:val="21"/>
                      <w:szCs w:val="21"/>
                      <w:lang w:val="en-US" w:eastAsia="zh-CN"/>
                    </w:rPr>
                  </w:pPr>
                </w:p>
              </w:tc>
              <w:tc>
                <w:tcPr>
                  <w:tcW w:w="689" w:type="pct"/>
                  <w:vMerge w:val="continue"/>
                  <w:noWrap w:val="0"/>
                  <w:vAlign w:val="center"/>
                </w:tcPr>
                <w:p w14:paraId="0DC8C1AA">
                  <w:pPr>
                    <w:pStyle w:val="18"/>
                    <w:spacing w:after="0"/>
                    <w:ind w:left="0" w:leftChars="0" w:firstLine="0" w:firstLineChars="0"/>
                    <w:jc w:val="center"/>
                    <w:rPr>
                      <w:rFonts w:hint="eastAsia"/>
                      <w:color w:val="auto"/>
                      <w:sz w:val="21"/>
                      <w:szCs w:val="21"/>
                    </w:rPr>
                  </w:pPr>
                </w:p>
              </w:tc>
              <w:tc>
                <w:tcPr>
                  <w:tcW w:w="1123" w:type="pct"/>
                  <w:noWrap w:val="0"/>
                  <w:vAlign w:val="center"/>
                </w:tcPr>
                <w:p w14:paraId="4AE12DA0">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颗粒物</w:t>
                  </w:r>
                </w:p>
              </w:tc>
              <w:tc>
                <w:tcPr>
                  <w:tcW w:w="981" w:type="pct"/>
                  <w:vMerge w:val="continue"/>
                  <w:noWrap w:val="0"/>
                  <w:vAlign w:val="center"/>
                </w:tcPr>
                <w:p w14:paraId="645541F7">
                  <w:pPr>
                    <w:pStyle w:val="18"/>
                    <w:spacing w:after="0"/>
                    <w:ind w:left="0" w:leftChars="0" w:firstLine="0" w:firstLineChars="0"/>
                    <w:jc w:val="center"/>
                    <w:rPr>
                      <w:rFonts w:hint="eastAsia"/>
                      <w:color w:val="auto"/>
                      <w:sz w:val="21"/>
                      <w:szCs w:val="21"/>
                    </w:rPr>
                  </w:pPr>
                </w:p>
              </w:tc>
              <w:tc>
                <w:tcPr>
                  <w:tcW w:w="1804" w:type="pct"/>
                  <w:vMerge w:val="continue"/>
                  <w:noWrap w:val="0"/>
                  <w:vAlign w:val="center"/>
                </w:tcPr>
                <w:p w14:paraId="46634167">
                  <w:pPr>
                    <w:pStyle w:val="18"/>
                    <w:spacing w:after="0"/>
                    <w:ind w:left="0" w:leftChars="0" w:firstLine="0" w:firstLineChars="0"/>
                    <w:jc w:val="center"/>
                    <w:rPr>
                      <w:rFonts w:hint="eastAsia"/>
                      <w:color w:val="auto"/>
                      <w:sz w:val="21"/>
                      <w:szCs w:val="21"/>
                    </w:rPr>
                  </w:pPr>
                </w:p>
              </w:tc>
            </w:tr>
            <w:tr w14:paraId="383CBD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36DDFA8D">
                  <w:pPr>
                    <w:pStyle w:val="18"/>
                    <w:spacing w:after="0"/>
                    <w:ind w:left="0" w:leftChars="0" w:firstLine="0" w:firstLineChars="0"/>
                    <w:jc w:val="center"/>
                    <w:rPr>
                      <w:rFonts w:hint="eastAsia"/>
                      <w:color w:val="auto"/>
                      <w:sz w:val="21"/>
                      <w:szCs w:val="21"/>
                      <w:lang w:val="en-US" w:eastAsia="zh-CN"/>
                    </w:rPr>
                  </w:pPr>
                </w:p>
              </w:tc>
              <w:tc>
                <w:tcPr>
                  <w:tcW w:w="689" w:type="pct"/>
                  <w:vMerge w:val="continue"/>
                  <w:noWrap w:val="0"/>
                  <w:vAlign w:val="center"/>
                </w:tcPr>
                <w:p w14:paraId="19C0EF2D">
                  <w:pPr>
                    <w:pStyle w:val="18"/>
                    <w:spacing w:after="0"/>
                    <w:ind w:left="0" w:leftChars="0" w:firstLine="0" w:firstLineChars="0"/>
                    <w:jc w:val="center"/>
                    <w:rPr>
                      <w:rFonts w:hint="eastAsia"/>
                      <w:color w:val="auto"/>
                      <w:sz w:val="21"/>
                      <w:szCs w:val="21"/>
                    </w:rPr>
                  </w:pPr>
                </w:p>
              </w:tc>
              <w:tc>
                <w:tcPr>
                  <w:tcW w:w="1123" w:type="pct"/>
                  <w:noWrap w:val="0"/>
                  <w:vAlign w:val="center"/>
                </w:tcPr>
                <w:p w14:paraId="73580A20">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苯乙烯</w:t>
                  </w:r>
                </w:p>
              </w:tc>
              <w:tc>
                <w:tcPr>
                  <w:tcW w:w="981" w:type="pct"/>
                  <w:vMerge w:val="continue"/>
                  <w:noWrap w:val="0"/>
                  <w:vAlign w:val="center"/>
                </w:tcPr>
                <w:p w14:paraId="71E750F4">
                  <w:pPr>
                    <w:pStyle w:val="18"/>
                    <w:spacing w:after="0"/>
                    <w:ind w:left="0" w:leftChars="0" w:firstLine="0" w:firstLineChars="0"/>
                    <w:jc w:val="center"/>
                    <w:rPr>
                      <w:rFonts w:hint="eastAsia"/>
                      <w:color w:val="auto"/>
                      <w:sz w:val="21"/>
                      <w:szCs w:val="21"/>
                    </w:rPr>
                  </w:pPr>
                </w:p>
              </w:tc>
              <w:tc>
                <w:tcPr>
                  <w:tcW w:w="1804" w:type="pct"/>
                  <w:vMerge w:val="continue"/>
                  <w:noWrap w:val="0"/>
                  <w:vAlign w:val="center"/>
                </w:tcPr>
                <w:p w14:paraId="0F6E075A">
                  <w:pPr>
                    <w:pStyle w:val="18"/>
                    <w:spacing w:after="0"/>
                    <w:ind w:left="0" w:leftChars="0" w:firstLine="0" w:firstLineChars="0"/>
                    <w:jc w:val="center"/>
                    <w:rPr>
                      <w:rFonts w:hint="eastAsia"/>
                      <w:color w:val="auto"/>
                      <w:sz w:val="21"/>
                      <w:szCs w:val="21"/>
                    </w:rPr>
                  </w:pPr>
                </w:p>
              </w:tc>
            </w:tr>
            <w:tr w14:paraId="284086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375ACA30">
                  <w:pPr>
                    <w:pStyle w:val="18"/>
                    <w:spacing w:after="0"/>
                    <w:ind w:left="0" w:leftChars="0" w:firstLine="0" w:firstLineChars="0"/>
                    <w:jc w:val="center"/>
                    <w:rPr>
                      <w:rFonts w:hint="eastAsia"/>
                      <w:color w:val="auto"/>
                      <w:sz w:val="21"/>
                      <w:szCs w:val="21"/>
                      <w:lang w:val="en-US" w:eastAsia="zh-CN"/>
                    </w:rPr>
                  </w:pPr>
                </w:p>
              </w:tc>
              <w:tc>
                <w:tcPr>
                  <w:tcW w:w="689" w:type="pct"/>
                  <w:vMerge w:val="continue"/>
                  <w:noWrap w:val="0"/>
                  <w:vAlign w:val="center"/>
                </w:tcPr>
                <w:p w14:paraId="58A8BF74">
                  <w:pPr>
                    <w:pStyle w:val="18"/>
                    <w:spacing w:after="0"/>
                    <w:ind w:left="0" w:leftChars="0" w:firstLine="0" w:firstLineChars="0"/>
                    <w:jc w:val="center"/>
                    <w:rPr>
                      <w:rFonts w:hint="eastAsia"/>
                      <w:color w:val="auto"/>
                      <w:sz w:val="21"/>
                      <w:szCs w:val="21"/>
                    </w:rPr>
                  </w:pPr>
                </w:p>
              </w:tc>
              <w:tc>
                <w:tcPr>
                  <w:tcW w:w="1123" w:type="pct"/>
                  <w:noWrap w:val="0"/>
                  <w:vAlign w:val="center"/>
                </w:tcPr>
                <w:p w14:paraId="2955628C">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臭气浓度</w:t>
                  </w:r>
                </w:p>
              </w:tc>
              <w:tc>
                <w:tcPr>
                  <w:tcW w:w="981" w:type="pct"/>
                  <w:vMerge w:val="continue"/>
                  <w:noWrap w:val="0"/>
                  <w:vAlign w:val="center"/>
                </w:tcPr>
                <w:p w14:paraId="42A3335A">
                  <w:pPr>
                    <w:pStyle w:val="18"/>
                    <w:spacing w:after="0"/>
                    <w:ind w:left="0" w:leftChars="0" w:firstLine="0" w:firstLineChars="0"/>
                    <w:jc w:val="center"/>
                    <w:rPr>
                      <w:rFonts w:hint="eastAsia"/>
                      <w:color w:val="auto"/>
                      <w:sz w:val="21"/>
                      <w:szCs w:val="21"/>
                    </w:rPr>
                  </w:pPr>
                </w:p>
              </w:tc>
              <w:tc>
                <w:tcPr>
                  <w:tcW w:w="1804" w:type="pct"/>
                  <w:noWrap w:val="0"/>
                  <w:vAlign w:val="center"/>
                </w:tcPr>
                <w:p w14:paraId="4B225848">
                  <w:pPr>
                    <w:pStyle w:val="18"/>
                    <w:spacing w:after="0"/>
                    <w:ind w:left="0" w:leftChars="0" w:firstLine="0" w:firstLineChars="0"/>
                    <w:jc w:val="center"/>
                    <w:rPr>
                      <w:rFonts w:hint="eastAsia"/>
                      <w:color w:val="auto"/>
                      <w:sz w:val="21"/>
                      <w:szCs w:val="21"/>
                    </w:rPr>
                  </w:pPr>
                  <w:r>
                    <w:rPr>
                      <w:rFonts w:hint="eastAsia"/>
                      <w:color w:val="auto"/>
                      <w:sz w:val="21"/>
                      <w:szCs w:val="21"/>
                    </w:rPr>
                    <w:t>《恶臭污染物排放标准》（GB14554-93）</w:t>
                  </w:r>
                </w:p>
              </w:tc>
            </w:tr>
            <w:tr w14:paraId="5D5E0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vMerge w:val="continue"/>
                  <w:noWrap w:val="0"/>
                  <w:vAlign w:val="center"/>
                </w:tcPr>
                <w:p w14:paraId="34768E0C">
                  <w:pPr>
                    <w:pStyle w:val="18"/>
                    <w:spacing w:after="0"/>
                    <w:ind w:left="0" w:leftChars="0" w:firstLine="0" w:firstLineChars="0"/>
                    <w:jc w:val="center"/>
                    <w:rPr>
                      <w:rFonts w:hint="eastAsia"/>
                      <w:color w:val="auto"/>
                      <w:sz w:val="21"/>
                      <w:szCs w:val="21"/>
                      <w:lang w:val="en-US" w:eastAsia="zh-CN"/>
                    </w:rPr>
                  </w:pPr>
                </w:p>
              </w:tc>
              <w:tc>
                <w:tcPr>
                  <w:tcW w:w="689" w:type="pct"/>
                  <w:vMerge w:val="continue"/>
                  <w:noWrap w:val="0"/>
                  <w:vAlign w:val="center"/>
                </w:tcPr>
                <w:p w14:paraId="08901B64">
                  <w:pPr>
                    <w:pStyle w:val="18"/>
                    <w:spacing w:after="0"/>
                    <w:ind w:left="0" w:leftChars="0" w:firstLine="0" w:firstLineChars="0"/>
                    <w:jc w:val="center"/>
                    <w:rPr>
                      <w:rFonts w:hint="eastAsia"/>
                      <w:color w:val="auto"/>
                      <w:sz w:val="21"/>
                      <w:szCs w:val="21"/>
                    </w:rPr>
                  </w:pPr>
                </w:p>
              </w:tc>
              <w:tc>
                <w:tcPr>
                  <w:tcW w:w="1123" w:type="pct"/>
                  <w:noWrap w:val="0"/>
                  <w:vAlign w:val="center"/>
                </w:tcPr>
                <w:p w14:paraId="59657A24">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苯系物</w:t>
                  </w:r>
                </w:p>
              </w:tc>
              <w:tc>
                <w:tcPr>
                  <w:tcW w:w="981" w:type="pct"/>
                  <w:vMerge w:val="continue"/>
                  <w:noWrap w:val="0"/>
                  <w:vAlign w:val="center"/>
                </w:tcPr>
                <w:p w14:paraId="59D5E7E5">
                  <w:pPr>
                    <w:pStyle w:val="18"/>
                    <w:spacing w:after="0"/>
                    <w:ind w:left="0" w:leftChars="0" w:firstLine="0" w:firstLineChars="0"/>
                    <w:jc w:val="center"/>
                    <w:rPr>
                      <w:rFonts w:hint="eastAsia"/>
                      <w:color w:val="auto"/>
                      <w:sz w:val="21"/>
                      <w:szCs w:val="21"/>
                    </w:rPr>
                  </w:pPr>
                </w:p>
              </w:tc>
              <w:tc>
                <w:tcPr>
                  <w:tcW w:w="1804" w:type="pct"/>
                  <w:noWrap w:val="0"/>
                  <w:vAlign w:val="center"/>
                </w:tcPr>
                <w:p w14:paraId="1AE01E5C">
                  <w:pPr>
                    <w:pStyle w:val="18"/>
                    <w:spacing w:after="0"/>
                    <w:ind w:left="0" w:leftChars="0" w:firstLine="0" w:firstLineChars="0"/>
                    <w:jc w:val="center"/>
                    <w:rPr>
                      <w:rFonts w:hint="eastAsia"/>
                      <w:color w:val="auto"/>
                      <w:sz w:val="21"/>
                      <w:szCs w:val="21"/>
                    </w:rPr>
                  </w:pPr>
                  <w:r>
                    <w:rPr>
                      <w:rFonts w:hint="eastAsia"/>
                      <w:color w:val="auto"/>
                      <w:sz w:val="21"/>
                      <w:szCs w:val="21"/>
                    </w:rPr>
                    <w:t>《大气污染物综合排放标准》</w:t>
                  </w:r>
                </w:p>
                <w:p w14:paraId="7EFCD10C">
                  <w:pPr>
                    <w:pStyle w:val="18"/>
                    <w:spacing w:after="0"/>
                    <w:ind w:left="0" w:leftChars="0" w:firstLine="0" w:firstLineChars="0"/>
                    <w:jc w:val="center"/>
                    <w:rPr>
                      <w:rFonts w:hint="eastAsia"/>
                      <w:color w:val="auto"/>
                      <w:sz w:val="21"/>
                      <w:szCs w:val="21"/>
                    </w:rPr>
                  </w:pPr>
                  <w:r>
                    <w:rPr>
                      <w:rFonts w:hint="eastAsia"/>
                      <w:color w:val="auto"/>
                      <w:sz w:val="21"/>
                      <w:szCs w:val="21"/>
                    </w:rPr>
                    <w:t>（DB32/4041-2021）</w:t>
                  </w:r>
                </w:p>
              </w:tc>
            </w:tr>
            <w:tr w14:paraId="065E6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 w:type="pct"/>
                  <w:noWrap w:val="0"/>
                  <w:vAlign w:val="center"/>
                </w:tcPr>
                <w:p w14:paraId="79D37B30">
                  <w:pPr>
                    <w:pStyle w:val="18"/>
                    <w:spacing w:after="0"/>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3</w:t>
                  </w:r>
                </w:p>
              </w:tc>
              <w:tc>
                <w:tcPr>
                  <w:tcW w:w="689" w:type="pct"/>
                  <w:noWrap w:val="0"/>
                  <w:vAlign w:val="center"/>
                </w:tcPr>
                <w:p w14:paraId="59278F37">
                  <w:pPr>
                    <w:pStyle w:val="18"/>
                    <w:spacing w:after="0"/>
                    <w:ind w:left="0" w:leftChars="0" w:firstLine="0" w:firstLineChars="0"/>
                    <w:jc w:val="center"/>
                    <w:rPr>
                      <w:color w:val="auto"/>
                      <w:sz w:val="21"/>
                      <w:szCs w:val="21"/>
                    </w:rPr>
                  </w:pPr>
                  <w:r>
                    <w:rPr>
                      <w:rFonts w:hint="eastAsia"/>
                      <w:color w:val="auto"/>
                      <w:sz w:val="21"/>
                      <w:szCs w:val="21"/>
                    </w:rPr>
                    <w:t>厂区内</w:t>
                  </w:r>
                </w:p>
              </w:tc>
              <w:tc>
                <w:tcPr>
                  <w:tcW w:w="1123" w:type="pct"/>
                  <w:noWrap w:val="0"/>
                  <w:vAlign w:val="center"/>
                </w:tcPr>
                <w:p w14:paraId="66A15726">
                  <w:pPr>
                    <w:pStyle w:val="18"/>
                    <w:spacing w:after="0"/>
                    <w:ind w:left="0" w:leftChars="0" w:firstLine="0" w:firstLineChars="0"/>
                    <w:jc w:val="center"/>
                    <w:rPr>
                      <w:rFonts w:hint="default" w:eastAsia="宋体"/>
                      <w:color w:val="auto"/>
                      <w:sz w:val="21"/>
                      <w:szCs w:val="21"/>
                      <w:lang w:val="en-US" w:eastAsia="zh-CN"/>
                    </w:rPr>
                  </w:pPr>
                  <w:r>
                    <w:rPr>
                      <w:rFonts w:hint="eastAsia"/>
                      <w:color w:val="auto"/>
                      <w:sz w:val="21"/>
                      <w:szCs w:val="21"/>
                    </w:rPr>
                    <w:t>非甲烷总烃</w:t>
                  </w:r>
                </w:p>
              </w:tc>
              <w:tc>
                <w:tcPr>
                  <w:tcW w:w="981" w:type="pct"/>
                  <w:noWrap w:val="0"/>
                  <w:vAlign w:val="center"/>
                </w:tcPr>
                <w:p w14:paraId="6DA07852">
                  <w:pPr>
                    <w:pStyle w:val="18"/>
                    <w:spacing w:after="0"/>
                    <w:ind w:left="0" w:leftChars="0" w:firstLine="0" w:firstLineChars="0"/>
                    <w:jc w:val="center"/>
                    <w:rPr>
                      <w:rFonts w:hint="eastAsia"/>
                      <w:color w:val="auto"/>
                      <w:sz w:val="21"/>
                      <w:szCs w:val="21"/>
                    </w:rPr>
                  </w:pPr>
                  <w:r>
                    <w:rPr>
                      <w:rFonts w:hint="eastAsia"/>
                      <w:color w:val="auto"/>
                      <w:sz w:val="21"/>
                      <w:szCs w:val="21"/>
                    </w:rPr>
                    <w:t>1次/</w:t>
                  </w:r>
                  <w:r>
                    <w:rPr>
                      <w:rFonts w:hint="eastAsia"/>
                      <w:color w:val="auto"/>
                      <w:sz w:val="21"/>
                      <w:szCs w:val="21"/>
                      <w:lang w:val="en-US" w:eastAsia="zh-CN"/>
                    </w:rPr>
                    <w:t>年</w:t>
                  </w:r>
                </w:p>
              </w:tc>
              <w:tc>
                <w:tcPr>
                  <w:tcW w:w="1804" w:type="pct"/>
                  <w:noWrap w:val="0"/>
                  <w:vAlign w:val="center"/>
                </w:tcPr>
                <w:p w14:paraId="36C42E7E">
                  <w:pPr>
                    <w:pStyle w:val="18"/>
                    <w:spacing w:after="0"/>
                    <w:ind w:left="0" w:leftChars="0" w:firstLine="0" w:firstLineChars="0"/>
                    <w:jc w:val="center"/>
                    <w:rPr>
                      <w:rFonts w:hint="eastAsia"/>
                      <w:color w:val="auto"/>
                      <w:sz w:val="21"/>
                      <w:szCs w:val="21"/>
                    </w:rPr>
                  </w:pPr>
                  <w:r>
                    <w:rPr>
                      <w:rFonts w:hint="eastAsia"/>
                      <w:color w:val="auto"/>
                      <w:sz w:val="21"/>
                      <w:szCs w:val="21"/>
                    </w:rPr>
                    <w:t>《大气污染物综合排放标准》</w:t>
                  </w:r>
                </w:p>
                <w:p w14:paraId="354F9586">
                  <w:pPr>
                    <w:pStyle w:val="18"/>
                    <w:spacing w:after="0"/>
                    <w:ind w:left="0" w:leftChars="0" w:firstLine="0" w:firstLineChars="0"/>
                    <w:jc w:val="center"/>
                    <w:rPr>
                      <w:color w:val="auto"/>
                      <w:sz w:val="21"/>
                      <w:szCs w:val="21"/>
                    </w:rPr>
                  </w:pPr>
                  <w:r>
                    <w:rPr>
                      <w:rFonts w:hint="eastAsia"/>
                      <w:color w:val="auto"/>
                      <w:sz w:val="21"/>
                      <w:szCs w:val="21"/>
                    </w:rPr>
                    <w:t>（DB32/4041-2021）</w:t>
                  </w:r>
                </w:p>
              </w:tc>
            </w:tr>
          </w:tbl>
          <w:p w14:paraId="1857606C">
            <w:pPr>
              <w:pStyle w:val="19"/>
              <w:keepNext w:val="0"/>
              <w:keepLines w:val="0"/>
              <w:pageBreakBefore w:val="0"/>
              <w:widowControl w:val="0"/>
              <w:kinsoku/>
              <w:wordWrap/>
              <w:overflowPunct/>
              <w:topLinePunct w:val="0"/>
              <w:bidi w:val="0"/>
              <w:spacing w:line="360" w:lineRule="auto"/>
              <w:ind w:firstLine="480" w:firstLineChars="200"/>
              <w:jc w:val="both"/>
              <w:rPr>
                <w:b w:val="0"/>
                <w:bCs/>
                <w:color w:val="auto"/>
              </w:rPr>
            </w:pPr>
            <w:r>
              <w:rPr>
                <w:rFonts w:hint="eastAsia" w:ascii="Times New Roman" w:hAnsi="Times New Roman" w:cs="Times New Roman"/>
                <w:b w:val="0"/>
                <w:bCs/>
                <w:color w:val="auto"/>
                <w:lang w:val="en-US" w:eastAsia="zh-CN"/>
              </w:rPr>
              <w:t>7</w:t>
            </w:r>
            <w:r>
              <w:rPr>
                <w:rFonts w:ascii="Times New Roman" w:hAnsi="Times New Roman" w:cs="Times New Roman"/>
                <w:b w:val="0"/>
                <w:bCs/>
                <w:color w:val="auto"/>
              </w:rPr>
              <w:t>、</w:t>
            </w:r>
            <w:r>
              <w:rPr>
                <w:rFonts w:hint="eastAsia" w:ascii="Times New Roman" w:hAnsi="Times New Roman" w:cs="Times New Roman"/>
                <w:b w:val="0"/>
                <w:bCs/>
                <w:color w:val="auto"/>
              </w:rPr>
              <w:t>大气环境影响分析结论</w:t>
            </w:r>
          </w:p>
          <w:p w14:paraId="3A573E3F">
            <w:pPr>
              <w:pStyle w:val="19"/>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b w:val="0"/>
                <w:bCs/>
                <w:color w:val="auto"/>
              </w:rPr>
            </w:pPr>
            <w:r>
              <w:rPr>
                <w:rFonts w:hint="eastAsia" w:ascii="Times New Roman" w:hAnsi="Times New Roman"/>
                <w:b w:val="0"/>
                <w:bCs/>
                <w:color w:val="auto"/>
              </w:rPr>
              <w:t>综上所述，项目按照“应收尽收、分质收集”的原则，采用成熟稳定的治理措施处理，废气经处理后可达标排放，采取的废气防治措施可行。废气污染物收集后，经废气处理设施处理后高空排放，未被收集的无组织废气以及烘干废气排放量较小，经大气扩散后对大气环境影响较小，周围环境空气质量可维持现状。同时本项目以</w:t>
            </w:r>
            <w:r>
              <w:rPr>
                <w:rFonts w:hint="eastAsia"/>
                <w:b w:val="0"/>
                <w:bCs/>
                <w:color w:val="auto"/>
                <w:lang w:val="en-US" w:eastAsia="zh-CN"/>
              </w:rPr>
              <w:t>生产厂房</w:t>
            </w:r>
            <w:r>
              <w:rPr>
                <w:rFonts w:hint="eastAsia" w:ascii="Times New Roman" w:hAnsi="Times New Roman"/>
                <w:b w:val="0"/>
                <w:bCs/>
                <w:color w:val="auto"/>
              </w:rPr>
              <w:t>边界向外设置50m卫生防护距离，项目选址符合卫生防护距离的设定要求，项目建成后，该范围内不得新建对环境空气质量要求较高的居民、学校等环境敏感目标。</w:t>
            </w:r>
          </w:p>
          <w:p w14:paraId="22E9E08C">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auto"/>
                <w:szCs w:val="24"/>
              </w:rPr>
            </w:pPr>
            <w:r>
              <w:rPr>
                <w:rFonts w:hint="eastAsia"/>
                <w:b/>
                <w:color w:val="auto"/>
                <w:szCs w:val="24"/>
              </w:rPr>
              <w:t>二</w:t>
            </w:r>
            <w:r>
              <w:rPr>
                <w:b/>
                <w:color w:val="auto"/>
                <w:szCs w:val="24"/>
              </w:rPr>
              <w:t>、废</w:t>
            </w:r>
            <w:r>
              <w:rPr>
                <w:rFonts w:hint="eastAsia"/>
                <w:b/>
                <w:color w:val="auto"/>
                <w:szCs w:val="24"/>
              </w:rPr>
              <w:t>水</w:t>
            </w:r>
          </w:p>
          <w:p w14:paraId="05B6ABA7">
            <w:pPr>
              <w:pStyle w:val="18"/>
              <w:keepNext w:val="0"/>
              <w:keepLines w:val="0"/>
              <w:pageBreakBefore w:val="0"/>
              <w:widowControl w:val="0"/>
              <w:kinsoku/>
              <w:wordWrap/>
              <w:overflowPunct/>
              <w:topLinePunct w:val="0"/>
              <w:bidi w:val="0"/>
              <w:spacing w:after="0" w:line="360" w:lineRule="auto"/>
              <w:ind w:left="0" w:leftChars="0" w:firstLine="480"/>
              <w:jc w:val="both"/>
              <w:rPr>
                <w:color w:val="auto"/>
              </w:rPr>
            </w:pPr>
            <w:r>
              <w:rPr>
                <w:rFonts w:hint="eastAsia"/>
                <w:color w:val="auto"/>
              </w:rPr>
              <w:t>1、废水污染源强分析</w:t>
            </w:r>
          </w:p>
          <w:p w14:paraId="3C7EA3C0">
            <w:pPr>
              <w:pStyle w:val="11"/>
              <w:keepNext w:val="0"/>
              <w:keepLines w:val="0"/>
              <w:pageBreakBefore w:val="0"/>
              <w:widowControl w:val="0"/>
              <w:kinsoku/>
              <w:wordWrap/>
              <w:overflowPunct/>
              <w:topLinePunct w:val="0"/>
              <w:bidi w:val="0"/>
              <w:spacing w:line="360" w:lineRule="auto"/>
              <w:ind w:firstLine="480" w:firstLineChars="200"/>
              <w:jc w:val="both"/>
              <w:rPr>
                <w:rFonts w:hint="default" w:ascii="Times New Roman" w:hAnsi="Times New Roman"/>
                <w:b w:val="0"/>
                <w:bCs w:val="0"/>
                <w:color w:val="auto"/>
                <w:sz w:val="24"/>
                <w:lang w:val="en-US" w:eastAsia="zh-CN"/>
              </w:rPr>
            </w:pPr>
            <w:r>
              <w:rPr>
                <w:rFonts w:hint="eastAsia" w:ascii="Times New Roman" w:hAnsi="Times New Roman"/>
                <w:color w:val="auto"/>
                <w:sz w:val="24"/>
                <w:lang w:val="en-US" w:eastAsia="zh-CN"/>
              </w:rPr>
              <w:t>本项目主要用水为冷却水、员工生活用水，冷却水循环使用，定期补充损耗，不外排；本项目定员16人，参照《建筑给水排水设计标准》（GB50015-2019），生活用水按每人用水量50L/d计，全年按300天计，则生活用水使用量为240t/a</w:t>
            </w:r>
            <w:r>
              <w:rPr>
                <w:rFonts w:hint="default" w:ascii="Times New Roman" w:hAnsi="Times New Roman"/>
                <w:b w:val="0"/>
                <w:bCs w:val="0"/>
                <w:color w:val="auto"/>
                <w:sz w:val="24"/>
                <w:lang w:val="en-US" w:eastAsia="zh-CN"/>
              </w:rPr>
              <w:t>。</w:t>
            </w:r>
          </w:p>
          <w:p w14:paraId="73B28E79">
            <w:pPr>
              <w:pStyle w:val="18"/>
              <w:keepNext w:val="0"/>
              <w:keepLines w:val="0"/>
              <w:pageBreakBefore w:val="0"/>
              <w:widowControl w:val="0"/>
              <w:kinsoku/>
              <w:wordWrap/>
              <w:overflowPunct/>
              <w:topLinePunct w:val="0"/>
              <w:bidi w:val="0"/>
              <w:spacing w:after="0" w:line="360" w:lineRule="auto"/>
              <w:ind w:left="0" w:leftChars="0" w:firstLine="480"/>
              <w:jc w:val="both"/>
              <w:rPr>
                <w:color w:val="auto"/>
              </w:rPr>
            </w:pPr>
            <w:r>
              <w:rPr>
                <w:rFonts w:hint="eastAsia"/>
                <w:color w:val="auto"/>
                <w:sz w:val="24"/>
              </w:rPr>
              <w:t>生活用水损耗率为20%，则生活</w:t>
            </w:r>
            <w:r>
              <w:rPr>
                <w:rFonts w:hint="eastAsia"/>
                <w:color w:val="auto"/>
                <w:sz w:val="24"/>
                <w:lang w:val="en-US" w:eastAsia="zh-CN"/>
              </w:rPr>
              <w:t>污水</w:t>
            </w:r>
            <w:r>
              <w:rPr>
                <w:rFonts w:hint="eastAsia"/>
                <w:color w:val="auto"/>
                <w:sz w:val="24"/>
              </w:rPr>
              <w:t>产生量为</w:t>
            </w:r>
            <w:r>
              <w:rPr>
                <w:rFonts w:hint="eastAsia"/>
                <w:color w:val="auto"/>
                <w:sz w:val="24"/>
                <w:lang w:val="en-US" w:eastAsia="zh-CN"/>
              </w:rPr>
              <w:t>192</w:t>
            </w:r>
            <w:r>
              <w:rPr>
                <w:rFonts w:hint="eastAsia"/>
                <w:color w:val="auto"/>
                <w:sz w:val="24"/>
              </w:rPr>
              <w:t>t/a</w:t>
            </w:r>
            <w:r>
              <w:rPr>
                <w:rFonts w:hint="eastAsia"/>
                <w:color w:val="auto"/>
                <w:sz w:val="24"/>
                <w:lang w:eastAsia="zh-CN"/>
              </w:rPr>
              <w:t>，</w:t>
            </w:r>
            <w:r>
              <w:rPr>
                <w:rFonts w:hint="eastAsia"/>
                <w:color w:val="auto"/>
                <w:sz w:val="24"/>
              </w:rPr>
              <w:t>生活</w:t>
            </w:r>
            <w:r>
              <w:rPr>
                <w:rFonts w:hint="eastAsia"/>
                <w:color w:val="auto"/>
                <w:sz w:val="24"/>
                <w:lang w:val="en-US" w:eastAsia="zh-CN"/>
              </w:rPr>
              <w:t>污</w:t>
            </w:r>
            <w:r>
              <w:rPr>
                <w:rFonts w:hint="eastAsia"/>
                <w:color w:val="auto"/>
                <w:sz w:val="24"/>
              </w:rPr>
              <w:t>水</w:t>
            </w:r>
            <w:r>
              <w:rPr>
                <w:rFonts w:hint="eastAsia"/>
                <w:color w:val="auto"/>
                <w:sz w:val="24"/>
                <w:lang w:val="en-US" w:eastAsia="zh-CN"/>
              </w:rPr>
              <w:t>经租赁厂区</w:t>
            </w:r>
            <w:r>
              <w:rPr>
                <w:rFonts w:hint="eastAsia"/>
                <w:color w:val="auto"/>
                <w:sz w:val="24"/>
              </w:rPr>
              <w:t>化粪池处理后接管至涟水经济开发区西区污水处理厂</w:t>
            </w:r>
            <w:r>
              <w:rPr>
                <w:rFonts w:hint="eastAsia"/>
                <w:color w:val="auto"/>
                <w:sz w:val="24"/>
                <w:lang w:val="en-US" w:eastAsia="zh-CN"/>
              </w:rPr>
              <w:t>集中处置。</w:t>
            </w:r>
          </w:p>
          <w:p w14:paraId="653C784F">
            <w:pPr>
              <w:pStyle w:val="18"/>
              <w:spacing w:after="0" w:line="240" w:lineRule="auto"/>
              <w:ind w:left="0" w:leftChars="0" w:firstLine="0" w:firstLineChars="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11 </w:t>
            </w:r>
            <w:r>
              <w:rPr>
                <w:rFonts w:hint="eastAsia"/>
                <w:b/>
                <w:bCs/>
                <w:color w:val="auto"/>
                <w:sz w:val="21"/>
                <w:szCs w:val="21"/>
              </w:rPr>
              <w:t>本项目废水产生及排放情况一览表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53"/>
              <w:gridCol w:w="882"/>
              <w:gridCol w:w="910"/>
              <w:gridCol w:w="930"/>
              <w:gridCol w:w="950"/>
              <w:gridCol w:w="860"/>
              <w:gridCol w:w="900"/>
              <w:gridCol w:w="752"/>
            </w:tblGrid>
            <w:tr w14:paraId="46F6AF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restart"/>
                  <w:noWrap w:val="0"/>
                  <w:vAlign w:val="center"/>
                </w:tcPr>
                <w:p w14:paraId="69AAFF8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废水类别</w:t>
                  </w:r>
                </w:p>
              </w:tc>
              <w:tc>
                <w:tcPr>
                  <w:tcW w:w="1664" w:type="pct"/>
                  <w:gridSpan w:val="3"/>
                  <w:noWrap w:val="0"/>
                  <w:vAlign w:val="center"/>
                </w:tcPr>
                <w:p w14:paraId="2889572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污染物产生情况</w:t>
                  </w:r>
                </w:p>
              </w:tc>
              <w:tc>
                <w:tcPr>
                  <w:tcW w:w="585" w:type="pct"/>
                  <w:vMerge w:val="restart"/>
                  <w:noWrap w:val="0"/>
                  <w:vAlign w:val="center"/>
                </w:tcPr>
                <w:p w14:paraId="4FD8A203">
                  <w:pPr>
                    <w:pStyle w:val="18"/>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治理措施</w:t>
                  </w:r>
                </w:p>
              </w:tc>
              <w:tc>
                <w:tcPr>
                  <w:tcW w:w="1705" w:type="pct"/>
                  <w:gridSpan w:val="3"/>
                  <w:noWrap w:val="0"/>
                  <w:vAlign w:val="center"/>
                </w:tcPr>
                <w:p w14:paraId="7B54B5F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污染物排放情况</w:t>
                  </w:r>
                </w:p>
              </w:tc>
              <w:tc>
                <w:tcPr>
                  <w:tcW w:w="473" w:type="pct"/>
                  <w:vMerge w:val="restart"/>
                  <w:noWrap w:val="0"/>
                  <w:vAlign w:val="center"/>
                </w:tcPr>
                <w:p w14:paraId="396C207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排放去向</w:t>
                  </w:r>
                </w:p>
              </w:tc>
            </w:tr>
            <w:tr w14:paraId="7EE811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noWrap w:val="0"/>
                  <w:vAlign w:val="center"/>
                </w:tcPr>
                <w:p w14:paraId="1FD435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51ECFF7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名称</w:t>
                  </w:r>
                </w:p>
              </w:tc>
              <w:tc>
                <w:tcPr>
                  <w:tcW w:w="555" w:type="pct"/>
                  <w:noWrap w:val="0"/>
                  <w:vAlign w:val="center"/>
                </w:tcPr>
                <w:p w14:paraId="2DC787C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产生浓度mg/L</w:t>
                  </w:r>
                </w:p>
              </w:tc>
              <w:tc>
                <w:tcPr>
                  <w:tcW w:w="572" w:type="pct"/>
                  <w:noWrap w:val="0"/>
                  <w:vAlign w:val="center"/>
                </w:tcPr>
                <w:p w14:paraId="166481A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产生量t/a</w:t>
                  </w:r>
                </w:p>
              </w:tc>
              <w:tc>
                <w:tcPr>
                  <w:tcW w:w="585" w:type="pct"/>
                  <w:vMerge w:val="continue"/>
                  <w:noWrap w:val="0"/>
                  <w:vAlign w:val="center"/>
                </w:tcPr>
                <w:p w14:paraId="30F03DE8">
                  <w:pPr>
                    <w:pStyle w:val="18"/>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98" w:type="pct"/>
                  <w:noWrap w:val="0"/>
                  <w:vAlign w:val="center"/>
                </w:tcPr>
                <w:p w14:paraId="757F6DB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名称</w:t>
                  </w:r>
                </w:p>
              </w:tc>
              <w:tc>
                <w:tcPr>
                  <w:tcW w:w="541" w:type="pct"/>
                  <w:noWrap w:val="0"/>
                  <w:vAlign w:val="center"/>
                </w:tcPr>
                <w:p w14:paraId="4D1A230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排放浓度mg/L</w:t>
                  </w:r>
                </w:p>
              </w:tc>
              <w:tc>
                <w:tcPr>
                  <w:tcW w:w="566" w:type="pct"/>
                  <w:noWrap w:val="0"/>
                  <w:vAlign w:val="center"/>
                </w:tcPr>
                <w:p w14:paraId="32F2BD8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排放量t/a</w:t>
                  </w:r>
                </w:p>
              </w:tc>
              <w:tc>
                <w:tcPr>
                  <w:tcW w:w="473" w:type="pct"/>
                  <w:vMerge w:val="continue"/>
                  <w:noWrap w:val="0"/>
                  <w:vAlign w:val="center"/>
                </w:tcPr>
                <w:p w14:paraId="6DFEF17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1573F6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0" w:type="pct"/>
                  <w:vMerge w:val="restart"/>
                  <w:noWrap w:val="0"/>
                  <w:vAlign w:val="center"/>
                </w:tcPr>
                <w:p w14:paraId="0284479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生活污水</w:t>
                  </w:r>
                </w:p>
              </w:tc>
              <w:tc>
                <w:tcPr>
                  <w:tcW w:w="536" w:type="pct"/>
                  <w:noWrap w:val="0"/>
                  <w:vAlign w:val="center"/>
                </w:tcPr>
                <w:p w14:paraId="37DB0FE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废水量</w:t>
                  </w:r>
                </w:p>
              </w:tc>
              <w:tc>
                <w:tcPr>
                  <w:tcW w:w="1128" w:type="pct"/>
                  <w:gridSpan w:val="2"/>
                  <w:noWrap w:val="0"/>
                  <w:vAlign w:val="center"/>
                </w:tcPr>
                <w:p w14:paraId="5CC272F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192</w:t>
                  </w:r>
                </w:p>
              </w:tc>
              <w:tc>
                <w:tcPr>
                  <w:tcW w:w="585" w:type="pct"/>
                  <w:vMerge w:val="restart"/>
                  <w:noWrap w:val="0"/>
                  <w:vAlign w:val="center"/>
                </w:tcPr>
                <w:p w14:paraId="5DAF36C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化粪池</w:t>
                  </w:r>
                </w:p>
              </w:tc>
              <w:tc>
                <w:tcPr>
                  <w:tcW w:w="598" w:type="pct"/>
                  <w:noWrap w:val="0"/>
                  <w:vAlign w:val="center"/>
                </w:tcPr>
                <w:p w14:paraId="0F25D9F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废水量</w:t>
                  </w:r>
                </w:p>
              </w:tc>
              <w:tc>
                <w:tcPr>
                  <w:tcW w:w="1107" w:type="pct"/>
                  <w:gridSpan w:val="2"/>
                  <w:noWrap w:val="0"/>
                  <w:vAlign w:val="center"/>
                </w:tcPr>
                <w:p w14:paraId="43FFB2C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192</w:t>
                  </w:r>
                </w:p>
              </w:tc>
              <w:tc>
                <w:tcPr>
                  <w:tcW w:w="473" w:type="pct"/>
                  <w:vMerge w:val="restart"/>
                  <w:noWrap w:val="0"/>
                  <w:vAlign w:val="center"/>
                </w:tcPr>
                <w:p w14:paraId="390126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rPr>
                    <w:t>接管至</w:t>
                  </w:r>
                  <w:r>
                    <w:rPr>
                      <w:rFonts w:hint="eastAsia"/>
                      <w:color w:val="auto"/>
                      <w:sz w:val="21"/>
                      <w:szCs w:val="21"/>
                      <w:lang w:val="en-US" w:eastAsia="zh-CN"/>
                    </w:rPr>
                    <w:t>涟水经济开发区西区污水处理厂</w:t>
                  </w:r>
                </w:p>
              </w:tc>
            </w:tr>
            <w:tr w14:paraId="326AEB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0" w:type="pct"/>
                  <w:vMerge w:val="continue"/>
                  <w:noWrap w:val="0"/>
                  <w:vAlign w:val="center"/>
                </w:tcPr>
                <w:p w14:paraId="3EE4285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7EDB4D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COD</w:t>
                  </w:r>
                </w:p>
              </w:tc>
              <w:tc>
                <w:tcPr>
                  <w:tcW w:w="555" w:type="pct"/>
                  <w:noWrap w:val="0"/>
                  <w:vAlign w:val="center"/>
                </w:tcPr>
                <w:p w14:paraId="47DCC44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350</w:t>
                  </w:r>
                </w:p>
              </w:tc>
              <w:tc>
                <w:tcPr>
                  <w:tcW w:w="910" w:type="dxa"/>
                  <w:noWrap w:val="0"/>
                  <w:vAlign w:val="center"/>
                </w:tcPr>
                <w:p w14:paraId="11A8083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0.0672 </w:t>
                  </w:r>
                </w:p>
              </w:tc>
              <w:tc>
                <w:tcPr>
                  <w:tcW w:w="585" w:type="pct"/>
                  <w:vMerge w:val="continue"/>
                  <w:noWrap w:val="0"/>
                  <w:vAlign w:val="center"/>
                </w:tcPr>
                <w:p w14:paraId="0AC4FDE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2D208C8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COD</w:t>
                  </w:r>
                </w:p>
              </w:tc>
              <w:tc>
                <w:tcPr>
                  <w:tcW w:w="541" w:type="pct"/>
                  <w:noWrap w:val="0"/>
                  <w:vAlign w:val="center"/>
                </w:tcPr>
                <w:p w14:paraId="2ED5E1A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250</w:t>
                  </w:r>
                </w:p>
              </w:tc>
              <w:tc>
                <w:tcPr>
                  <w:tcW w:w="900" w:type="dxa"/>
                  <w:noWrap w:val="0"/>
                  <w:vAlign w:val="center"/>
                </w:tcPr>
                <w:p w14:paraId="04E4998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0.0480 </w:t>
                  </w:r>
                </w:p>
              </w:tc>
              <w:tc>
                <w:tcPr>
                  <w:tcW w:w="473" w:type="pct"/>
                  <w:vMerge w:val="continue"/>
                  <w:noWrap w:val="0"/>
                  <w:vAlign w:val="center"/>
                </w:tcPr>
                <w:p w14:paraId="350E8E7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3BBEA0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0" w:type="pct"/>
                  <w:vMerge w:val="continue"/>
                  <w:noWrap w:val="0"/>
                  <w:vAlign w:val="center"/>
                </w:tcPr>
                <w:p w14:paraId="1101EC5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27C213E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SS</w:t>
                  </w:r>
                </w:p>
              </w:tc>
              <w:tc>
                <w:tcPr>
                  <w:tcW w:w="555" w:type="pct"/>
                  <w:noWrap w:val="0"/>
                  <w:vAlign w:val="center"/>
                </w:tcPr>
                <w:p w14:paraId="599013F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250</w:t>
                  </w:r>
                </w:p>
              </w:tc>
              <w:tc>
                <w:tcPr>
                  <w:tcW w:w="910" w:type="dxa"/>
                  <w:noWrap w:val="0"/>
                  <w:vAlign w:val="center"/>
                </w:tcPr>
                <w:p w14:paraId="10D0130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0.0480 </w:t>
                  </w:r>
                </w:p>
              </w:tc>
              <w:tc>
                <w:tcPr>
                  <w:tcW w:w="585" w:type="pct"/>
                  <w:vMerge w:val="continue"/>
                  <w:noWrap w:val="0"/>
                  <w:vAlign w:val="center"/>
                </w:tcPr>
                <w:p w14:paraId="7F37F7A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0D03974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SS</w:t>
                  </w:r>
                </w:p>
              </w:tc>
              <w:tc>
                <w:tcPr>
                  <w:tcW w:w="541" w:type="pct"/>
                  <w:noWrap w:val="0"/>
                  <w:vAlign w:val="center"/>
                </w:tcPr>
                <w:p w14:paraId="2D61B4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180</w:t>
                  </w:r>
                </w:p>
              </w:tc>
              <w:tc>
                <w:tcPr>
                  <w:tcW w:w="900" w:type="dxa"/>
                  <w:noWrap w:val="0"/>
                  <w:vAlign w:val="center"/>
                </w:tcPr>
                <w:p w14:paraId="106B54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0.0346 </w:t>
                  </w:r>
                </w:p>
              </w:tc>
              <w:tc>
                <w:tcPr>
                  <w:tcW w:w="473" w:type="pct"/>
                  <w:vMerge w:val="continue"/>
                  <w:noWrap w:val="0"/>
                  <w:vAlign w:val="center"/>
                </w:tcPr>
                <w:p w14:paraId="340460D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453EE9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0" w:type="pct"/>
                  <w:vMerge w:val="continue"/>
                  <w:noWrap w:val="0"/>
                  <w:vAlign w:val="center"/>
                </w:tcPr>
                <w:p w14:paraId="65045C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5FE2AC0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-N</w:t>
                  </w:r>
                </w:p>
              </w:tc>
              <w:tc>
                <w:tcPr>
                  <w:tcW w:w="555" w:type="pct"/>
                  <w:noWrap w:val="0"/>
                  <w:vAlign w:val="center"/>
                </w:tcPr>
                <w:p w14:paraId="16701FE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25</w:t>
                  </w:r>
                </w:p>
              </w:tc>
              <w:tc>
                <w:tcPr>
                  <w:tcW w:w="910" w:type="dxa"/>
                  <w:noWrap w:val="0"/>
                  <w:vAlign w:val="center"/>
                </w:tcPr>
                <w:p w14:paraId="70FEF79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0.0048 </w:t>
                  </w:r>
                </w:p>
              </w:tc>
              <w:tc>
                <w:tcPr>
                  <w:tcW w:w="585" w:type="pct"/>
                  <w:vMerge w:val="continue"/>
                  <w:noWrap w:val="0"/>
                  <w:vAlign w:val="center"/>
                </w:tcPr>
                <w:p w14:paraId="7DE6652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6179DE1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-N</w:t>
                  </w:r>
                </w:p>
              </w:tc>
              <w:tc>
                <w:tcPr>
                  <w:tcW w:w="541" w:type="pct"/>
                  <w:noWrap w:val="0"/>
                  <w:vAlign w:val="center"/>
                </w:tcPr>
                <w:p w14:paraId="0A43CFA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25</w:t>
                  </w:r>
                </w:p>
              </w:tc>
              <w:tc>
                <w:tcPr>
                  <w:tcW w:w="900" w:type="dxa"/>
                  <w:noWrap w:val="0"/>
                  <w:vAlign w:val="center"/>
                </w:tcPr>
                <w:p w14:paraId="4323177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0.0048 </w:t>
                  </w:r>
                </w:p>
              </w:tc>
              <w:tc>
                <w:tcPr>
                  <w:tcW w:w="473" w:type="pct"/>
                  <w:vMerge w:val="continue"/>
                  <w:noWrap w:val="0"/>
                  <w:vAlign w:val="center"/>
                </w:tcPr>
                <w:p w14:paraId="53F2A54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39644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0" w:type="pct"/>
                  <w:vMerge w:val="continue"/>
                  <w:noWrap w:val="0"/>
                  <w:vAlign w:val="center"/>
                </w:tcPr>
                <w:p w14:paraId="2CF9D65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7254609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TN</w:t>
                  </w:r>
                </w:p>
              </w:tc>
              <w:tc>
                <w:tcPr>
                  <w:tcW w:w="555" w:type="pct"/>
                  <w:noWrap w:val="0"/>
                  <w:vAlign w:val="center"/>
                </w:tcPr>
                <w:p w14:paraId="56C0E2F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35</w:t>
                  </w:r>
                </w:p>
              </w:tc>
              <w:tc>
                <w:tcPr>
                  <w:tcW w:w="910" w:type="dxa"/>
                  <w:noWrap w:val="0"/>
                  <w:vAlign w:val="center"/>
                </w:tcPr>
                <w:p w14:paraId="18C11EF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0.0067 </w:t>
                  </w:r>
                </w:p>
              </w:tc>
              <w:tc>
                <w:tcPr>
                  <w:tcW w:w="585" w:type="pct"/>
                  <w:vMerge w:val="continue"/>
                  <w:noWrap w:val="0"/>
                  <w:vAlign w:val="center"/>
                </w:tcPr>
                <w:p w14:paraId="3ECAA23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25128D4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TN</w:t>
                  </w:r>
                </w:p>
              </w:tc>
              <w:tc>
                <w:tcPr>
                  <w:tcW w:w="541" w:type="pct"/>
                  <w:noWrap w:val="0"/>
                  <w:vAlign w:val="center"/>
                </w:tcPr>
                <w:p w14:paraId="30C5F06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35</w:t>
                  </w:r>
                </w:p>
              </w:tc>
              <w:tc>
                <w:tcPr>
                  <w:tcW w:w="900" w:type="dxa"/>
                  <w:noWrap w:val="0"/>
                  <w:vAlign w:val="center"/>
                </w:tcPr>
                <w:p w14:paraId="75E4F24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0.0067 </w:t>
                  </w:r>
                </w:p>
              </w:tc>
              <w:tc>
                <w:tcPr>
                  <w:tcW w:w="473" w:type="pct"/>
                  <w:vMerge w:val="continue"/>
                  <w:noWrap w:val="0"/>
                  <w:vAlign w:val="center"/>
                </w:tcPr>
                <w:p w14:paraId="5AA0C15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6C5D2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70" w:type="pct"/>
                  <w:vMerge w:val="continue"/>
                  <w:noWrap w:val="0"/>
                  <w:vAlign w:val="center"/>
                </w:tcPr>
                <w:p w14:paraId="54AD543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C162C5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TP</w:t>
                  </w:r>
                </w:p>
              </w:tc>
              <w:tc>
                <w:tcPr>
                  <w:tcW w:w="555" w:type="pct"/>
                  <w:noWrap w:val="0"/>
                  <w:vAlign w:val="center"/>
                </w:tcPr>
                <w:p w14:paraId="7051327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4</w:t>
                  </w:r>
                </w:p>
              </w:tc>
              <w:tc>
                <w:tcPr>
                  <w:tcW w:w="910" w:type="dxa"/>
                  <w:noWrap w:val="0"/>
                  <w:vAlign w:val="center"/>
                </w:tcPr>
                <w:p w14:paraId="617198B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0.0008 </w:t>
                  </w:r>
                </w:p>
              </w:tc>
              <w:tc>
                <w:tcPr>
                  <w:tcW w:w="585" w:type="pct"/>
                  <w:vMerge w:val="continue"/>
                  <w:noWrap w:val="0"/>
                  <w:vAlign w:val="center"/>
                </w:tcPr>
                <w:p w14:paraId="166A6CE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2CEBD10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TP</w:t>
                  </w:r>
                </w:p>
              </w:tc>
              <w:tc>
                <w:tcPr>
                  <w:tcW w:w="541" w:type="pct"/>
                  <w:noWrap w:val="0"/>
                  <w:vAlign w:val="center"/>
                </w:tcPr>
                <w:p w14:paraId="556F00B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4</w:t>
                  </w:r>
                </w:p>
              </w:tc>
              <w:tc>
                <w:tcPr>
                  <w:tcW w:w="900" w:type="dxa"/>
                  <w:noWrap w:val="0"/>
                  <w:vAlign w:val="center"/>
                </w:tcPr>
                <w:p w14:paraId="5DA150D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 xml:space="preserve">0.0008 </w:t>
                  </w:r>
                </w:p>
              </w:tc>
              <w:tc>
                <w:tcPr>
                  <w:tcW w:w="473" w:type="pct"/>
                  <w:vMerge w:val="continue"/>
                  <w:noWrap w:val="0"/>
                  <w:vAlign w:val="center"/>
                </w:tcPr>
                <w:p w14:paraId="11AE422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bl>
          <w:p w14:paraId="38D4CD50">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color w:val="auto"/>
              </w:rPr>
            </w:pPr>
            <w:r>
              <w:rPr>
                <w:rFonts w:hint="eastAsia"/>
                <w:color w:val="auto"/>
              </w:rPr>
              <w:t>2、废水污染防治技术可行性分析</w:t>
            </w:r>
          </w:p>
          <w:p w14:paraId="30E55E53">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auto"/>
              </w:rPr>
            </w:pPr>
            <w:r>
              <w:rPr>
                <w:rFonts w:hint="eastAsia"/>
                <w:color w:val="auto"/>
                <w:lang w:val="en-US" w:eastAsia="zh-CN"/>
              </w:rPr>
              <w:t>参考</w:t>
            </w:r>
            <w:r>
              <w:rPr>
                <w:color w:val="auto"/>
              </w:rPr>
              <w:t>《排污许可证申请与核发技术规范</w:t>
            </w:r>
            <w:r>
              <w:rPr>
                <w:rFonts w:hint="eastAsia"/>
                <w:color w:val="auto"/>
              </w:rPr>
              <w:t>橡胶和塑料制品工业</w:t>
            </w:r>
            <w:r>
              <w:rPr>
                <w:color w:val="auto"/>
              </w:rPr>
              <w:t>》（HJ1</w:t>
            </w:r>
            <w:r>
              <w:rPr>
                <w:rFonts w:hint="eastAsia"/>
                <w:color w:val="auto"/>
              </w:rPr>
              <w:t>122</w:t>
            </w:r>
            <w:r>
              <w:rPr>
                <w:color w:val="auto"/>
              </w:rPr>
              <w:t>-20</w:t>
            </w:r>
            <w:r>
              <w:rPr>
                <w:rFonts w:hint="eastAsia"/>
                <w:color w:val="auto"/>
              </w:rPr>
              <w:t>20</w:t>
            </w:r>
            <w:r>
              <w:rPr>
                <w:color w:val="auto"/>
              </w:rPr>
              <w:t>）附录</w:t>
            </w:r>
            <w:r>
              <w:rPr>
                <w:rFonts w:hint="eastAsia"/>
                <w:color w:val="auto"/>
              </w:rPr>
              <w:t>A</w:t>
            </w:r>
            <w:r>
              <w:rPr>
                <w:color w:val="auto"/>
              </w:rPr>
              <w:t>中表</w:t>
            </w:r>
            <w:r>
              <w:rPr>
                <w:rFonts w:hint="eastAsia"/>
                <w:color w:val="auto"/>
              </w:rPr>
              <w:t>A</w:t>
            </w:r>
            <w:r>
              <w:rPr>
                <w:color w:val="auto"/>
              </w:rPr>
              <w:t>.</w:t>
            </w:r>
            <w:r>
              <w:rPr>
                <w:rFonts w:hint="eastAsia"/>
                <w:color w:val="auto"/>
              </w:rPr>
              <w:t>4</w:t>
            </w:r>
            <w:r>
              <w:rPr>
                <w:color w:val="auto"/>
              </w:rPr>
              <w:t>中提</w:t>
            </w:r>
            <w:r>
              <w:rPr>
                <w:rFonts w:hint="eastAsia"/>
                <w:color w:val="auto"/>
              </w:rPr>
              <w:t>供的用于</w:t>
            </w:r>
            <w:r>
              <w:rPr>
                <w:color w:val="auto"/>
              </w:rPr>
              <w:t>治理</w:t>
            </w:r>
            <w:r>
              <w:rPr>
                <w:rFonts w:hint="eastAsia"/>
                <w:color w:val="auto"/>
              </w:rPr>
              <w:t>生活污水的</w:t>
            </w:r>
            <w:r>
              <w:rPr>
                <w:color w:val="auto"/>
              </w:rPr>
              <w:t>可行技术为</w:t>
            </w:r>
            <w:r>
              <w:rPr>
                <w:rFonts w:hint="eastAsia" w:ascii="宋体" w:hAnsi="宋体" w:cs="宋体"/>
                <w:color w:val="auto"/>
              </w:rPr>
              <w:t>“</w:t>
            </w:r>
            <w:r>
              <w:rPr>
                <w:color w:val="auto"/>
              </w:rPr>
              <w:t>隔油池、化粪池、调节池、厌氧-好氧、兼性-好氧、好氧生物处理</w:t>
            </w:r>
            <w:r>
              <w:rPr>
                <w:rFonts w:hint="eastAsia" w:ascii="宋体" w:hAnsi="宋体" w:cs="宋体"/>
                <w:color w:val="auto"/>
              </w:rPr>
              <w:t>”</w:t>
            </w:r>
            <w:r>
              <w:rPr>
                <w:rFonts w:hint="eastAsia"/>
                <w:color w:val="auto"/>
              </w:rPr>
              <w:t>。</w:t>
            </w:r>
            <w:r>
              <w:rPr>
                <w:color w:val="auto"/>
              </w:rPr>
              <w:t>本</w:t>
            </w:r>
            <w:r>
              <w:rPr>
                <w:rFonts w:hint="eastAsia"/>
                <w:color w:val="auto"/>
              </w:rPr>
              <w:t>项目主要废水为员工生活污水，生活污水依托租赁企业厂区内现有化粪池预处理</w:t>
            </w:r>
            <w:r>
              <w:rPr>
                <w:rFonts w:hint="eastAsia"/>
                <w:color w:val="auto"/>
                <w:lang w:val="en-US" w:eastAsia="zh-CN"/>
              </w:rPr>
              <w:t>后接管至涟水经济开发区西区污水处理厂</w:t>
            </w:r>
            <w:r>
              <w:rPr>
                <w:rFonts w:hint="eastAsia"/>
                <w:color w:val="auto"/>
              </w:rPr>
              <w:t>，为</w:t>
            </w:r>
            <w:r>
              <w:rPr>
                <w:color w:val="auto"/>
              </w:rPr>
              <w:t>《排污许可证申请与核发技术规范</w:t>
            </w:r>
            <w:r>
              <w:rPr>
                <w:rFonts w:hint="eastAsia"/>
                <w:color w:val="auto"/>
              </w:rPr>
              <w:t>橡胶和塑料制品工业</w:t>
            </w:r>
            <w:r>
              <w:rPr>
                <w:color w:val="auto"/>
              </w:rPr>
              <w:t>》（HJ1</w:t>
            </w:r>
            <w:r>
              <w:rPr>
                <w:rFonts w:hint="eastAsia"/>
                <w:color w:val="auto"/>
              </w:rPr>
              <w:t>122</w:t>
            </w:r>
            <w:r>
              <w:rPr>
                <w:color w:val="auto"/>
              </w:rPr>
              <w:t>-20</w:t>
            </w:r>
            <w:r>
              <w:rPr>
                <w:rFonts w:hint="eastAsia"/>
                <w:color w:val="auto"/>
              </w:rPr>
              <w:t>20</w:t>
            </w:r>
            <w:r>
              <w:rPr>
                <w:color w:val="auto"/>
              </w:rPr>
              <w:t>）</w:t>
            </w:r>
            <w:r>
              <w:rPr>
                <w:rFonts w:hint="eastAsia"/>
                <w:color w:val="auto"/>
              </w:rPr>
              <w:t>中提供的可行技术。</w:t>
            </w:r>
          </w:p>
          <w:p w14:paraId="55C3E30A">
            <w:pPr>
              <w:pStyle w:val="18"/>
              <w:keepNext w:val="0"/>
              <w:keepLines w:val="0"/>
              <w:pageBreakBefore w:val="0"/>
              <w:widowControl w:val="0"/>
              <w:numPr>
                <w:ilvl w:val="0"/>
                <w:numId w:val="0"/>
              </w:numPr>
              <w:kinsoku/>
              <w:wordWrap/>
              <w:overflowPunct/>
              <w:topLinePunct w:val="0"/>
              <w:bidi w:val="0"/>
              <w:spacing w:after="0" w:line="360" w:lineRule="auto"/>
              <w:ind w:leftChars="0" w:firstLine="480" w:firstLineChars="200"/>
              <w:jc w:val="both"/>
              <w:textAlignment w:val="auto"/>
              <w:rPr>
                <w:rFonts w:hint="eastAsia"/>
                <w:color w:val="auto"/>
              </w:rPr>
            </w:pPr>
            <w:r>
              <w:rPr>
                <w:rFonts w:hint="eastAsia"/>
                <w:color w:val="auto"/>
                <w:lang w:val="en-US" w:eastAsia="zh-CN"/>
              </w:rPr>
              <w:t>3、</w:t>
            </w:r>
            <w:r>
              <w:rPr>
                <w:rFonts w:hint="eastAsia"/>
                <w:color w:val="auto"/>
              </w:rPr>
              <w:t>水环境影响分析</w:t>
            </w:r>
          </w:p>
          <w:p w14:paraId="0423FAEC">
            <w:pPr>
              <w:pStyle w:val="19"/>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b/>
                <w:bCs/>
                <w:color w:val="auto"/>
                <w:sz w:val="21"/>
                <w:szCs w:val="21"/>
              </w:rPr>
            </w:pPr>
            <w:r>
              <w:rPr>
                <w:rFonts w:hint="eastAsia"/>
                <w:b w:val="0"/>
                <w:bCs/>
                <w:color w:val="auto"/>
                <w:lang w:val="en-US" w:eastAsia="zh-CN"/>
              </w:rPr>
              <w:t>本项目废水类别、污染物及污染治理设施信息见下表。</w:t>
            </w:r>
          </w:p>
          <w:p w14:paraId="085B630A">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205155B1">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2514E85B">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12 </w:t>
            </w:r>
            <w:r>
              <w:rPr>
                <w:rFonts w:hint="eastAsia"/>
                <w:b/>
                <w:bCs/>
                <w:color w:val="auto"/>
                <w:sz w:val="21"/>
                <w:szCs w:val="21"/>
              </w:rPr>
              <w:t>本项目废水类别、污染物及污染治理设施信息表</w:t>
            </w:r>
          </w:p>
          <w:tbl>
            <w:tblPr>
              <w:tblStyle w:val="23"/>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7"/>
              <w:gridCol w:w="468"/>
              <w:gridCol w:w="833"/>
              <w:gridCol w:w="705"/>
              <w:gridCol w:w="743"/>
              <w:gridCol w:w="601"/>
              <w:gridCol w:w="628"/>
              <w:gridCol w:w="642"/>
              <w:gridCol w:w="853"/>
              <w:gridCol w:w="608"/>
              <w:gridCol w:w="1428"/>
            </w:tblGrid>
            <w:tr w14:paraId="64730B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9" w:type="pct"/>
                  <w:vMerge w:val="restart"/>
                  <w:tcBorders>
                    <w:tl2br w:val="nil"/>
                    <w:tr2bl w:val="nil"/>
                  </w:tcBorders>
                  <w:noWrap w:val="0"/>
                  <w:vAlign w:val="center"/>
                </w:tcPr>
                <w:p w14:paraId="214133C4">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序号</w:t>
                  </w:r>
                </w:p>
              </w:tc>
              <w:tc>
                <w:tcPr>
                  <w:tcW w:w="294" w:type="pct"/>
                  <w:vMerge w:val="restart"/>
                  <w:tcBorders>
                    <w:tl2br w:val="nil"/>
                    <w:tr2bl w:val="nil"/>
                  </w:tcBorders>
                  <w:noWrap w:val="0"/>
                  <w:vAlign w:val="center"/>
                </w:tcPr>
                <w:p w14:paraId="4B85E0E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废水类别</w:t>
                  </w:r>
                </w:p>
              </w:tc>
              <w:tc>
                <w:tcPr>
                  <w:tcW w:w="524" w:type="pct"/>
                  <w:vMerge w:val="restart"/>
                  <w:tcBorders>
                    <w:tl2br w:val="nil"/>
                    <w:tr2bl w:val="nil"/>
                  </w:tcBorders>
                  <w:noWrap w:val="0"/>
                  <w:vAlign w:val="center"/>
                </w:tcPr>
                <w:p w14:paraId="1362C43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污染物种类</w:t>
                  </w:r>
                </w:p>
              </w:tc>
              <w:tc>
                <w:tcPr>
                  <w:tcW w:w="444" w:type="pct"/>
                  <w:vMerge w:val="restart"/>
                  <w:tcBorders>
                    <w:tl2br w:val="nil"/>
                    <w:tr2bl w:val="nil"/>
                  </w:tcBorders>
                  <w:noWrap w:val="0"/>
                  <w:vAlign w:val="center"/>
                </w:tcPr>
                <w:p w14:paraId="6B9BC61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排放去向</w:t>
                  </w:r>
                </w:p>
              </w:tc>
              <w:tc>
                <w:tcPr>
                  <w:tcW w:w="468" w:type="pct"/>
                  <w:vMerge w:val="restart"/>
                  <w:tcBorders>
                    <w:tl2br w:val="nil"/>
                    <w:tr2bl w:val="nil"/>
                  </w:tcBorders>
                  <w:noWrap w:val="0"/>
                  <w:vAlign w:val="center"/>
                </w:tcPr>
                <w:p w14:paraId="6277367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排放规律</w:t>
                  </w:r>
                </w:p>
              </w:tc>
              <w:tc>
                <w:tcPr>
                  <w:tcW w:w="1178" w:type="pct"/>
                  <w:gridSpan w:val="3"/>
                  <w:tcBorders>
                    <w:tl2br w:val="nil"/>
                    <w:tr2bl w:val="nil"/>
                  </w:tcBorders>
                  <w:noWrap w:val="0"/>
                  <w:vAlign w:val="center"/>
                </w:tcPr>
                <w:p w14:paraId="3A278AAE">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w:t>
                  </w:r>
                </w:p>
              </w:tc>
              <w:tc>
                <w:tcPr>
                  <w:tcW w:w="537" w:type="pct"/>
                  <w:vMerge w:val="restart"/>
                  <w:tcBorders>
                    <w:tl2br w:val="nil"/>
                    <w:tr2bl w:val="nil"/>
                  </w:tcBorders>
                  <w:noWrap w:val="0"/>
                  <w:vAlign w:val="center"/>
                </w:tcPr>
                <w:p w14:paraId="7811241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排放口编号</w:t>
                  </w:r>
                </w:p>
              </w:tc>
              <w:tc>
                <w:tcPr>
                  <w:tcW w:w="383" w:type="pct"/>
                  <w:vMerge w:val="restart"/>
                  <w:tcBorders>
                    <w:tl2br w:val="nil"/>
                    <w:tr2bl w:val="nil"/>
                  </w:tcBorders>
                  <w:noWrap w:val="0"/>
                  <w:vAlign w:val="center"/>
                </w:tcPr>
                <w:p w14:paraId="39E26432">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排放口设置是否符合要求</w:t>
                  </w:r>
                </w:p>
              </w:tc>
              <w:tc>
                <w:tcPr>
                  <w:tcW w:w="899" w:type="pct"/>
                  <w:vMerge w:val="restart"/>
                  <w:tcBorders>
                    <w:tl2br w:val="nil"/>
                    <w:tr2bl w:val="nil"/>
                  </w:tcBorders>
                  <w:noWrap w:val="0"/>
                  <w:vAlign w:val="center"/>
                </w:tcPr>
                <w:p w14:paraId="1A3C9205">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排放口类型</w:t>
                  </w:r>
                </w:p>
              </w:tc>
            </w:tr>
            <w:tr w14:paraId="27098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9" w:type="pct"/>
                  <w:vMerge w:val="continue"/>
                  <w:tcBorders>
                    <w:tl2br w:val="nil"/>
                    <w:tr2bl w:val="nil"/>
                  </w:tcBorders>
                  <w:noWrap w:val="0"/>
                  <w:vAlign w:val="center"/>
                </w:tcPr>
                <w:p w14:paraId="4246F22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294" w:type="pct"/>
                  <w:vMerge w:val="continue"/>
                  <w:tcBorders>
                    <w:tl2br w:val="nil"/>
                    <w:tr2bl w:val="nil"/>
                  </w:tcBorders>
                  <w:noWrap w:val="0"/>
                  <w:vAlign w:val="center"/>
                </w:tcPr>
                <w:p w14:paraId="2F5960C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524" w:type="pct"/>
                  <w:vMerge w:val="continue"/>
                  <w:tcBorders>
                    <w:tl2br w:val="nil"/>
                    <w:tr2bl w:val="nil"/>
                  </w:tcBorders>
                  <w:noWrap w:val="0"/>
                  <w:vAlign w:val="center"/>
                </w:tcPr>
                <w:p w14:paraId="4D50D75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444" w:type="pct"/>
                  <w:vMerge w:val="continue"/>
                  <w:tcBorders>
                    <w:tl2br w:val="nil"/>
                    <w:tr2bl w:val="nil"/>
                  </w:tcBorders>
                  <w:noWrap w:val="0"/>
                  <w:vAlign w:val="center"/>
                </w:tcPr>
                <w:p w14:paraId="22FE2B15">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468" w:type="pct"/>
                  <w:vMerge w:val="continue"/>
                  <w:tcBorders>
                    <w:tl2br w:val="nil"/>
                    <w:tr2bl w:val="nil"/>
                  </w:tcBorders>
                  <w:noWrap w:val="0"/>
                  <w:vAlign w:val="center"/>
                </w:tcPr>
                <w:p w14:paraId="0732DAE5">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78" w:type="pct"/>
                  <w:tcBorders>
                    <w:tl2br w:val="nil"/>
                    <w:tr2bl w:val="nil"/>
                  </w:tcBorders>
                  <w:noWrap w:val="0"/>
                  <w:vAlign w:val="center"/>
                </w:tcPr>
                <w:p w14:paraId="04FDD45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污染治理设施编号</w:t>
                  </w:r>
                </w:p>
              </w:tc>
              <w:tc>
                <w:tcPr>
                  <w:tcW w:w="395" w:type="pct"/>
                  <w:tcBorders>
                    <w:tl2br w:val="nil"/>
                    <w:tr2bl w:val="nil"/>
                  </w:tcBorders>
                  <w:noWrap w:val="0"/>
                  <w:vAlign w:val="center"/>
                </w:tcPr>
                <w:p w14:paraId="18DD030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污染治理设施名称</w:t>
                  </w:r>
                </w:p>
              </w:tc>
              <w:tc>
                <w:tcPr>
                  <w:tcW w:w="404" w:type="pct"/>
                  <w:tcBorders>
                    <w:tl2br w:val="nil"/>
                    <w:tr2bl w:val="nil"/>
                  </w:tcBorders>
                  <w:noWrap w:val="0"/>
                  <w:vAlign w:val="center"/>
                </w:tcPr>
                <w:p w14:paraId="4B2B722E">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污染治理设置工艺</w:t>
                  </w:r>
                </w:p>
              </w:tc>
              <w:tc>
                <w:tcPr>
                  <w:tcW w:w="537" w:type="pct"/>
                  <w:vMerge w:val="continue"/>
                  <w:tcBorders>
                    <w:tl2br w:val="nil"/>
                    <w:tr2bl w:val="nil"/>
                  </w:tcBorders>
                  <w:noWrap w:val="0"/>
                  <w:vAlign w:val="center"/>
                </w:tcPr>
                <w:p w14:paraId="6B81183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83" w:type="pct"/>
                  <w:vMerge w:val="continue"/>
                  <w:tcBorders>
                    <w:tl2br w:val="nil"/>
                    <w:tr2bl w:val="nil"/>
                  </w:tcBorders>
                  <w:noWrap w:val="0"/>
                  <w:vAlign w:val="center"/>
                </w:tcPr>
                <w:p w14:paraId="5908356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899" w:type="pct"/>
                  <w:vMerge w:val="continue"/>
                  <w:tcBorders>
                    <w:tl2br w:val="nil"/>
                    <w:tr2bl w:val="nil"/>
                  </w:tcBorders>
                  <w:noWrap w:val="0"/>
                  <w:vAlign w:val="center"/>
                </w:tcPr>
                <w:p w14:paraId="33DAE66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r>
            <w:tr w14:paraId="1274E9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269" w:type="pct"/>
                  <w:tcBorders>
                    <w:tl2br w:val="nil"/>
                    <w:tr2bl w:val="nil"/>
                  </w:tcBorders>
                  <w:noWrap w:val="0"/>
                  <w:vAlign w:val="center"/>
                </w:tcPr>
                <w:p w14:paraId="1DC969B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737B24EC">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1</w:t>
                  </w:r>
                </w:p>
              </w:tc>
              <w:tc>
                <w:tcPr>
                  <w:tcW w:w="294" w:type="pct"/>
                  <w:tcBorders>
                    <w:tl2br w:val="nil"/>
                    <w:tr2bl w:val="nil"/>
                  </w:tcBorders>
                  <w:noWrap w:val="0"/>
                  <w:vAlign w:val="center"/>
                </w:tcPr>
                <w:p w14:paraId="6F9C2A0A">
                  <w:pPr>
                    <w:keepNext w:val="0"/>
                    <w:keepLines w:val="0"/>
                    <w:suppressLineNumbers w:val="0"/>
                    <w:adjustRightInd w:val="0"/>
                    <w:snapToGrid w:val="0"/>
                    <w:spacing w:before="0" w:beforeAutospacing="0" w:after="0" w:afterAutospacing="0"/>
                    <w:ind w:left="0" w:right="0"/>
                    <w:jc w:val="center"/>
                    <w:rPr>
                      <w:rFonts w:hint="eastAsia" w:eastAsia="宋体" w:cs="宋体"/>
                      <w:bCs/>
                      <w:color w:val="auto"/>
                      <w:spacing w:val="-11"/>
                      <w:sz w:val="21"/>
                      <w:szCs w:val="21"/>
                      <w:lang w:eastAsia="zh-CN"/>
                    </w:rPr>
                  </w:pPr>
                  <w:r>
                    <w:rPr>
                      <w:rFonts w:hint="eastAsia" w:cs="宋体"/>
                      <w:bCs/>
                      <w:color w:val="auto"/>
                      <w:spacing w:val="-11"/>
                      <w:sz w:val="21"/>
                      <w:szCs w:val="21"/>
                      <w:lang w:val="en-US" w:eastAsia="zh-CN"/>
                    </w:rPr>
                    <w:t>生活污水</w:t>
                  </w:r>
                </w:p>
              </w:tc>
              <w:tc>
                <w:tcPr>
                  <w:tcW w:w="524" w:type="pct"/>
                  <w:tcBorders>
                    <w:tl2br w:val="nil"/>
                    <w:tr2bl w:val="nil"/>
                  </w:tcBorders>
                  <w:noWrap w:val="0"/>
                  <w:vAlign w:val="center"/>
                </w:tcPr>
                <w:p w14:paraId="35DEE4DA">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rPr>
                    <w:t>COD、SS、NH</w:t>
                  </w:r>
                  <w:r>
                    <w:rPr>
                      <w:rFonts w:hint="eastAsia" w:cs="宋体"/>
                      <w:bCs/>
                      <w:color w:val="auto"/>
                      <w:spacing w:val="-11"/>
                      <w:sz w:val="21"/>
                      <w:szCs w:val="21"/>
                      <w:vertAlign w:val="subscript"/>
                    </w:rPr>
                    <w:t>3</w:t>
                  </w:r>
                  <w:r>
                    <w:rPr>
                      <w:rFonts w:hint="eastAsia" w:cs="宋体"/>
                      <w:bCs/>
                      <w:color w:val="auto"/>
                      <w:spacing w:val="-11"/>
                      <w:sz w:val="21"/>
                      <w:szCs w:val="21"/>
                    </w:rPr>
                    <w:t>-</w:t>
                  </w:r>
                  <w:r>
                    <w:rPr>
                      <w:rFonts w:hint="eastAsia" w:cs="宋体"/>
                      <w:bCs/>
                      <w:color w:val="auto"/>
                      <w:spacing w:val="-11"/>
                      <w:sz w:val="21"/>
                      <w:szCs w:val="21"/>
                      <w:lang w:val="en-US" w:eastAsia="zh-CN"/>
                    </w:rPr>
                    <w:t>N</w:t>
                  </w:r>
                  <w:r>
                    <w:rPr>
                      <w:rFonts w:hint="eastAsia" w:cs="宋体"/>
                      <w:bCs/>
                      <w:color w:val="auto"/>
                      <w:spacing w:val="-11"/>
                      <w:sz w:val="21"/>
                      <w:szCs w:val="21"/>
                    </w:rPr>
                    <w:t>、TP、TN</w:t>
                  </w:r>
                </w:p>
              </w:tc>
              <w:tc>
                <w:tcPr>
                  <w:tcW w:w="444" w:type="pct"/>
                  <w:tcBorders>
                    <w:tl2br w:val="nil"/>
                    <w:tr2bl w:val="nil"/>
                  </w:tcBorders>
                  <w:noWrap w:val="0"/>
                  <w:vAlign w:val="center"/>
                </w:tcPr>
                <w:p w14:paraId="1C45244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62938B61">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涟水经济开发区西区污水处理厂</w:t>
                  </w:r>
                </w:p>
              </w:tc>
              <w:tc>
                <w:tcPr>
                  <w:tcW w:w="468" w:type="pct"/>
                  <w:tcBorders>
                    <w:tl2br w:val="nil"/>
                    <w:tr2bl w:val="nil"/>
                  </w:tcBorders>
                  <w:noWrap w:val="0"/>
                  <w:vAlign w:val="center"/>
                </w:tcPr>
                <w:p w14:paraId="7D6BE88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00B9CD6A">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间断排放，排放期间流量不稳定</w:t>
                  </w:r>
                </w:p>
              </w:tc>
              <w:tc>
                <w:tcPr>
                  <w:tcW w:w="378" w:type="pct"/>
                  <w:tcBorders>
                    <w:tl2br w:val="nil"/>
                    <w:tr2bl w:val="nil"/>
                  </w:tcBorders>
                  <w:noWrap w:val="0"/>
                  <w:vAlign w:val="center"/>
                </w:tcPr>
                <w:p w14:paraId="6561F743">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4EDFC32E">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TW001</w:t>
                  </w:r>
                </w:p>
              </w:tc>
              <w:tc>
                <w:tcPr>
                  <w:tcW w:w="395" w:type="pct"/>
                  <w:tcBorders>
                    <w:tl2br w:val="nil"/>
                    <w:tr2bl w:val="nil"/>
                  </w:tcBorders>
                  <w:noWrap w:val="0"/>
                  <w:vAlign w:val="center"/>
                </w:tcPr>
                <w:p w14:paraId="4A61142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化粪池</w:t>
                  </w:r>
                </w:p>
              </w:tc>
              <w:tc>
                <w:tcPr>
                  <w:tcW w:w="404" w:type="pct"/>
                  <w:tcBorders>
                    <w:tl2br w:val="nil"/>
                    <w:tr2bl w:val="nil"/>
                  </w:tcBorders>
                  <w:noWrap w:val="0"/>
                  <w:vAlign w:val="center"/>
                </w:tcPr>
                <w:p w14:paraId="4E7093B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03D5E4B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w:t>
                  </w:r>
                </w:p>
                <w:p w14:paraId="046BB1F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537" w:type="pct"/>
                  <w:tcBorders>
                    <w:tl2br w:val="nil"/>
                    <w:tr2bl w:val="nil"/>
                  </w:tcBorders>
                  <w:noWrap w:val="0"/>
                  <w:vAlign w:val="center"/>
                </w:tcPr>
                <w:p w14:paraId="720258A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2BCCC2A1">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DW001</w:t>
                  </w:r>
                </w:p>
                <w:p w14:paraId="7AB46F6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83" w:type="pct"/>
                  <w:tcBorders>
                    <w:tl2br w:val="nil"/>
                    <w:tr2bl w:val="nil"/>
                  </w:tcBorders>
                  <w:noWrap w:val="0"/>
                  <w:vAlign w:val="center"/>
                </w:tcPr>
                <w:p w14:paraId="487AA42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0805CF6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3AED1F2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color w:val="auto"/>
                      <w:sz w:val="21"/>
                      <w:szCs w:val="21"/>
                    </w:rPr>
                    <w:t>☑</w:t>
                  </w:r>
                  <w:r>
                    <w:rPr>
                      <w:rFonts w:hint="eastAsia" w:cs="宋体"/>
                      <w:bCs/>
                      <w:color w:val="auto"/>
                      <w:spacing w:val="-11"/>
                      <w:sz w:val="21"/>
                      <w:szCs w:val="21"/>
                    </w:rPr>
                    <w:t>是</w:t>
                  </w:r>
                </w:p>
                <w:p w14:paraId="3B3FE30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否</w:t>
                  </w:r>
                </w:p>
              </w:tc>
              <w:tc>
                <w:tcPr>
                  <w:tcW w:w="899" w:type="pct"/>
                  <w:tcBorders>
                    <w:tl2br w:val="nil"/>
                    <w:tr2bl w:val="nil"/>
                  </w:tcBorders>
                  <w:noWrap w:val="0"/>
                  <w:vAlign w:val="center"/>
                </w:tcPr>
                <w:p w14:paraId="5EA204A3">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color w:val="auto"/>
                      <w:sz w:val="21"/>
                      <w:szCs w:val="21"/>
                    </w:rPr>
                    <w:t>☑</w:t>
                  </w:r>
                  <w:r>
                    <w:rPr>
                      <w:rFonts w:hint="eastAsia" w:cs="宋体"/>
                      <w:bCs/>
                      <w:color w:val="auto"/>
                      <w:spacing w:val="-11"/>
                      <w:sz w:val="21"/>
                      <w:szCs w:val="21"/>
                    </w:rPr>
                    <w:t>企业总排</w:t>
                  </w:r>
                </w:p>
                <w:p w14:paraId="365CF72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雨水排口</w:t>
                  </w:r>
                </w:p>
                <w:p w14:paraId="55B273F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清洁下水排口</w:t>
                  </w:r>
                </w:p>
                <w:p w14:paraId="77128953">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温排水排口</w:t>
                  </w:r>
                </w:p>
                <w:p w14:paraId="1CB38C95">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车间或车间处理设施排放</w:t>
                  </w:r>
                </w:p>
              </w:tc>
            </w:tr>
          </w:tbl>
          <w:p w14:paraId="60FE7C9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jc w:val="both"/>
              <w:textAlignment w:val="auto"/>
              <w:rPr>
                <w:rFonts w:hint="default"/>
                <w:color w:val="auto"/>
              </w:rPr>
            </w:pPr>
            <w:r>
              <w:rPr>
                <w:rFonts w:hint="eastAsia"/>
                <w:color w:val="auto"/>
              </w:rPr>
              <w:t>本项目废水间接排放口信息见</w:t>
            </w:r>
            <w:r>
              <w:rPr>
                <w:rFonts w:hint="eastAsia"/>
                <w:color w:val="auto"/>
                <w:lang w:val="en-US" w:eastAsia="zh-CN"/>
              </w:rPr>
              <w:t>下</w:t>
            </w:r>
            <w:r>
              <w:rPr>
                <w:rFonts w:hint="eastAsia"/>
                <w:color w:val="auto"/>
              </w:rPr>
              <w:t>表。</w:t>
            </w:r>
          </w:p>
          <w:p w14:paraId="5ADC15F3">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lang w:val="en-US" w:eastAsia="zh-CN"/>
              </w:rPr>
              <w:t>表4-13 本项目废水间接排放口</w:t>
            </w:r>
            <w:r>
              <w:rPr>
                <w:rFonts w:hint="eastAsia"/>
                <w:b/>
                <w:bCs/>
                <w:color w:val="auto"/>
                <w:sz w:val="21"/>
                <w:szCs w:val="21"/>
              </w:rPr>
              <w:t>基本信息表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6"/>
              <w:gridCol w:w="674"/>
              <w:gridCol w:w="904"/>
              <w:gridCol w:w="830"/>
              <w:gridCol w:w="590"/>
              <w:gridCol w:w="1010"/>
              <w:gridCol w:w="410"/>
              <w:gridCol w:w="480"/>
              <w:gridCol w:w="440"/>
              <w:gridCol w:w="760"/>
              <w:gridCol w:w="1572"/>
            </w:tblGrid>
            <w:tr w14:paraId="3CD6BC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restart"/>
                  <w:tcBorders>
                    <w:tl2br w:val="nil"/>
                    <w:tr2bl w:val="nil"/>
                  </w:tcBorders>
                  <w:noWrap w:val="0"/>
                  <w:vAlign w:val="center"/>
                </w:tcPr>
                <w:p w14:paraId="0028D36B">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序号</w:t>
                  </w:r>
                </w:p>
              </w:tc>
              <w:tc>
                <w:tcPr>
                  <w:tcW w:w="424" w:type="pct"/>
                  <w:vMerge w:val="restart"/>
                  <w:tcBorders>
                    <w:tl2br w:val="nil"/>
                    <w:tr2bl w:val="nil"/>
                  </w:tcBorders>
                  <w:noWrap w:val="0"/>
                  <w:vAlign w:val="center"/>
                </w:tcPr>
                <w:p w14:paraId="2169A915">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排放口编号</w:t>
                  </w:r>
                </w:p>
              </w:tc>
              <w:tc>
                <w:tcPr>
                  <w:tcW w:w="1091" w:type="pct"/>
                  <w:gridSpan w:val="2"/>
                  <w:tcBorders>
                    <w:tl2br w:val="nil"/>
                    <w:tr2bl w:val="nil"/>
                  </w:tcBorders>
                  <w:noWrap w:val="0"/>
                  <w:vAlign w:val="center"/>
                </w:tcPr>
                <w:p w14:paraId="0050E60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排放口地理坐标</w:t>
                  </w:r>
                </w:p>
              </w:tc>
              <w:tc>
                <w:tcPr>
                  <w:tcW w:w="371" w:type="pct"/>
                  <w:vMerge w:val="restart"/>
                  <w:tcBorders>
                    <w:tl2br w:val="nil"/>
                    <w:tr2bl w:val="nil"/>
                  </w:tcBorders>
                  <w:noWrap w:val="0"/>
                  <w:vAlign w:val="center"/>
                </w:tcPr>
                <w:p w14:paraId="1F70A9B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废水排放量（t/a）</w:t>
                  </w:r>
                </w:p>
              </w:tc>
              <w:tc>
                <w:tcPr>
                  <w:tcW w:w="635" w:type="pct"/>
                  <w:vMerge w:val="restart"/>
                  <w:tcBorders>
                    <w:tl2br w:val="nil"/>
                    <w:tr2bl w:val="nil"/>
                  </w:tcBorders>
                  <w:noWrap w:val="0"/>
                  <w:vAlign w:val="center"/>
                </w:tcPr>
                <w:p w14:paraId="3E27AF4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排放去向</w:t>
                  </w:r>
                </w:p>
              </w:tc>
              <w:tc>
                <w:tcPr>
                  <w:tcW w:w="257" w:type="pct"/>
                  <w:vMerge w:val="restart"/>
                  <w:tcBorders>
                    <w:tl2br w:val="nil"/>
                    <w:tr2bl w:val="nil"/>
                  </w:tcBorders>
                  <w:noWrap w:val="0"/>
                  <w:vAlign w:val="center"/>
                </w:tcPr>
                <w:p w14:paraId="22C5053B">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排放规律</w:t>
                  </w:r>
                </w:p>
              </w:tc>
              <w:tc>
                <w:tcPr>
                  <w:tcW w:w="302" w:type="pct"/>
                  <w:vMerge w:val="restart"/>
                  <w:tcBorders>
                    <w:tl2br w:val="nil"/>
                    <w:tr2bl w:val="nil"/>
                  </w:tcBorders>
                  <w:noWrap w:val="0"/>
                  <w:vAlign w:val="center"/>
                </w:tcPr>
                <w:p w14:paraId="51369608">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间歇排放时段</w:t>
                  </w:r>
                </w:p>
              </w:tc>
              <w:tc>
                <w:tcPr>
                  <w:tcW w:w="1744" w:type="pct"/>
                  <w:gridSpan w:val="3"/>
                  <w:tcBorders>
                    <w:tl2br w:val="nil"/>
                    <w:tr2bl w:val="nil"/>
                  </w:tcBorders>
                  <w:noWrap w:val="0"/>
                  <w:vAlign w:val="center"/>
                </w:tcPr>
                <w:p w14:paraId="4D89D74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收纳污水处理厂信息</w:t>
                  </w:r>
                </w:p>
              </w:tc>
            </w:tr>
            <w:tr w14:paraId="01E247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3" w:type="pct"/>
                  <w:vMerge w:val="continue"/>
                  <w:tcBorders>
                    <w:tl2br w:val="nil"/>
                    <w:tr2bl w:val="nil"/>
                  </w:tcBorders>
                  <w:noWrap w:val="0"/>
                  <w:vAlign w:val="center"/>
                </w:tcPr>
                <w:p w14:paraId="62A36A4A">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424" w:type="pct"/>
                  <w:vMerge w:val="continue"/>
                  <w:tcBorders>
                    <w:tl2br w:val="nil"/>
                    <w:tr2bl w:val="nil"/>
                  </w:tcBorders>
                  <w:noWrap w:val="0"/>
                  <w:vAlign w:val="center"/>
                </w:tcPr>
                <w:p w14:paraId="1285D8C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568" w:type="pct"/>
                  <w:tcBorders>
                    <w:tl2br w:val="nil"/>
                    <w:tr2bl w:val="nil"/>
                  </w:tcBorders>
                  <w:noWrap w:val="0"/>
                  <w:vAlign w:val="center"/>
                </w:tcPr>
                <w:p w14:paraId="632763E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经度</w:t>
                  </w:r>
                </w:p>
              </w:tc>
              <w:tc>
                <w:tcPr>
                  <w:tcW w:w="522" w:type="pct"/>
                  <w:tcBorders>
                    <w:tl2br w:val="nil"/>
                    <w:tr2bl w:val="nil"/>
                  </w:tcBorders>
                  <w:noWrap w:val="0"/>
                  <w:vAlign w:val="center"/>
                </w:tcPr>
                <w:p w14:paraId="0D30257D">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纬度</w:t>
                  </w:r>
                </w:p>
              </w:tc>
              <w:tc>
                <w:tcPr>
                  <w:tcW w:w="371" w:type="pct"/>
                  <w:vMerge w:val="continue"/>
                  <w:tcBorders>
                    <w:tl2br w:val="nil"/>
                    <w:tr2bl w:val="nil"/>
                  </w:tcBorders>
                  <w:noWrap w:val="0"/>
                  <w:vAlign w:val="center"/>
                </w:tcPr>
                <w:p w14:paraId="3339587D">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635" w:type="pct"/>
                  <w:vMerge w:val="continue"/>
                  <w:tcBorders>
                    <w:tl2br w:val="nil"/>
                    <w:tr2bl w:val="nil"/>
                  </w:tcBorders>
                  <w:noWrap w:val="0"/>
                  <w:vAlign w:val="center"/>
                </w:tcPr>
                <w:p w14:paraId="33358FFB">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257" w:type="pct"/>
                  <w:vMerge w:val="continue"/>
                  <w:tcBorders>
                    <w:tl2br w:val="nil"/>
                    <w:tr2bl w:val="nil"/>
                  </w:tcBorders>
                  <w:noWrap w:val="0"/>
                  <w:vAlign w:val="center"/>
                </w:tcPr>
                <w:p w14:paraId="6A47158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302" w:type="pct"/>
                  <w:vMerge w:val="continue"/>
                  <w:tcBorders>
                    <w:tl2br w:val="nil"/>
                    <w:tr2bl w:val="nil"/>
                  </w:tcBorders>
                  <w:noWrap w:val="0"/>
                  <w:vAlign w:val="center"/>
                </w:tcPr>
                <w:p w14:paraId="0B1607D3">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276" w:type="pct"/>
                  <w:tcBorders>
                    <w:tl2br w:val="nil"/>
                    <w:tr2bl w:val="nil"/>
                  </w:tcBorders>
                  <w:noWrap w:val="0"/>
                  <w:vAlign w:val="center"/>
                </w:tcPr>
                <w:p w14:paraId="4FF467B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名称</w:t>
                  </w:r>
                </w:p>
              </w:tc>
              <w:tc>
                <w:tcPr>
                  <w:tcW w:w="478" w:type="pct"/>
                  <w:tcBorders>
                    <w:tl2br w:val="nil"/>
                    <w:tr2bl w:val="nil"/>
                  </w:tcBorders>
                  <w:noWrap w:val="0"/>
                  <w:vAlign w:val="center"/>
                </w:tcPr>
                <w:p w14:paraId="6ED367D5">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污染物种类</w:t>
                  </w:r>
                </w:p>
              </w:tc>
              <w:tc>
                <w:tcPr>
                  <w:tcW w:w="989" w:type="pct"/>
                  <w:tcBorders>
                    <w:tl2br w:val="nil"/>
                    <w:tr2bl w:val="nil"/>
                  </w:tcBorders>
                  <w:noWrap w:val="0"/>
                  <w:vAlign w:val="center"/>
                </w:tcPr>
                <w:p w14:paraId="5523AA83">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国家或地方污染物排放标准浓度限值（mg/L）</w:t>
                  </w:r>
                </w:p>
              </w:tc>
            </w:tr>
            <w:tr w14:paraId="6EA973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restart"/>
                  <w:tcBorders>
                    <w:tl2br w:val="nil"/>
                    <w:tr2bl w:val="nil"/>
                  </w:tcBorders>
                  <w:noWrap w:val="0"/>
                  <w:vAlign w:val="center"/>
                </w:tcPr>
                <w:p w14:paraId="1319C48F">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1</w:t>
                  </w:r>
                </w:p>
              </w:tc>
              <w:tc>
                <w:tcPr>
                  <w:tcW w:w="424" w:type="pct"/>
                  <w:vMerge w:val="restart"/>
                  <w:tcBorders>
                    <w:tl2br w:val="nil"/>
                    <w:tr2bl w:val="nil"/>
                  </w:tcBorders>
                  <w:noWrap w:val="0"/>
                  <w:vAlign w:val="center"/>
                </w:tcPr>
                <w:p w14:paraId="112EADCF">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DW001</w:t>
                  </w:r>
                </w:p>
              </w:tc>
              <w:tc>
                <w:tcPr>
                  <w:tcW w:w="568" w:type="pct"/>
                  <w:vMerge w:val="restart"/>
                  <w:tcBorders>
                    <w:tl2br w:val="nil"/>
                    <w:tr2bl w:val="nil"/>
                  </w:tcBorders>
                  <w:noWrap w:val="0"/>
                  <w:vAlign w:val="center"/>
                </w:tcPr>
                <w:p w14:paraId="11CE73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auto"/>
                      <w:spacing w:val="-11"/>
                      <w:sz w:val="21"/>
                      <w:szCs w:val="21"/>
                      <w:lang w:val="en-US" w:eastAsia="zh-CN"/>
                    </w:rPr>
                  </w:pPr>
                  <w:r>
                    <w:rPr>
                      <w:rFonts w:hint="eastAsia" w:ascii="Times New Roman" w:hAnsi="Times New Roman" w:cs="宋体"/>
                      <w:bCs/>
                      <w:color w:val="auto"/>
                      <w:spacing w:val="-11"/>
                      <w:sz w:val="21"/>
                      <w:szCs w:val="21"/>
                      <w:lang w:val="en-US" w:eastAsia="zh-CN"/>
                    </w:rPr>
                    <w:t>119°1</w:t>
                  </w:r>
                  <w:r>
                    <w:rPr>
                      <w:rFonts w:hint="eastAsia" w:cs="宋体"/>
                      <w:bCs/>
                      <w:color w:val="auto"/>
                      <w:spacing w:val="-11"/>
                      <w:sz w:val="21"/>
                      <w:szCs w:val="21"/>
                      <w:lang w:val="en-US" w:eastAsia="zh-CN"/>
                    </w:rPr>
                    <w:t>2</w:t>
                  </w:r>
                  <w:r>
                    <w:rPr>
                      <w:rFonts w:hint="eastAsia" w:ascii="Times New Roman" w:hAnsi="Times New Roman" w:cs="宋体"/>
                      <w:bCs/>
                      <w:color w:val="auto"/>
                      <w:spacing w:val="-11"/>
                      <w:sz w:val="21"/>
                      <w:szCs w:val="21"/>
                      <w:lang w:val="en-US" w:eastAsia="zh-CN"/>
                    </w:rPr>
                    <w:t>′</w:t>
                  </w:r>
                  <w:r>
                    <w:rPr>
                      <w:rFonts w:hint="eastAsia" w:cs="宋体"/>
                      <w:bCs/>
                      <w:color w:val="auto"/>
                      <w:spacing w:val="-11"/>
                      <w:sz w:val="21"/>
                      <w:szCs w:val="21"/>
                      <w:lang w:val="en-US" w:eastAsia="zh-CN"/>
                    </w:rPr>
                    <w:t>45.450</w:t>
                  </w:r>
                  <w:r>
                    <w:rPr>
                      <w:rFonts w:hint="eastAsia" w:ascii="Times New Roman" w:hAnsi="Times New Roman" w:cs="宋体"/>
                      <w:bCs/>
                      <w:color w:val="auto"/>
                      <w:spacing w:val="-11"/>
                      <w:sz w:val="21"/>
                      <w:szCs w:val="21"/>
                      <w:lang w:val="en-US" w:eastAsia="zh-CN"/>
                    </w:rPr>
                    <w:t>″</w:t>
                  </w:r>
                </w:p>
              </w:tc>
              <w:tc>
                <w:tcPr>
                  <w:tcW w:w="522" w:type="pct"/>
                  <w:vMerge w:val="restart"/>
                  <w:tcBorders>
                    <w:tl2br w:val="nil"/>
                    <w:tr2bl w:val="nil"/>
                  </w:tcBorders>
                  <w:noWrap w:val="0"/>
                  <w:vAlign w:val="center"/>
                </w:tcPr>
                <w:p w14:paraId="0A7FFE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auto"/>
                      <w:spacing w:val="-11"/>
                      <w:sz w:val="21"/>
                      <w:szCs w:val="21"/>
                      <w:lang w:val="en-US" w:eastAsia="zh-CN"/>
                    </w:rPr>
                  </w:pPr>
                  <w:r>
                    <w:rPr>
                      <w:rFonts w:hint="eastAsia" w:ascii="Times New Roman" w:hAnsi="Times New Roman" w:cs="宋体"/>
                      <w:bCs/>
                      <w:color w:val="auto"/>
                      <w:spacing w:val="-11"/>
                      <w:sz w:val="21"/>
                      <w:szCs w:val="21"/>
                      <w:lang w:val="en-US" w:eastAsia="zh-CN"/>
                    </w:rPr>
                    <w:t>33°</w:t>
                  </w:r>
                  <w:r>
                    <w:rPr>
                      <w:rFonts w:hint="eastAsia" w:cs="宋体"/>
                      <w:bCs/>
                      <w:color w:val="auto"/>
                      <w:spacing w:val="-11"/>
                      <w:sz w:val="21"/>
                      <w:szCs w:val="21"/>
                      <w:lang w:val="en-US" w:eastAsia="zh-CN"/>
                    </w:rPr>
                    <w:t>47</w:t>
                  </w:r>
                  <w:r>
                    <w:rPr>
                      <w:rFonts w:hint="eastAsia" w:ascii="Times New Roman" w:hAnsi="Times New Roman" w:cs="宋体"/>
                      <w:bCs/>
                      <w:color w:val="auto"/>
                      <w:spacing w:val="-11"/>
                      <w:sz w:val="21"/>
                      <w:szCs w:val="21"/>
                      <w:lang w:val="en-US" w:eastAsia="zh-CN"/>
                    </w:rPr>
                    <w:t>′</w:t>
                  </w:r>
                  <w:r>
                    <w:rPr>
                      <w:rFonts w:hint="eastAsia" w:cs="宋体"/>
                      <w:bCs/>
                      <w:color w:val="auto"/>
                      <w:spacing w:val="-11"/>
                      <w:sz w:val="21"/>
                      <w:szCs w:val="21"/>
                      <w:lang w:val="en-US" w:eastAsia="zh-CN"/>
                    </w:rPr>
                    <w:t>53.784</w:t>
                  </w:r>
                  <w:r>
                    <w:rPr>
                      <w:rFonts w:hint="eastAsia" w:ascii="Times New Roman" w:hAnsi="Times New Roman" w:cs="宋体"/>
                      <w:bCs/>
                      <w:color w:val="auto"/>
                      <w:spacing w:val="-11"/>
                      <w:sz w:val="21"/>
                      <w:szCs w:val="21"/>
                      <w:lang w:val="en-US" w:eastAsia="zh-CN"/>
                    </w:rPr>
                    <w:t>″</w:t>
                  </w:r>
                </w:p>
              </w:tc>
              <w:tc>
                <w:tcPr>
                  <w:tcW w:w="371" w:type="pct"/>
                  <w:vMerge w:val="restart"/>
                  <w:tcBorders>
                    <w:tl2br w:val="nil"/>
                    <w:tr2bl w:val="nil"/>
                  </w:tcBorders>
                  <w:noWrap w:val="0"/>
                  <w:vAlign w:val="center"/>
                </w:tcPr>
                <w:p w14:paraId="41334E36">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192</w:t>
                  </w:r>
                </w:p>
              </w:tc>
              <w:tc>
                <w:tcPr>
                  <w:tcW w:w="635" w:type="pct"/>
                  <w:vMerge w:val="restart"/>
                  <w:tcBorders>
                    <w:tl2br w:val="nil"/>
                    <w:tr2bl w:val="nil"/>
                  </w:tcBorders>
                  <w:noWrap w:val="0"/>
                  <w:vAlign w:val="center"/>
                </w:tcPr>
                <w:p w14:paraId="3E88661D">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涟水经济开发区西区污水处理厂</w:t>
                  </w:r>
                </w:p>
              </w:tc>
              <w:tc>
                <w:tcPr>
                  <w:tcW w:w="257" w:type="pct"/>
                  <w:vMerge w:val="restart"/>
                  <w:tcBorders>
                    <w:tl2br w:val="nil"/>
                    <w:tr2bl w:val="nil"/>
                  </w:tcBorders>
                  <w:noWrap w:val="0"/>
                  <w:vAlign w:val="center"/>
                </w:tcPr>
                <w:p w14:paraId="44CCA513">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间断排放</w:t>
                  </w:r>
                </w:p>
              </w:tc>
              <w:tc>
                <w:tcPr>
                  <w:tcW w:w="302" w:type="pct"/>
                  <w:vMerge w:val="restart"/>
                  <w:tcBorders>
                    <w:tl2br w:val="nil"/>
                    <w:tr2bl w:val="nil"/>
                  </w:tcBorders>
                  <w:noWrap w:val="0"/>
                  <w:vAlign w:val="center"/>
                </w:tcPr>
                <w:p w14:paraId="6B9C079F">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w:t>
                  </w:r>
                </w:p>
              </w:tc>
              <w:tc>
                <w:tcPr>
                  <w:tcW w:w="276" w:type="pct"/>
                  <w:vMerge w:val="restart"/>
                  <w:tcBorders>
                    <w:tl2br w:val="nil"/>
                    <w:tr2bl w:val="nil"/>
                  </w:tcBorders>
                  <w:noWrap w:val="0"/>
                  <w:vAlign w:val="center"/>
                </w:tcPr>
                <w:p w14:paraId="65729D85">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生活污水排放口</w:t>
                  </w:r>
                </w:p>
              </w:tc>
              <w:tc>
                <w:tcPr>
                  <w:tcW w:w="478" w:type="pct"/>
                  <w:tcBorders>
                    <w:tl2br w:val="nil"/>
                    <w:tr2bl w:val="nil"/>
                  </w:tcBorders>
                  <w:noWrap w:val="0"/>
                  <w:vAlign w:val="center"/>
                </w:tcPr>
                <w:p w14:paraId="26B136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COD</w:t>
                  </w:r>
                </w:p>
              </w:tc>
              <w:tc>
                <w:tcPr>
                  <w:tcW w:w="989" w:type="pct"/>
                  <w:tcBorders>
                    <w:tl2br w:val="nil"/>
                    <w:tr2bl w:val="nil"/>
                  </w:tcBorders>
                  <w:noWrap w:val="0"/>
                  <w:vAlign w:val="center"/>
                </w:tcPr>
                <w:p w14:paraId="167DFC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50</w:t>
                  </w:r>
                </w:p>
              </w:tc>
            </w:tr>
            <w:tr w14:paraId="0F067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63A19867">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4A648DD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795C8E1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39CD29E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751C3E2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4B8E293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17B632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7AE3D65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499A82D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34023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SS</w:t>
                  </w:r>
                </w:p>
              </w:tc>
              <w:tc>
                <w:tcPr>
                  <w:tcW w:w="989" w:type="pct"/>
                  <w:tcBorders>
                    <w:tl2br w:val="nil"/>
                    <w:tr2bl w:val="nil"/>
                  </w:tcBorders>
                  <w:noWrap w:val="0"/>
                  <w:vAlign w:val="center"/>
                </w:tcPr>
                <w:p w14:paraId="22454E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10</w:t>
                  </w:r>
                </w:p>
              </w:tc>
            </w:tr>
            <w:tr w14:paraId="67DA84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17EFB80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396A908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4C30DA9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3162F6F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10A877A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45F7A8B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10CA6AE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14692AC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6FD8057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5AB90C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NH</w:t>
                  </w:r>
                  <w:r>
                    <w:rPr>
                      <w:rFonts w:hint="eastAsia" w:ascii="Times New Roman" w:hAnsi="Times New Roman" w:eastAsia="宋体" w:cs="宋体"/>
                      <w:bCs/>
                      <w:color w:val="auto"/>
                      <w:spacing w:val="-11"/>
                      <w:sz w:val="21"/>
                      <w:szCs w:val="21"/>
                      <w:vertAlign w:val="subscript"/>
                      <w:lang w:val="en-US" w:eastAsia="zh-CN"/>
                    </w:rPr>
                    <w:t>3</w:t>
                  </w:r>
                  <w:r>
                    <w:rPr>
                      <w:rFonts w:hint="eastAsia" w:ascii="Times New Roman" w:hAnsi="Times New Roman" w:eastAsia="宋体" w:cs="宋体"/>
                      <w:bCs/>
                      <w:color w:val="auto"/>
                      <w:spacing w:val="-11"/>
                      <w:sz w:val="21"/>
                      <w:szCs w:val="21"/>
                      <w:lang w:val="en-US" w:eastAsia="zh-CN"/>
                    </w:rPr>
                    <w:t>-</w:t>
                  </w:r>
                  <w:r>
                    <w:rPr>
                      <w:rFonts w:hint="eastAsia" w:cs="宋体"/>
                      <w:bCs/>
                      <w:color w:val="auto"/>
                      <w:spacing w:val="-11"/>
                      <w:sz w:val="21"/>
                      <w:szCs w:val="21"/>
                      <w:lang w:val="en-US" w:eastAsia="zh-CN"/>
                    </w:rPr>
                    <w:t>N</w:t>
                  </w:r>
                </w:p>
              </w:tc>
              <w:tc>
                <w:tcPr>
                  <w:tcW w:w="989" w:type="pct"/>
                  <w:tcBorders>
                    <w:tl2br w:val="nil"/>
                    <w:tr2bl w:val="nil"/>
                  </w:tcBorders>
                  <w:noWrap w:val="0"/>
                  <w:vAlign w:val="center"/>
                </w:tcPr>
                <w:p w14:paraId="6AB28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5</w:t>
                  </w:r>
                </w:p>
              </w:tc>
            </w:tr>
            <w:tr w14:paraId="3E1F4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040E314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77D55F6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7A26C80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6285EC2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654D39A1">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64C7CE2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6941A74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64BA8CA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586BECC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710FD4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kern w:val="2"/>
                      <w:sz w:val="21"/>
                      <w:szCs w:val="21"/>
                      <w:lang w:val="en-US" w:eastAsia="zh-CN" w:bidi="ar-SA"/>
                    </w:rPr>
                    <w:t>TN</w:t>
                  </w:r>
                </w:p>
              </w:tc>
              <w:tc>
                <w:tcPr>
                  <w:tcW w:w="989" w:type="pct"/>
                  <w:tcBorders>
                    <w:tl2br w:val="nil"/>
                    <w:tr2bl w:val="nil"/>
                  </w:tcBorders>
                  <w:noWrap w:val="0"/>
                  <w:vAlign w:val="center"/>
                </w:tcPr>
                <w:p w14:paraId="6EDB8C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kern w:val="2"/>
                      <w:sz w:val="21"/>
                      <w:szCs w:val="21"/>
                      <w:lang w:val="en-US" w:eastAsia="zh-CN" w:bidi="ar-SA"/>
                    </w:rPr>
                    <w:t>15</w:t>
                  </w:r>
                </w:p>
              </w:tc>
            </w:tr>
            <w:tr w14:paraId="1FC285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73" w:type="pct"/>
                  <w:vMerge w:val="continue"/>
                  <w:tcBorders>
                    <w:tl2br w:val="nil"/>
                    <w:tr2bl w:val="nil"/>
                  </w:tcBorders>
                  <w:noWrap w:val="0"/>
                  <w:vAlign w:val="center"/>
                </w:tcPr>
                <w:p w14:paraId="40FA815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66FD08E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792B711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051A968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05E5C6E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69DA906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4762A4D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64F26FC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4EF5905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423793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TP</w:t>
                  </w:r>
                </w:p>
              </w:tc>
              <w:tc>
                <w:tcPr>
                  <w:tcW w:w="989" w:type="pct"/>
                  <w:tcBorders>
                    <w:tl2br w:val="nil"/>
                    <w:tr2bl w:val="nil"/>
                  </w:tcBorders>
                  <w:noWrap w:val="0"/>
                  <w:vAlign w:val="center"/>
                </w:tcPr>
                <w:p w14:paraId="14BFC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0.5</w:t>
                  </w:r>
                </w:p>
              </w:tc>
            </w:tr>
          </w:tbl>
          <w:p w14:paraId="2C3E8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auto"/>
                <w:sz w:val="24"/>
              </w:rPr>
            </w:pPr>
            <w:r>
              <w:rPr>
                <w:rFonts w:hint="default"/>
                <w:color w:val="auto"/>
                <w:sz w:val="24"/>
              </w:rPr>
              <w:t>本项目废水污染物排放执行标准见下表。</w:t>
            </w:r>
          </w:p>
          <w:p w14:paraId="095D76C5">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表4-1</w:t>
            </w:r>
            <w:r>
              <w:rPr>
                <w:rFonts w:hint="eastAsia" w:ascii="Times New Roman" w:hAnsi="Times New Roman" w:cs="Times New Roman"/>
                <w:b/>
                <w:bCs w:val="0"/>
                <w:color w:val="auto"/>
                <w:sz w:val="21"/>
                <w:szCs w:val="21"/>
                <w:lang w:val="en-US" w:eastAsia="zh-CN"/>
              </w:rPr>
              <w:t xml:space="preserve">4 </w:t>
            </w:r>
            <w:r>
              <w:rPr>
                <w:rFonts w:hint="default" w:ascii="Times New Roman" w:hAnsi="Times New Roman" w:cs="Times New Roman"/>
                <w:b/>
                <w:bCs w:val="0"/>
                <w:color w:val="auto"/>
                <w:sz w:val="21"/>
                <w:szCs w:val="21"/>
              </w:rPr>
              <w:t>本项目废水污染物排放执行标准表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36"/>
              <w:gridCol w:w="1503"/>
              <w:gridCol w:w="1741"/>
              <w:gridCol w:w="2820"/>
            </w:tblGrid>
            <w:tr w14:paraId="226FEC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restart"/>
                  <w:tcBorders>
                    <w:tl2br w:val="nil"/>
                    <w:tr2bl w:val="nil"/>
                  </w:tcBorders>
                  <w:noWrap w:val="0"/>
                  <w:vAlign w:val="center"/>
                </w:tcPr>
                <w:p w14:paraId="76D79ED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序号</w:t>
                  </w:r>
                </w:p>
              </w:tc>
              <w:tc>
                <w:tcPr>
                  <w:tcW w:w="778" w:type="pct"/>
                  <w:vMerge w:val="restart"/>
                  <w:tcBorders>
                    <w:tl2br w:val="nil"/>
                    <w:tr2bl w:val="nil"/>
                  </w:tcBorders>
                  <w:noWrap w:val="0"/>
                  <w:vAlign w:val="center"/>
                </w:tcPr>
                <w:p w14:paraId="2FC7AEB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排放口编号</w:t>
                  </w:r>
                </w:p>
              </w:tc>
              <w:tc>
                <w:tcPr>
                  <w:tcW w:w="946" w:type="pct"/>
                  <w:vMerge w:val="restart"/>
                  <w:tcBorders>
                    <w:tl2br w:val="nil"/>
                    <w:tr2bl w:val="nil"/>
                  </w:tcBorders>
                  <w:noWrap w:val="0"/>
                  <w:vAlign w:val="center"/>
                </w:tcPr>
                <w:p w14:paraId="27E90D1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污染物种类</w:t>
                  </w:r>
                </w:p>
              </w:tc>
              <w:tc>
                <w:tcPr>
                  <w:tcW w:w="2871" w:type="pct"/>
                  <w:gridSpan w:val="2"/>
                  <w:tcBorders>
                    <w:tl2br w:val="nil"/>
                    <w:tr2bl w:val="nil"/>
                  </w:tcBorders>
                  <w:noWrap w:val="0"/>
                  <w:vAlign w:val="center"/>
                </w:tcPr>
                <w:p w14:paraId="10F5F43A">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国家或地方污染物排放标准及其按规定商定的排放协议</w:t>
                  </w:r>
                </w:p>
              </w:tc>
            </w:tr>
            <w:tr w14:paraId="70318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1CF3E9C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4198A23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vMerge w:val="continue"/>
                  <w:tcBorders>
                    <w:tl2br w:val="nil"/>
                    <w:tr2bl w:val="nil"/>
                  </w:tcBorders>
                  <w:noWrap w:val="0"/>
                  <w:vAlign w:val="center"/>
                </w:tcPr>
                <w:p w14:paraId="19BF5B3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096" w:type="pct"/>
                  <w:tcBorders>
                    <w:tl2br w:val="nil"/>
                    <w:tr2bl w:val="nil"/>
                  </w:tcBorders>
                  <w:noWrap w:val="0"/>
                  <w:vAlign w:val="center"/>
                </w:tcPr>
                <w:p w14:paraId="0E290CE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名称</w:t>
                  </w:r>
                </w:p>
              </w:tc>
              <w:tc>
                <w:tcPr>
                  <w:tcW w:w="1775" w:type="pct"/>
                  <w:tcBorders>
                    <w:tl2br w:val="nil"/>
                    <w:tr2bl w:val="nil"/>
                  </w:tcBorders>
                  <w:noWrap w:val="0"/>
                  <w:vAlign w:val="center"/>
                </w:tcPr>
                <w:p w14:paraId="29421E0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浓度限值/（mg/L）</w:t>
                  </w:r>
                </w:p>
              </w:tc>
            </w:tr>
            <w:tr w14:paraId="646FF7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restart"/>
                  <w:tcBorders>
                    <w:tl2br w:val="nil"/>
                    <w:tr2bl w:val="nil"/>
                  </w:tcBorders>
                  <w:noWrap w:val="0"/>
                  <w:vAlign w:val="center"/>
                </w:tcPr>
                <w:p w14:paraId="70B6B61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1</w:t>
                  </w:r>
                </w:p>
              </w:tc>
              <w:tc>
                <w:tcPr>
                  <w:tcW w:w="778" w:type="pct"/>
                  <w:vMerge w:val="restart"/>
                  <w:tcBorders>
                    <w:tl2br w:val="nil"/>
                    <w:tr2bl w:val="nil"/>
                  </w:tcBorders>
                  <w:noWrap w:val="0"/>
                  <w:vAlign w:val="center"/>
                </w:tcPr>
                <w:p w14:paraId="2557BC74">
                  <w:pPr>
                    <w:pStyle w:val="18"/>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DW001</w:t>
                  </w:r>
                </w:p>
              </w:tc>
              <w:tc>
                <w:tcPr>
                  <w:tcW w:w="946" w:type="pct"/>
                  <w:tcBorders>
                    <w:tl2br w:val="nil"/>
                    <w:tr2bl w:val="nil"/>
                  </w:tcBorders>
                  <w:noWrap w:val="0"/>
                  <w:vAlign w:val="center"/>
                </w:tcPr>
                <w:p w14:paraId="25A6FCA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COD</w:t>
                  </w:r>
                </w:p>
              </w:tc>
              <w:tc>
                <w:tcPr>
                  <w:tcW w:w="1096" w:type="pct"/>
                  <w:vMerge w:val="restart"/>
                  <w:tcBorders>
                    <w:tl2br w:val="nil"/>
                    <w:tr2bl w:val="nil"/>
                  </w:tcBorders>
                  <w:noWrap w:val="0"/>
                  <w:vAlign w:val="center"/>
                </w:tcPr>
                <w:p w14:paraId="6B641A1D">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lang w:val="en-US"/>
                    </w:rPr>
                  </w:pPr>
                  <w:r>
                    <w:rPr>
                      <w:rFonts w:hint="eastAsia" w:cs="宋体"/>
                      <w:bCs/>
                      <w:color w:val="auto"/>
                      <w:spacing w:val="-11"/>
                      <w:sz w:val="21"/>
                      <w:szCs w:val="21"/>
                      <w:lang w:val="en-US" w:eastAsia="zh-CN"/>
                    </w:rPr>
                    <w:t>涟水经济开发区西区污水处理厂</w:t>
                  </w:r>
                  <w:r>
                    <w:rPr>
                      <w:rFonts w:hint="eastAsia"/>
                      <w:b w:val="0"/>
                      <w:color w:val="auto"/>
                      <w:sz w:val="21"/>
                      <w:szCs w:val="21"/>
                      <w:lang w:val="en-US" w:eastAsia="zh-CN"/>
                    </w:rPr>
                    <w:t>接管标准</w:t>
                  </w:r>
                </w:p>
              </w:tc>
              <w:tc>
                <w:tcPr>
                  <w:tcW w:w="1775" w:type="pct"/>
                  <w:tcBorders>
                    <w:tl2br w:val="nil"/>
                    <w:tr2bl w:val="nil"/>
                  </w:tcBorders>
                  <w:noWrap w:val="0"/>
                  <w:vAlign w:val="center"/>
                </w:tcPr>
                <w:p w14:paraId="6693362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500</w:t>
                  </w:r>
                </w:p>
              </w:tc>
            </w:tr>
            <w:tr w14:paraId="624ED2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1AF6FB81">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56D1D9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6E0F2EC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SS</w:t>
                  </w:r>
                </w:p>
              </w:tc>
              <w:tc>
                <w:tcPr>
                  <w:tcW w:w="1096" w:type="pct"/>
                  <w:vMerge w:val="continue"/>
                  <w:tcBorders>
                    <w:tl2br w:val="nil"/>
                    <w:tr2bl w:val="nil"/>
                  </w:tcBorders>
                  <w:noWrap w:val="0"/>
                  <w:vAlign w:val="center"/>
                </w:tcPr>
                <w:p w14:paraId="3CFF2E4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677A774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400</w:t>
                  </w:r>
                </w:p>
              </w:tc>
            </w:tr>
            <w:tr w14:paraId="0574CF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7AA5D06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5D5278A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6812332A">
                  <w:pPr>
                    <w:pStyle w:val="18"/>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w:t>
                  </w:r>
                  <w:r>
                    <w:rPr>
                      <w:rFonts w:hint="eastAsia"/>
                      <w:color w:val="auto"/>
                      <w:sz w:val="21"/>
                      <w:szCs w:val="21"/>
                      <w:lang w:val="en-US" w:eastAsia="zh-CN"/>
                    </w:rPr>
                    <w:t>N</w:t>
                  </w:r>
                </w:p>
              </w:tc>
              <w:tc>
                <w:tcPr>
                  <w:tcW w:w="1096" w:type="pct"/>
                  <w:vMerge w:val="continue"/>
                  <w:tcBorders>
                    <w:tl2br w:val="nil"/>
                    <w:tr2bl w:val="nil"/>
                  </w:tcBorders>
                  <w:noWrap w:val="0"/>
                  <w:vAlign w:val="center"/>
                </w:tcPr>
                <w:p w14:paraId="360FDF4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016156A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30</w:t>
                  </w:r>
                </w:p>
              </w:tc>
            </w:tr>
            <w:tr w14:paraId="729C4C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7845EEB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4ABB90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548EB946">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TP</w:t>
                  </w:r>
                </w:p>
              </w:tc>
              <w:tc>
                <w:tcPr>
                  <w:tcW w:w="1096" w:type="pct"/>
                  <w:vMerge w:val="continue"/>
                  <w:tcBorders>
                    <w:tl2br w:val="nil"/>
                    <w:tr2bl w:val="nil"/>
                  </w:tcBorders>
                  <w:noWrap w:val="0"/>
                  <w:vAlign w:val="center"/>
                </w:tcPr>
                <w:p w14:paraId="5C6CEDC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100E5E4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rPr>
                  </w:pPr>
                  <w:r>
                    <w:rPr>
                      <w:rFonts w:hint="eastAsia"/>
                      <w:color w:val="auto"/>
                      <w:sz w:val="21"/>
                      <w:szCs w:val="21"/>
                      <w:lang w:val="en-US" w:eastAsia="zh-CN"/>
                    </w:rPr>
                    <w:t>8</w:t>
                  </w:r>
                </w:p>
              </w:tc>
            </w:tr>
            <w:tr w14:paraId="43C1D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2147605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0325D4D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0774685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TN</w:t>
                  </w:r>
                </w:p>
              </w:tc>
              <w:tc>
                <w:tcPr>
                  <w:tcW w:w="1096" w:type="pct"/>
                  <w:vMerge w:val="continue"/>
                  <w:tcBorders>
                    <w:tl2br w:val="nil"/>
                    <w:tr2bl w:val="nil"/>
                  </w:tcBorders>
                  <w:noWrap w:val="0"/>
                  <w:vAlign w:val="center"/>
                </w:tcPr>
                <w:p w14:paraId="0002D81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1D99766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45</w:t>
                  </w:r>
                </w:p>
              </w:tc>
            </w:tr>
          </w:tbl>
          <w:p w14:paraId="59648A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本项目废水污染物排放信息见下表。</w:t>
            </w:r>
          </w:p>
          <w:p w14:paraId="1C3AE168">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3B8E0270">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4CD4BEA9">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1E61C421">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39F72389">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072CDA40">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005A936A">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rPr>
            </w:pPr>
          </w:p>
          <w:p w14:paraId="4F127FA1">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5 </w:t>
            </w:r>
            <w:r>
              <w:rPr>
                <w:rFonts w:hint="eastAsia"/>
                <w:b/>
                <w:bCs/>
                <w:color w:val="auto"/>
                <w:sz w:val="21"/>
                <w:szCs w:val="21"/>
              </w:rPr>
              <w:t>本项目废水污染物排放信息表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3"/>
              <w:gridCol w:w="1325"/>
              <w:gridCol w:w="1323"/>
            </w:tblGrid>
            <w:tr w14:paraId="493FFF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pct"/>
                  <w:tcBorders>
                    <w:tl2br w:val="nil"/>
                    <w:tr2bl w:val="nil"/>
                  </w:tcBorders>
                  <w:noWrap w:val="0"/>
                  <w:vAlign w:val="center"/>
                </w:tcPr>
                <w:p w14:paraId="4242BEF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序号</w:t>
                  </w:r>
                </w:p>
              </w:tc>
              <w:tc>
                <w:tcPr>
                  <w:tcW w:w="833" w:type="pct"/>
                  <w:tcBorders>
                    <w:tl2br w:val="nil"/>
                    <w:tr2bl w:val="nil"/>
                  </w:tcBorders>
                  <w:noWrap w:val="0"/>
                  <w:vAlign w:val="center"/>
                </w:tcPr>
                <w:p w14:paraId="64813C1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排放口编号</w:t>
                  </w:r>
                </w:p>
              </w:tc>
              <w:tc>
                <w:tcPr>
                  <w:tcW w:w="833" w:type="pct"/>
                  <w:tcBorders>
                    <w:tl2br w:val="nil"/>
                    <w:tr2bl w:val="nil"/>
                  </w:tcBorders>
                  <w:noWrap w:val="0"/>
                  <w:vAlign w:val="center"/>
                </w:tcPr>
                <w:p w14:paraId="23065BD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污染物种类</w:t>
                  </w:r>
                </w:p>
              </w:tc>
              <w:tc>
                <w:tcPr>
                  <w:tcW w:w="833" w:type="pct"/>
                  <w:tcBorders>
                    <w:tl2br w:val="nil"/>
                    <w:tr2bl w:val="nil"/>
                  </w:tcBorders>
                  <w:noWrap w:val="0"/>
                  <w:vAlign w:val="center"/>
                </w:tcPr>
                <w:p w14:paraId="5137749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排放浓度（mg/L）</w:t>
                  </w:r>
                </w:p>
              </w:tc>
              <w:tc>
                <w:tcPr>
                  <w:tcW w:w="834" w:type="pct"/>
                  <w:tcBorders>
                    <w:tl2br w:val="nil"/>
                    <w:tr2bl w:val="nil"/>
                  </w:tcBorders>
                  <w:noWrap w:val="0"/>
                  <w:vAlign w:val="center"/>
                </w:tcPr>
                <w:p w14:paraId="6BF35C66">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日排放量</w:t>
                  </w:r>
                </w:p>
                <w:p w14:paraId="74CCF1F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（t/d）</w:t>
                  </w:r>
                </w:p>
              </w:tc>
              <w:tc>
                <w:tcPr>
                  <w:tcW w:w="833" w:type="pct"/>
                  <w:tcBorders>
                    <w:tl2br w:val="nil"/>
                    <w:tr2bl w:val="nil"/>
                  </w:tcBorders>
                  <w:noWrap w:val="0"/>
                  <w:vAlign w:val="center"/>
                </w:tcPr>
                <w:p w14:paraId="323617D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年排放量（t/a）</w:t>
                  </w:r>
                </w:p>
              </w:tc>
            </w:tr>
            <w:tr w14:paraId="7F650A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pct"/>
                  <w:vMerge w:val="restart"/>
                  <w:tcBorders>
                    <w:tl2br w:val="nil"/>
                    <w:tr2bl w:val="nil"/>
                  </w:tcBorders>
                  <w:noWrap w:val="0"/>
                  <w:vAlign w:val="center"/>
                </w:tcPr>
                <w:p w14:paraId="60A4C7C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1</w:t>
                  </w:r>
                </w:p>
              </w:tc>
              <w:tc>
                <w:tcPr>
                  <w:tcW w:w="833" w:type="pct"/>
                  <w:vMerge w:val="restart"/>
                  <w:tcBorders>
                    <w:tl2br w:val="nil"/>
                    <w:tr2bl w:val="nil"/>
                  </w:tcBorders>
                  <w:noWrap w:val="0"/>
                  <w:vAlign w:val="center"/>
                </w:tcPr>
                <w:p w14:paraId="7686A836">
                  <w:pPr>
                    <w:pStyle w:val="18"/>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DW001</w:t>
                  </w:r>
                </w:p>
              </w:tc>
              <w:tc>
                <w:tcPr>
                  <w:tcW w:w="833" w:type="pct"/>
                  <w:tcBorders>
                    <w:tl2br w:val="nil"/>
                    <w:tr2bl w:val="nil"/>
                  </w:tcBorders>
                  <w:noWrap w:val="0"/>
                  <w:vAlign w:val="center"/>
                </w:tcPr>
                <w:p w14:paraId="2F0CC467">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COD</w:t>
                  </w:r>
                </w:p>
              </w:tc>
              <w:tc>
                <w:tcPr>
                  <w:tcW w:w="833" w:type="pct"/>
                  <w:tcBorders>
                    <w:tl2br w:val="nil"/>
                    <w:tr2bl w:val="nil"/>
                  </w:tcBorders>
                  <w:noWrap w:val="0"/>
                  <w:vAlign w:val="center"/>
                </w:tcPr>
                <w:p w14:paraId="200684D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250</w:t>
                  </w:r>
                </w:p>
              </w:tc>
              <w:tc>
                <w:tcPr>
                  <w:tcW w:w="1325" w:type="dxa"/>
                  <w:tcBorders>
                    <w:tl2br w:val="nil"/>
                    <w:tr2bl w:val="nil"/>
                  </w:tcBorders>
                  <w:noWrap w:val="0"/>
                  <w:vAlign w:val="center"/>
                </w:tcPr>
                <w:p w14:paraId="330C1CF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0.000160 </w:t>
                  </w:r>
                </w:p>
              </w:tc>
              <w:tc>
                <w:tcPr>
                  <w:tcW w:w="1323" w:type="dxa"/>
                  <w:tcBorders>
                    <w:tl2br w:val="nil"/>
                    <w:tr2bl w:val="nil"/>
                  </w:tcBorders>
                  <w:noWrap w:val="0"/>
                  <w:vAlign w:val="center"/>
                </w:tcPr>
                <w:p w14:paraId="727C281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 xml:space="preserve">0.0480 </w:t>
                  </w:r>
                </w:p>
              </w:tc>
            </w:tr>
            <w:tr w14:paraId="5F8C88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pct"/>
                  <w:vMerge w:val="continue"/>
                  <w:tcBorders>
                    <w:tl2br w:val="nil"/>
                    <w:tr2bl w:val="nil"/>
                  </w:tcBorders>
                  <w:noWrap w:val="0"/>
                  <w:vAlign w:val="center"/>
                </w:tcPr>
                <w:p w14:paraId="1C0CAB9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0E3A1D9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1A2EE87A">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SS</w:t>
                  </w:r>
                </w:p>
              </w:tc>
              <w:tc>
                <w:tcPr>
                  <w:tcW w:w="833" w:type="pct"/>
                  <w:tcBorders>
                    <w:tl2br w:val="nil"/>
                    <w:tr2bl w:val="nil"/>
                  </w:tcBorders>
                  <w:noWrap w:val="0"/>
                  <w:vAlign w:val="center"/>
                </w:tcPr>
                <w:p w14:paraId="62D54E3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180</w:t>
                  </w:r>
                </w:p>
              </w:tc>
              <w:tc>
                <w:tcPr>
                  <w:tcW w:w="1325" w:type="dxa"/>
                  <w:tcBorders>
                    <w:tl2br w:val="nil"/>
                    <w:tr2bl w:val="nil"/>
                  </w:tcBorders>
                  <w:noWrap w:val="0"/>
                  <w:vAlign w:val="center"/>
                </w:tcPr>
                <w:p w14:paraId="2A266A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0.000115 </w:t>
                  </w:r>
                </w:p>
              </w:tc>
              <w:tc>
                <w:tcPr>
                  <w:tcW w:w="1323" w:type="dxa"/>
                  <w:tcBorders>
                    <w:tl2br w:val="nil"/>
                    <w:tr2bl w:val="nil"/>
                  </w:tcBorders>
                  <w:noWrap w:val="0"/>
                  <w:vAlign w:val="center"/>
                </w:tcPr>
                <w:p w14:paraId="04A28A6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 xml:space="preserve">0.0346 </w:t>
                  </w:r>
                </w:p>
              </w:tc>
            </w:tr>
            <w:tr w14:paraId="498ABF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pct"/>
                  <w:vMerge w:val="continue"/>
                  <w:tcBorders>
                    <w:tl2br w:val="nil"/>
                    <w:tr2bl w:val="nil"/>
                  </w:tcBorders>
                  <w:noWrap w:val="0"/>
                  <w:vAlign w:val="center"/>
                </w:tcPr>
                <w:p w14:paraId="2E81559B">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5FD4EF5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76EF362B">
                  <w:pPr>
                    <w:pStyle w:val="18"/>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w:t>
                  </w:r>
                  <w:r>
                    <w:rPr>
                      <w:rFonts w:hint="eastAsia"/>
                      <w:color w:val="auto"/>
                      <w:sz w:val="21"/>
                      <w:szCs w:val="21"/>
                      <w:lang w:val="en-US" w:eastAsia="zh-CN"/>
                    </w:rPr>
                    <w:t>N</w:t>
                  </w:r>
                </w:p>
              </w:tc>
              <w:tc>
                <w:tcPr>
                  <w:tcW w:w="833" w:type="pct"/>
                  <w:tcBorders>
                    <w:tl2br w:val="nil"/>
                    <w:tr2bl w:val="nil"/>
                  </w:tcBorders>
                  <w:noWrap w:val="0"/>
                  <w:vAlign w:val="center"/>
                </w:tcPr>
                <w:p w14:paraId="64FF6F1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25</w:t>
                  </w:r>
                </w:p>
              </w:tc>
              <w:tc>
                <w:tcPr>
                  <w:tcW w:w="1325" w:type="dxa"/>
                  <w:tcBorders>
                    <w:tl2br w:val="nil"/>
                    <w:tr2bl w:val="nil"/>
                  </w:tcBorders>
                  <w:noWrap w:val="0"/>
                  <w:vAlign w:val="center"/>
                </w:tcPr>
                <w:p w14:paraId="59D749F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0.000016 </w:t>
                  </w:r>
                </w:p>
              </w:tc>
              <w:tc>
                <w:tcPr>
                  <w:tcW w:w="1323" w:type="dxa"/>
                  <w:tcBorders>
                    <w:tl2br w:val="nil"/>
                    <w:tr2bl w:val="nil"/>
                  </w:tcBorders>
                  <w:noWrap w:val="0"/>
                  <w:vAlign w:val="center"/>
                </w:tcPr>
                <w:p w14:paraId="2F52C33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 xml:space="preserve">0.0048 </w:t>
                  </w:r>
                </w:p>
              </w:tc>
            </w:tr>
            <w:tr w14:paraId="13A58D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pct"/>
                  <w:vMerge w:val="continue"/>
                  <w:tcBorders>
                    <w:tl2br w:val="nil"/>
                    <w:tr2bl w:val="nil"/>
                  </w:tcBorders>
                  <w:noWrap w:val="0"/>
                  <w:vAlign w:val="center"/>
                </w:tcPr>
                <w:p w14:paraId="797703DB">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2189684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6C1A4EA9">
                  <w:pPr>
                    <w:pStyle w:val="18"/>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TN</w:t>
                  </w:r>
                </w:p>
              </w:tc>
              <w:tc>
                <w:tcPr>
                  <w:tcW w:w="833" w:type="pct"/>
                  <w:tcBorders>
                    <w:tl2br w:val="nil"/>
                    <w:tr2bl w:val="nil"/>
                  </w:tcBorders>
                  <w:noWrap w:val="0"/>
                  <w:vAlign w:val="center"/>
                </w:tcPr>
                <w:p w14:paraId="75BF2F6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w:t>
                  </w:r>
                </w:p>
              </w:tc>
              <w:tc>
                <w:tcPr>
                  <w:tcW w:w="1325" w:type="dxa"/>
                  <w:tcBorders>
                    <w:tl2br w:val="nil"/>
                    <w:tr2bl w:val="nil"/>
                  </w:tcBorders>
                  <w:noWrap w:val="0"/>
                  <w:vAlign w:val="center"/>
                </w:tcPr>
                <w:p w14:paraId="498328B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0.000022 </w:t>
                  </w:r>
                </w:p>
              </w:tc>
              <w:tc>
                <w:tcPr>
                  <w:tcW w:w="1323" w:type="dxa"/>
                  <w:tcBorders>
                    <w:tl2br w:val="nil"/>
                    <w:tr2bl w:val="nil"/>
                  </w:tcBorders>
                  <w:noWrap w:val="0"/>
                  <w:vAlign w:val="center"/>
                </w:tcPr>
                <w:p w14:paraId="555C703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 xml:space="preserve">0.0067 </w:t>
                  </w:r>
                </w:p>
              </w:tc>
            </w:tr>
            <w:tr w14:paraId="6CFDA5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pct"/>
                  <w:vMerge w:val="continue"/>
                  <w:tcBorders>
                    <w:tl2br w:val="nil"/>
                    <w:tr2bl w:val="nil"/>
                  </w:tcBorders>
                  <w:noWrap w:val="0"/>
                  <w:vAlign w:val="center"/>
                </w:tcPr>
                <w:p w14:paraId="20B4DB36">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64C7AF5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1C9E5906">
                  <w:pPr>
                    <w:pStyle w:val="18"/>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T</w:t>
                  </w:r>
                  <w:r>
                    <w:rPr>
                      <w:rFonts w:hint="eastAsia"/>
                      <w:color w:val="auto"/>
                      <w:sz w:val="21"/>
                      <w:szCs w:val="21"/>
                      <w:lang w:val="en-US" w:eastAsia="zh-CN"/>
                    </w:rPr>
                    <w:t>P</w:t>
                  </w:r>
                </w:p>
              </w:tc>
              <w:tc>
                <w:tcPr>
                  <w:tcW w:w="833" w:type="pct"/>
                  <w:tcBorders>
                    <w:tl2br w:val="nil"/>
                    <w:tr2bl w:val="nil"/>
                  </w:tcBorders>
                  <w:noWrap w:val="0"/>
                  <w:vAlign w:val="center"/>
                </w:tcPr>
                <w:p w14:paraId="7016150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w:t>
                  </w:r>
                </w:p>
              </w:tc>
              <w:tc>
                <w:tcPr>
                  <w:tcW w:w="1325" w:type="dxa"/>
                  <w:tcBorders>
                    <w:tl2br w:val="nil"/>
                    <w:tr2bl w:val="nil"/>
                  </w:tcBorders>
                  <w:noWrap w:val="0"/>
                  <w:vAlign w:val="center"/>
                </w:tcPr>
                <w:p w14:paraId="545F4D0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 xml:space="preserve">0.000003 </w:t>
                  </w:r>
                </w:p>
              </w:tc>
              <w:tc>
                <w:tcPr>
                  <w:tcW w:w="1323" w:type="dxa"/>
                  <w:tcBorders>
                    <w:tl2br w:val="nil"/>
                    <w:tr2bl w:val="nil"/>
                  </w:tcBorders>
                  <w:noWrap w:val="0"/>
                  <w:vAlign w:val="center"/>
                </w:tcPr>
                <w:p w14:paraId="262C6A9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 xml:space="preserve">0.0008 </w:t>
                  </w:r>
                </w:p>
              </w:tc>
            </w:tr>
            <w:tr w14:paraId="66FED7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gridSpan w:val="2"/>
                  <w:vMerge w:val="restart"/>
                  <w:tcBorders>
                    <w:tl2br w:val="nil"/>
                    <w:tr2bl w:val="nil"/>
                  </w:tcBorders>
                  <w:noWrap w:val="0"/>
                  <w:vAlign w:val="center"/>
                </w:tcPr>
                <w:p w14:paraId="04CA9676">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全厂排放口合计</w:t>
                  </w:r>
                </w:p>
              </w:tc>
              <w:tc>
                <w:tcPr>
                  <w:tcW w:w="2500" w:type="pct"/>
                  <w:gridSpan w:val="3"/>
                  <w:tcBorders>
                    <w:tl2br w:val="nil"/>
                    <w:tr2bl w:val="nil"/>
                  </w:tcBorders>
                  <w:noWrap w:val="0"/>
                  <w:vAlign w:val="center"/>
                </w:tcPr>
                <w:p w14:paraId="293EB1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COD</w:t>
                  </w:r>
                </w:p>
              </w:tc>
              <w:tc>
                <w:tcPr>
                  <w:tcW w:w="1323" w:type="dxa"/>
                  <w:tcBorders>
                    <w:tl2br w:val="nil"/>
                    <w:tr2bl w:val="nil"/>
                  </w:tcBorders>
                  <w:noWrap w:val="0"/>
                  <w:vAlign w:val="center"/>
                </w:tcPr>
                <w:p w14:paraId="162CB7D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olor w:val="auto"/>
                      <w:sz w:val="21"/>
                      <w:szCs w:val="21"/>
                      <w:lang w:val="en-US" w:eastAsia="zh-CN"/>
                    </w:rPr>
                    <w:t xml:space="preserve">0.0480 </w:t>
                  </w:r>
                </w:p>
              </w:tc>
            </w:tr>
            <w:tr w14:paraId="4D5320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gridSpan w:val="2"/>
                  <w:vMerge w:val="continue"/>
                  <w:tcBorders>
                    <w:tl2br w:val="nil"/>
                    <w:tr2bl w:val="nil"/>
                  </w:tcBorders>
                  <w:noWrap w:val="0"/>
                  <w:vAlign w:val="center"/>
                </w:tcPr>
                <w:p w14:paraId="2A2CE1B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1B379E7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SS</w:t>
                  </w:r>
                </w:p>
              </w:tc>
              <w:tc>
                <w:tcPr>
                  <w:tcW w:w="1323" w:type="dxa"/>
                  <w:tcBorders>
                    <w:tl2br w:val="nil"/>
                    <w:tr2bl w:val="nil"/>
                  </w:tcBorders>
                  <w:noWrap w:val="0"/>
                  <w:vAlign w:val="center"/>
                </w:tcPr>
                <w:p w14:paraId="20A4785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olor w:val="auto"/>
                      <w:sz w:val="21"/>
                      <w:szCs w:val="21"/>
                      <w:lang w:val="en-US" w:eastAsia="zh-CN"/>
                    </w:rPr>
                    <w:t xml:space="preserve">0.0346 </w:t>
                  </w:r>
                </w:p>
              </w:tc>
            </w:tr>
            <w:tr w14:paraId="2AF933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gridSpan w:val="2"/>
                  <w:vMerge w:val="continue"/>
                  <w:tcBorders>
                    <w:tl2br w:val="nil"/>
                    <w:tr2bl w:val="nil"/>
                  </w:tcBorders>
                  <w:noWrap w:val="0"/>
                  <w:vAlign w:val="center"/>
                </w:tcPr>
                <w:p w14:paraId="542ED56A">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1D3E6EC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w:t>
                  </w:r>
                </w:p>
              </w:tc>
              <w:tc>
                <w:tcPr>
                  <w:tcW w:w="1323" w:type="dxa"/>
                  <w:tcBorders>
                    <w:tl2br w:val="nil"/>
                    <w:tr2bl w:val="nil"/>
                  </w:tcBorders>
                  <w:noWrap w:val="0"/>
                  <w:vAlign w:val="center"/>
                </w:tcPr>
                <w:p w14:paraId="00B355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olor w:val="auto"/>
                      <w:sz w:val="21"/>
                      <w:szCs w:val="21"/>
                      <w:lang w:val="en-US" w:eastAsia="zh-CN"/>
                    </w:rPr>
                    <w:t xml:space="preserve">0.0048 </w:t>
                  </w:r>
                </w:p>
              </w:tc>
            </w:tr>
            <w:tr w14:paraId="23F5E2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gridSpan w:val="2"/>
                  <w:vMerge w:val="continue"/>
                  <w:tcBorders>
                    <w:tl2br w:val="nil"/>
                    <w:tr2bl w:val="nil"/>
                  </w:tcBorders>
                  <w:noWrap w:val="0"/>
                  <w:vAlign w:val="center"/>
                </w:tcPr>
                <w:p w14:paraId="2BB08F3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6E36268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TN</w:t>
                  </w:r>
                </w:p>
              </w:tc>
              <w:tc>
                <w:tcPr>
                  <w:tcW w:w="1323" w:type="dxa"/>
                  <w:tcBorders>
                    <w:tl2br w:val="nil"/>
                    <w:tr2bl w:val="nil"/>
                  </w:tcBorders>
                  <w:noWrap w:val="0"/>
                  <w:vAlign w:val="center"/>
                </w:tcPr>
                <w:p w14:paraId="5DF3833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olor w:val="auto"/>
                      <w:sz w:val="21"/>
                      <w:szCs w:val="21"/>
                      <w:lang w:val="en-US" w:eastAsia="zh-CN"/>
                    </w:rPr>
                    <w:t xml:space="preserve">0.0067 </w:t>
                  </w:r>
                </w:p>
              </w:tc>
            </w:tr>
            <w:tr w14:paraId="1D75D3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gridSpan w:val="2"/>
                  <w:vMerge w:val="continue"/>
                  <w:tcBorders>
                    <w:tl2br w:val="nil"/>
                    <w:tr2bl w:val="nil"/>
                  </w:tcBorders>
                  <w:noWrap w:val="0"/>
                  <w:vAlign w:val="center"/>
                </w:tcPr>
                <w:p w14:paraId="06A180C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697E9D6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TP</w:t>
                  </w:r>
                </w:p>
              </w:tc>
              <w:tc>
                <w:tcPr>
                  <w:tcW w:w="1323" w:type="dxa"/>
                  <w:tcBorders>
                    <w:tl2br w:val="nil"/>
                    <w:tr2bl w:val="nil"/>
                  </w:tcBorders>
                  <w:noWrap w:val="0"/>
                  <w:vAlign w:val="center"/>
                </w:tcPr>
                <w:p w14:paraId="2C1EBC1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olor w:val="auto"/>
                      <w:sz w:val="21"/>
                      <w:szCs w:val="21"/>
                      <w:lang w:val="en-US" w:eastAsia="zh-CN"/>
                    </w:rPr>
                    <w:t xml:space="preserve">0.0008 </w:t>
                  </w:r>
                </w:p>
              </w:tc>
            </w:tr>
          </w:tbl>
          <w:p w14:paraId="18E022CB">
            <w:pPr>
              <w:pStyle w:val="18"/>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jc w:val="both"/>
              <w:rPr>
                <w:rFonts w:hint="default"/>
                <w:color w:val="auto"/>
              </w:rPr>
            </w:pPr>
            <w:r>
              <w:rPr>
                <w:rFonts w:hint="eastAsia"/>
                <w:color w:val="auto"/>
              </w:rPr>
              <w:t>4、水环境影响分析</w:t>
            </w:r>
          </w:p>
          <w:p w14:paraId="378BFAE2">
            <w:pPr>
              <w:pStyle w:val="1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①水量接管可行性分析</w:t>
            </w:r>
          </w:p>
          <w:p w14:paraId="464857D8">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宋体"/>
                <w:b w:val="0"/>
                <w:bCs w:val="0"/>
                <w:color w:val="auto"/>
                <w:kern w:val="2"/>
                <w:sz w:val="24"/>
                <w:szCs w:val="24"/>
                <w:lang w:val="en-US" w:eastAsia="zh-CN" w:bidi="ar-SA"/>
              </w:rPr>
            </w:pPr>
            <w:r>
              <w:rPr>
                <w:rFonts w:hint="default" w:ascii="Times New Roman" w:hAnsi="Times New Roman" w:eastAsia="宋体" w:cs="宋体"/>
                <w:b w:val="0"/>
                <w:bCs w:val="0"/>
                <w:color w:val="auto"/>
                <w:kern w:val="2"/>
                <w:sz w:val="24"/>
                <w:szCs w:val="24"/>
                <w:lang w:val="en-US" w:eastAsia="zh-CN" w:bidi="ar-SA"/>
              </w:rPr>
              <w:t>涟水经济开发区西区污水处理厂</w:t>
            </w:r>
            <w:r>
              <w:rPr>
                <w:rFonts w:hint="eastAsia" w:cs="宋体"/>
                <w:b w:val="0"/>
                <w:bCs w:val="0"/>
                <w:color w:val="auto"/>
                <w:kern w:val="2"/>
                <w:sz w:val="24"/>
                <w:szCs w:val="24"/>
                <w:lang w:val="en-US" w:eastAsia="zh-CN" w:bidi="ar-SA"/>
              </w:rPr>
              <w:t>目前处理现状为3</w:t>
            </w:r>
            <w:r>
              <w:rPr>
                <w:rFonts w:hint="default" w:ascii="Times New Roman" w:hAnsi="Times New Roman" w:eastAsia="宋体" w:cs="宋体"/>
                <w:b w:val="0"/>
                <w:bCs w:val="0"/>
                <w:color w:val="auto"/>
                <w:kern w:val="2"/>
                <w:sz w:val="24"/>
                <w:szCs w:val="24"/>
                <w:lang w:val="en-US" w:eastAsia="zh-CN" w:bidi="ar-SA"/>
              </w:rPr>
              <w:t>万吨每日，有足够富余量处理本项目的生活污水。本项目营运后新增污水量为</w:t>
            </w:r>
            <w:r>
              <w:rPr>
                <w:rFonts w:hint="eastAsia" w:cs="宋体"/>
                <w:b w:val="0"/>
                <w:bCs w:val="0"/>
                <w:color w:val="auto"/>
                <w:kern w:val="2"/>
                <w:sz w:val="24"/>
                <w:szCs w:val="24"/>
                <w:lang w:val="en-US" w:eastAsia="zh-CN" w:bidi="ar-SA"/>
              </w:rPr>
              <w:t>0.64t/d，</w:t>
            </w:r>
            <w:r>
              <w:rPr>
                <w:rFonts w:hint="default" w:ascii="Times New Roman" w:hAnsi="Times New Roman" w:eastAsia="宋体" w:cs="宋体"/>
                <w:b w:val="0"/>
                <w:bCs w:val="0"/>
                <w:color w:val="auto"/>
                <w:kern w:val="2"/>
                <w:sz w:val="24"/>
                <w:szCs w:val="24"/>
                <w:lang w:val="en-US" w:eastAsia="zh-CN" w:bidi="ar-SA"/>
              </w:rPr>
              <w:t>占涟水经济开发区西区污水处理厂</w:t>
            </w:r>
            <w:r>
              <w:rPr>
                <w:rFonts w:hint="eastAsia" w:cs="宋体"/>
                <w:b w:val="0"/>
                <w:bCs w:val="0"/>
                <w:color w:val="auto"/>
                <w:kern w:val="2"/>
                <w:sz w:val="24"/>
                <w:szCs w:val="24"/>
                <w:lang w:val="en-US" w:eastAsia="zh-CN" w:bidi="ar-SA"/>
              </w:rPr>
              <w:t>处理</w:t>
            </w:r>
            <w:r>
              <w:rPr>
                <w:rFonts w:hint="default" w:ascii="Times New Roman" w:hAnsi="Times New Roman" w:eastAsia="宋体" w:cs="宋体"/>
                <w:b w:val="0"/>
                <w:bCs w:val="0"/>
                <w:color w:val="auto"/>
                <w:kern w:val="2"/>
                <w:sz w:val="24"/>
                <w:szCs w:val="24"/>
                <w:lang w:val="en-US" w:eastAsia="zh-CN" w:bidi="ar-SA"/>
              </w:rPr>
              <w:t>规模的比例很小，因此本项目所排废水的水量在污水处理厂的处理能力内。</w:t>
            </w:r>
          </w:p>
          <w:p w14:paraId="73673C11">
            <w:pPr>
              <w:pStyle w:val="1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②水质接管可行性分析</w:t>
            </w:r>
          </w:p>
          <w:p w14:paraId="02709973">
            <w:pPr>
              <w:pStyle w:val="19"/>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auto"/>
                <w:sz w:val="24"/>
                <w:lang w:val="en-US" w:eastAsia="zh-CN"/>
              </w:rPr>
            </w:pPr>
            <w:r>
              <w:rPr>
                <w:rFonts w:hint="default" w:ascii="Times New Roman" w:hAnsi="Times New Roman"/>
                <w:b w:val="0"/>
                <w:bCs w:val="0"/>
                <w:color w:val="auto"/>
                <w:sz w:val="24"/>
                <w:lang w:val="en-US" w:eastAsia="zh-CN"/>
              </w:rPr>
              <w:t>项目废水中的主要污染物为COD、SS、氨氮、总氮、总磷，经分析，这些污染物经</w:t>
            </w:r>
            <w:r>
              <w:rPr>
                <w:rFonts w:hint="eastAsia" w:ascii="Times New Roman" w:hAnsi="Times New Roman"/>
                <w:b w:val="0"/>
                <w:bCs w:val="0"/>
                <w:color w:val="auto"/>
                <w:sz w:val="24"/>
                <w:lang w:val="en-US" w:eastAsia="zh-CN"/>
              </w:rPr>
              <w:t>化粪池预</w:t>
            </w:r>
            <w:r>
              <w:rPr>
                <w:rFonts w:hint="default" w:ascii="Times New Roman" w:hAnsi="Times New Roman"/>
                <w:b w:val="0"/>
                <w:bCs w:val="0"/>
                <w:color w:val="auto"/>
                <w:sz w:val="24"/>
                <w:lang w:val="en-US" w:eastAsia="zh-CN"/>
              </w:rPr>
              <w:t>处理后，</w:t>
            </w:r>
            <w:r>
              <w:rPr>
                <w:rFonts w:hint="eastAsia" w:ascii="Times New Roman" w:hAnsi="Times New Roman"/>
                <w:b w:val="0"/>
                <w:bCs w:val="0"/>
                <w:color w:val="auto"/>
                <w:sz w:val="24"/>
                <w:lang w:val="en-US" w:eastAsia="zh-CN"/>
              </w:rPr>
              <w:t>可达涟水经济开发区西区污水</w:t>
            </w:r>
            <w:r>
              <w:rPr>
                <w:rFonts w:hint="default" w:ascii="Times New Roman" w:hAnsi="Times New Roman"/>
                <w:b w:val="0"/>
                <w:bCs w:val="0"/>
                <w:color w:val="auto"/>
                <w:sz w:val="24"/>
                <w:lang w:val="en-US" w:eastAsia="zh-CN"/>
              </w:rPr>
              <w:t>处理厂的接管</w:t>
            </w:r>
            <w:r>
              <w:rPr>
                <w:rFonts w:hint="eastAsia" w:ascii="Times New Roman" w:hAnsi="Times New Roman"/>
                <w:b w:val="0"/>
                <w:bCs w:val="0"/>
                <w:color w:val="auto"/>
                <w:sz w:val="24"/>
                <w:lang w:val="en-US" w:eastAsia="zh-CN"/>
              </w:rPr>
              <w:t>要求</w:t>
            </w:r>
            <w:r>
              <w:rPr>
                <w:rFonts w:hint="default" w:ascii="Times New Roman" w:hAnsi="Times New Roman"/>
                <w:b w:val="0"/>
                <w:bCs w:val="0"/>
                <w:color w:val="auto"/>
                <w:sz w:val="24"/>
                <w:lang w:val="en-US" w:eastAsia="zh-CN"/>
              </w:rPr>
              <w:t>，</w:t>
            </w:r>
            <w:r>
              <w:rPr>
                <w:rFonts w:hint="eastAsia" w:ascii="Times New Roman" w:hAnsi="Times New Roman"/>
                <w:b w:val="0"/>
                <w:bCs w:val="0"/>
                <w:color w:val="auto"/>
                <w:sz w:val="24"/>
                <w:lang w:val="en-US" w:eastAsia="zh-CN"/>
              </w:rPr>
              <w:t>项目废水经涟水经济开发区西区污水处理厂处理后达标排放</w:t>
            </w:r>
            <w:r>
              <w:rPr>
                <w:rFonts w:hint="default" w:ascii="Times New Roman" w:hAnsi="Times New Roman"/>
                <w:b w:val="0"/>
                <w:bCs w:val="0"/>
                <w:color w:val="auto"/>
                <w:sz w:val="24"/>
                <w:lang w:val="en-US" w:eastAsia="zh-CN"/>
              </w:rPr>
              <w:t>。</w:t>
            </w:r>
          </w:p>
          <w:p w14:paraId="75072831">
            <w:pPr>
              <w:pStyle w:val="19"/>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auto"/>
                <w:sz w:val="24"/>
                <w:lang w:val="en-US" w:eastAsia="zh-CN"/>
              </w:rPr>
            </w:pPr>
            <w:r>
              <w:rPr>
                <w:rFonts w:hint="default" w:ascii="Times New Roman" w:hAnsi="Times New Roman"/>
                <w:b w:val="0"/>
                <w:bCs w:val="0"/>
                <w:color w:val="auto"/>
                <w:sz w:val="24"/>
                <w:lang w:val="en-US" w:eastAsia="zh-CN"/>
              </w:rPr>
              <w:t>因此，从水质上来说，本项目废水排入</w:t>
            </w:r>
            <w:r>
              <w:rPr>
                <w:rFonts w:hint="eastAsia" w:ascii="Times New Roman" w:hAnsi="Times New Roman"/>
                <w:b w:val="0"/>
                <w:bCs w:val="0"/>
                <w:color w:val="auto"/>
                <w:sz w:val="24"/>
                <w:lang w:val="en-US" w:eastAsia="zh-CN"/>
              </w:rPr>
              <w:t>涟水经济开发区西区污水处理厂</w:t>
            </w:r>
            <w:r>
              <w:rPr>
                <w:rFonts w:hint="default" w:ascii="Times New Roman" w:hAnsi="Times New Roman"/>
                <w:b w:val="0"/>
                <w:bCs w:val="0"/>
                <w:color w:val="auto"/>
                <w:sz w:val="24"/>
                <w:lang w:val="en-US" w:eastAsia="zh-CN"/>
              </w:rPr>
              <w:t>处理是可行的。</w:t>
            </w:r>
          </w:p>
          <w:p w14:paraId="41A577DE">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b w:val="0"/>
                <w:bCs/>
                <w:color w:val="auto"/>
                <w:sz w:val="24"/>
                <w:lang w:val="en-US" w:eastAsia="zh-CN"/>
              </w:rPr>
            </w:pPr>
            <w:r>
              <w:rPr>
                <w:rFonts w:hint="eastAsia" w:ascii="Times New Roman" w:hAnsi="Times New Roman"/>
                <w:b w:val="0"/>
                <w:bCs/>
                <w:color w:val="auto"/>
                <w:sz w:val="24"/>
                <w:lang w:val="en-US" w:eastAsia="zh-CN"/>
              </w:rPr>
              <w:t>③管网配套可行性分析</w:t>
            </w:r>
          </w:p>
          <w:p w14:paraId="07DFB418">
            <w:pPr>
              <w:keepNext w:val="0"/>
              <w:keepLines w:val="0"/>
              <w:pageBreakBefore w:val="0"/>
              <w:widowControl w:val="0"/>
              <w:kinsoku/>
              <w:wordWrap/>
              <w:overflowPunct/>
              <w:topLinePunct w:val="0"/>
              <w:bidi w:val="0"/>
              <w:snapToGrid/>
              <w:spacing w:line="360" w:lineRule="auto"/>
              <w:ind w:firstLine="480" w:firstLineChars="200"/>
              <w:jc w:val="both"/>
              <w:textAlignment w:val="auto"/>
              <w:rPr>
                <w:color w:val="auto"/>
                <w:sz w:val="24"/>
              </w:rPr>
            </w:pPr>
            <w:r>
              <w:rPr>
                <w:color w:val="auto"/>
                <w:sz w:val="24"/>
              </w:rPr>
              <w:t>建设项目雨、污水分别接管进入市政雨、污水管网，项目生活污水</w:t>
            </w:r>
            <w:r>
              <w:rPr>
                <w:rFonts w:hint="eastAsia"/>
                <w:color w:val="auto"/>
                <w:sz w:val="24"/>
              </w:rPr>
              <w:t>依托租赁企业厂区内现有化粪池预处理</w:t>
            </w:r>
            <w:r>
              <w:rPr>
                <w:color w:val="auto"/>
                <w:sz w:val="24"/>
              </w:rPr>
              <w:t>后，可达涟水经济开发区西区污水处理厂的接管要求，项目废水经涟水经济开发区西区污水处理厂处理后达标排放，对周围水环境影响较小。</w:t>
            </w:r>
          </w:p>
          <w:p w14:paraId="1C3DDF26">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color w:val="auto"/>
                <w:sz w:val="24"/>
                <w:lang w:val="en-US" w:eastAsia="zh-CN"/>
              </w:rPr>
            </w:pPr>
            <w:r>
              <w:rPr>
                <w:rFonts w:hint="default" w:ascii="Times New Roman" w:hAnsi="Times New Roman"/>
                <w:b w:val="0"/>
                <w:bCs/>
                <w:color w:val="auto"/>
                <w:sz w:val="24"/>
                <w:lang w:val="en-US" w:eastAsia="zh-CN"/>
              </w:rPr>
              <w:t>本项目位于涟水县</w:t>
            </w:r>
            <w:r>
              <w:rPr>
                <w:rFonts w:hint="eastAsia" w:ascii="Times New Roman" w:hAnsi="Times New Roman"/>
                <w:b w:val="0"/>
                <w:bCs/>
                <w:color w:val="auto"/>
                <w:sz w:val="24"/>
                <w:lang w:val="en-US" w:eastAsia="zh-CN"/>
              </w:rPr>
              <w:t>经济开发区炎黄大道99号</w:t>
            </w:r>
            <w:r>
              <w:rPr>
                <w:rFonts w:hint="default" w:ascii="Times New Roman" w:hAnsi="Times New Roman"/>
                <w:b w:val="0"/>
                <w:bCs/>
                <w:color w:val="auto"/>
                <w:sz w:val="24"/>
                <w:lang w:val="en-US" w:eastAsia="zh-CN"/>
              </w:rPr>
              <w:t>，属于</w:t>
            </w:r>
            <w:r>
              <w:rPr>
                <w:rFonts w:hint="eastAsia" w:ascii="Times New Roman" w:hAnsi="Times New Roman"/>
                <w:b w:val="0"/>
                <w:bCs/>
                <w:color w:val="auto"/>
                <w:sz w:val="24"/>
                <w:lang w:val="en-US" w:eastAsia="zh-CN"/>
              </w:rPr>
              <w:t>涟水经济开发区西区污水</w:t>
            </w:r>
            <w:r>
              <w:rPr>
                <w:rFonts w:hint="default" w:ascii="Times New Roman" w:hAnsi="Times New Roman"/>
                <w:b w:val="0"/>
                <w:bCs/>
                <w:color w:val="auto"/>
                <w:sz w:val="24"/>
                <w:lang w:val="en-US" w:eastAsia="zh-CN"/>
              </w:rPr>
              <w:t>处理厂服务范围内，且所在区域污水管网已铺设到位。</w:t>
            </w:r>
          </w:p>
          <w:p w14:paraId="13C5484F">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b w:val="0"/>
                <w:bCs/>
                <w:color w:val="auto"/>
              </w:rPr>
            </w:pPr>
            <w:r>
              <w:rPr>
                <w:rFonts w:hint="eastAsia" w:ascii="Times New Roman" w:hAnsi="Times New Roman" w:cs="Times New Roman"/>
                <w:b w:val="0"/>
                <w:bCs/>
                <w:color w:val="auto"/>
              </w:rPr>
              <w:t>5</w:t>
            </w:r>
            <w:r>
              <w:rPr>
                <w:rFonts w:hint="default" w:ascii="Times New Roman" w:hAnsi="Times New Roman" w:cs="Times New Roman"/>
                <w:b w:val="0"/>
                <w:bCs/>
                <w:color w:val="auto"/>
              </w:rPr>
              <w:t>、</w:t>
            </w:r>
            <w:r>
              <w:rPr>
                <w:rFonts w:hint="eastAsia" w:ascii="Times New Roman" w:hAnsi="Times New Roman" w:cs="Times New Roman"/>
                <w:b w:val="0"/>
                <w:bCs/>
                <w:color w:val="auto"/>
              </w:rPr>
              <w:t>水环境影响分析结论</w:t>
            </w:r>
          </w:p>
          <w:p w14:paraId="58F6A0C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ascii="Times New Roman" w:hAnsi="Times New Roman"/>
                <w:b w:val="0"/>
                <w:bCs/>
                <w:color w:val="auto"/>
                <w:sz w:val="24"/>
                <w:lang w:val="en-US" w:eastAsia="zh-CN"/>
              </w:rPr>
              <w:t>本项目废水主要为生活污水，生活污水</w:t>
            </w:r>
            <w:r>
              <w:rPr>
                <w:rFonts w:hint="eastAsia"/>
                <w:b w:val="0"/>
                <w:bCs/>
                <w:color w:val="auto"/>
                <w:sz w:val="24"/>
                <w:lang w:val="en-US" w:eastAsia="zh-CN"/>
              </w:rPr>
              <w:t>经</w:t>
            </w:r>
            <w:r>
              <w:rPr>
                <w:rFonts w:hint="eastAsia" w:ascii="Times New Roman" w:hAnsi="Times New Roman"/>
                <w:b w:val="0"/>
                <w:bCs/>
                <w:color w:val="auto"/>
                <w:sz w:val="24"/>
                <w:lang w:val="en-US" w:eastAsia="zh-CN"/>
              </w:rPr>
              <w:t>化粪池预处理后可达到涟水经济开发区西区污水处理厂接管标准，通过市政污水管网接管至涟水经济开发区西区处理厂处理，尾水</w:t>
            </w:r>
            <w:r>
              <w:rPr>
                <w:rFonts w:hint="eastAsia"/>
                <w:b w:val="0"/>
                <w:bCs/>
                <w:color w:val="auto"/>
                <w:sz w:val="24"/>
                <w:lang w:val="en-US" w:eastAsia="zh-CN"/>
              </w:rPr>
              <w:t>经祁六沟</w:t>
            </w:r>
            <w:r>
              <w:rPr>
                <w:rFonts w:hint="eastAsia" w:ascii="Times New Roman" w:hAnsi="Times New Roman"/>
                <w:b w:val="0"/>
                <w:bCs/>
                <w:color w:val="auto"/>
                <w:sz w:val="24"/>
                <w:lang w:val="en-US" w:eastAsia="zh-CN"/>
              </w:rPr>
              <w:t>排入公兴河；且从水量、水质、配套管网建设情况等方面综合考虑，</w:t>
            </w:r>
            <w:r>
              <w:rPr>
                <w:color w:val="auto"/>
                <w:sz w:val="24"/>
              </w:rPr>
              <w:t>项目废水接管至涟水经济开发区西区污水处理厂处理是可行的。</w:t>
            </w:r>
          </w:p>
          <w:p w14:paraId="6FF04C5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color w:val="auto"/>
                <w:sz w:val="24"/>
              </w:rPr>
              <w:t>因此，项目对地表水环境的影响可以接受。</w:t>
            </w:r>
          </w:p>
          <w:p w14:paraId="5BE40D2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eastAsia="宋体"/>
                <w:color w:val="auto"/>
                <w:kern w:val="0"/>
                <w:sz w:val="24"/>
                <w:lang w:val="zh-CN"/>
              </w:rPr>
            </w:pPr>
            <w:r>
              <w:rPr>
                <w:rFonts w:hint="eastAsia"/>
                <w:color w:val="auto"/>
                <w:kern w:val="0"/>
                <w:sz w:val="24"/>
                <w:lang w:val="en-US" w:eastAsia="zh-CN"/>
              </w:rPr>
              <w:t>6、</w:t>
            </w:r>
            <w:r>
              <w:rPr>
                <w:rFonts w:eastAsia="宋体"/>
                <w:color w:val="auto"/>
                <w:kern w:val="0"/>
                <w:sz w:val="24"/>
                <w:lang w:val="zh-CN"/>
              </w:rPr>
              <w:t>废水监测要求</w:t>
            </w:r>
          </w:p>
          <w:p w14:paraId="365711FF">
            <w:pPr>
              <w:pStyle w:val="18"/>
              <w:keepNext w:val="0"/>
              <w:keepLines w:val="0"/>
              <w:pageBreakBefore w:val="0"/>
              <w:widowControl w:val="0"/>
              <w:kinsoku/>
              <w:wordWrap/>
              <w:overflowPunct/>
              <w:topLinePunct w:val="0"/>
              <w:bidi w:val="0"/>
              <w:spacing w:after="0" w:line="360" w:lineRule="auto"/>
              <w:ind w:left="0" w:leftChars="0" w:firstLine="480"/>
              <w:jc w:val="both"/>
              <w:rPr>
                <w:rFonts w:hint="default" w:eastAsia="宋体"/>
                <w:color w:val="auto"/>
                <w:lang w:val="en-US" w:eastAsia="zh-CN"/>
              </w:rPr>
            </w:pPr>
            <w:r>
              <w:rPr>
                <w:rFonts w:hint="eastAsia"/>
                <w:color w:val="auto"/>
              </w:rPr>
              <w:t>本项目营运期废水</w:t>
            </w:r>
            <w:r>
              <w:rPr>
                <w:rFonts w:hint="eastAsia"/>
                <w:color w:val="auto"/>
                <w:lang w:val="en-US" w:eastAsia="zh-CN"/>
              </w:rPr>
              <w:t>为生活污水，</w:t>
            </w:r>
            <w:r>
              <w:rPr>
                <w:color w:val="auto"/>
                <w:sz w:val="24"/>
              </w:rPr>
              <w:t>根据《排污许可证申请与核发技术规范橡胶与塑料制品工业》（HJ1122-2020）</w:t>
            </w:r>
            <w:r>
              <w:rPr>
                <w:rFonts w:hint="eastAsia"/>
                <w:color w:val="auto"/>
                <w:sz w:val="24"/>
                <w:lang w:eastAsia="zh-CN"/>
              </w:rPr>
              <w:t>、</w:t>
            </w:r>
            <w:r>
              <w:rPr>
                <w:color w:val="auto"/>
                <w:sz w:val="24"/>
              </w:rPr>
              <w:t>《排污单位自行监测技术指南</w:t>
            </w:r>
            <w:r>
              <w:rPr>
                <w:rFonts w:hint="eastAsia"/>
                <w:color w:val="auto"/>
                <w:sz w:val="24"/>
              </w:rPr>
              <w:t>橡胶和塑料制品</w:t>
            </w:r>
            <w:r>
              <w:rPr>
                <w:color w:val="auto"/>
                <w:sz w:val="24"/>
              </w:rPr>
              <w:t>》（</w:t>
            </w:r>
            <w:r>
              <w:rPr>
                <w:rFonts w:hint="eastAsia"/>
                <w:color w:val="auto"/>
                <w:sz w:val="24"/>
              </w:rPr>
              <w:t>HJ1207-2021</w:t>
            </w:r>
            <w:r>
              <w:rPr>
                <w:color w:val="auto"/>
                <w:sz w:val="24"/>
              </w:rPr>
              <w:t>）</w:t>
            </w:r>
            <w:r>
              <w:rPr>
                <w:rFonts w:hint="eastAsia"/>
                <w:color w:val="auto"/>
                <w:sz w:val="24"/>
                <w:lang w:eastAsia="zh-CN"/>
              </w:rPr>
              <w:t>、</w:t>
            </w:r>
            <w:r>
              <w:rPr>
                <w:rFonts w:hint="eastAsia"/>
                <w:color w:val="auto"/>
              </w:rPr>
              <w:t>《排污单位自行监测技术指南总则》（HJ819-2017）中相关规定，单独排入公共污水处理系统的生活污水无需开展自行监测，</w:t>
            </w:r>
            <w:r>
              <w:rPr>
                <w:rFonts w:hint="eastAsia"/>
                <w:color w:val="auto"/>
                <w:lang w:val="en-US" w:eastAsia="zh-CN"/>
              </w:rPr>
              <w:t>本项目生活污水可不进行</w:t>
            </w:r>
            <w:r>
              <w:rPr>
                <w:rFonts w:hint="eastAsia"/>
                <w:color w:val="auto"/>
              </w:rPr>
              <w:t>监测</w:t>
            </w:r>
            <w:r>
              <w:rPr>
                <w:rFonts w:hint="eastAsia"/>
                <w:color w:val="auto"/>
                <w:sz w:val="21"/>
                <w:szCs w:val="21"/>
                <w:lang w:eastAsia="zh-CN"/>
              </w:rPr>
              <w:t>。</w:t>
            </w:r>
          </w:p>
          <w:p w14:paraId="6F24B6CB">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auto"/>
                <w:szCs w:val="24"/>
              </w:rPr>
            </w:pPr>
            <w:r>
              <w:rPr>
                <w:rFonts w:hint="eastAsia" w:ascii="Times New Roman" w:hAnsi="Times New Roman" w:eastAsia="宋体"/>
                <w:b/>
                <w:color w:val="auto"/>
                <w:szCs w:val="24"/>
              </w:rPr>
              <w:t>三</w:t>
            </w:r>
            <w:r>
              <w:rPr>
                <w:rFonts w:ascii="Times New Roman" w:hAnsi="Times New Roman" w:eastAsia="宋体"/>
                <w:b/>
                <w:color w:val="auto"/>
                <w:szCs w:val="24"/>
              </w:rPr>
              <w:t>、</w:t>
            </w:r>
            <w:r>
              <w:rPr>
                <w:rFonts w:hint="eastAsia" w:ascii="Times New Roman" w:hAnsi="Times New Roman" w:eastAsia="宋体"/>
                <w:b/>
                <w:color w:val="auto"/>
                <w:szCs w:val="24"/>
              </w:rPr>
              <w:t>噪声</w:t>
            </w:r>
          </w:p>
          <w:p w14:paraId="1D004FA0">
            <w:pPr>
              <w:pStyle w:val="49"/>
              <w:keepNext w:val="0"/>
              <w:keepLines w:val="0"/>
              <w:pageBreakBefore w:val="0"/>
              <w:widowControl w:val="0"/>
              <w:kinsoku/>
              <w:wordWrap/>
              <w:overflowPunct/>
              <w:topLinePunct w:val="0"/>
              <w:bidi w:val="0"/>
              <w:snapToGrid w:val="0"/>
              <w:spacing w:line="360" w:lineRule="auto"/>
              <w:ind w:firstLine="480"/>
              <w:jc w:val="both"/>
              <w:rPr>
                <w:rFonts w:ascii="Times New Roman" w:eastAsia="宋体"/>
                <w:b w:val="0"/>
                <w:bCs/>
                <w:color w:val="auto"/>
                <w:sz w:val="24"/>
                <w:szCs w:val="24"/>
              </w:rPr>
            </w:pPr>
            <w:r>
              <w:rPr>
                <w:rFonts w:hint="eastAsia" w:ascii="Times New Roman" w:eastAsia="宋体"/>
                <w:b w:val="0"/>
                <w:bCs/>
                <w:color w:val="auto"/>
                <w:sz w:val="24"/>
                <w:szCs w:val="24"/>
              </w:rPr>
              <w:t>1、噪声源分析</w:t>
            </w:r>
          </w:p>
          <w:p w14:paraId="2556D77C">
            <w:pPr>
              <w:pStyle w:val="19"/>
              <w:keepNext w:val="0"/>
              <w:keepLines w:val="0"/>
              <w:pageBreakBefore w:val="0"/>
              <w:widowControl w:val="0"/>
              <w:kinsoku/>
              <w:wordWrap/>
              <w:overflowPunct/>
              <w:topLinePunct w:val="0"/>
              <w:bidi w:val="0"/>
              <w:spacing w:line="360" w:lineRule="auto"/>
              <w:ind w:firstLine="480" w:firstLineChars="200"/>
              <w:jc w:val="both"/>
              <w:rPr>
                <w:rFonts w:hint="eastAsia" w:eastAsia="宋体"/>
                <w:bCs/>
                <w:color w:val="auto"/>
                <w:sz w:val="24"/>
                <w:szCs w:val="24"/>
                <w:lang w:val="en-US" w:eastAsia="zh-CN"/>
              </w:rPr>
            </w:pPr>
            <w:r>
              <w:rPr>
                <w:rFonts w:hint="eastAsia" w:ascii="Times New Roman" w:hAnsi="Times New Roman"/>
                <w:b w:val="0"/>
                <w:bCs w:val="0"/>
                <w:color w:val="auto"/>
                <w:sz w:val="24"/>
              </w:rPr>
              <w:t>本项目营运期</w:t>
            </w:r>
            <w:r>
              <w:rPr>
                <w:rFonts w:ascii="Times New Roman" w:hAnsi="Times New Roman"/>
                <w:b w:val="0"/>
                <w:bCs w:val="0"/>
                <w:color w:val="auto"/>
                <w:sz w:val="24"/>
              </w:rPr>
              <w:t>主要固定噪声源为</w:t>
            </w:r>
            <w:r>
              <w:rPr>
                <w:rFonts w:hint="eastAsia" w:ascii="Times New Roman" w:hAnsi="Times New Roman"/>
                <w:b w:val="0"/>
                <w:bCs w:val="0"/>
                <w:color w:val="auto"/>
                <w:sz w:val="24"/>
                <w:lang w:val="en-US" w:eastAsia="zh-CN"/>
              </w:rPr>
              <w:t>拉挤机、注塑机、搅拌机、切割机、破碎机、空气泵、废气处理风机</w:t>
            </w:r>
            <w:r>
              <w:rPr>
                <w:rFonts w:hint="eastAsia" w:ascii="Times New Roman" w:hAnsi="Times New Roman"/>
                <w:b w:val="0"/>
                <w:bCs w:val="0"/>
                <w:color w:val="auto"/>
                <w:sz w:val="24"/>
              </w:rPr>
              <w:t>等。</w:t>
            </w:r>
            <w:r>
              <w:rPr>
                <w:rFonts w:ascii="Times New Roman" w:hAnsi="Times New Roman"/>
                <w:b w:val="0"/>
                <w:bCs w:val="0"/>
                <w:color w:val="auto"/>
                <w:sz w:val="24"/>
              </w:rPr>
              <w:t>根据类比</w:t>
            </w:r>
            <w:r>
              <w:rPr>
                <w:rFonts w:hint="eastAsia" w:ascii="Times New Roman" w:hAnsi="Times New Roman"/>
                <w:b w:val="0"/>
                <w:bCs w:val="0"/>
                <w:color w:val="auto"/>
                <w:sz w:val="24"/>
              </w:rPr>
              <w:t>分析</w:t>
            </w:r>
            <w:r>
              <w:rPr>
                <w:rFonts w:ascii="Times New Roman" w:hAnsi="Times New Roman"/>
                <w:b w:val="0"/>
                <w:bCs w:val="0"/>
                <w:color w:val="auto"/>
                <w:sz w:val="24"/>
              </w:rPr>
              <w:t>，设备运行时</w:t>
            </w:r>
            <w:r>
              <w:rPr>
                <w:rFonts w:hint="eastAsia" w:ascii="Times New Roman" w:hAnsi="Times New Roman"/>
                <w:b w:val="0"/>
                <w:bCs w:val="0"/>
                <w:color w:val="auto"/>
                <w:sz w:val="24"/>
              </w:rPr>
              <w:t>机械</w:t>
            </w:r>
            <w:r>
              <w:rPr>
                <w:rFonts w:ascii="Times New Roman" w:hAnsi="Times New Roman"/>
                <w:b w:val="0"/>
                <w:bCs w:val="0"/>
                <w:color w:val="auto"/>
                <w:sz w:val="24"/>
              </w:rPr>
              <w:t>噪声值在</w:t>
            </w:r>
            <w:r>
              <w:rPr>
                <w:rFonts w:hint="eastAsia" w:ascii="Times New Roman" w:hAnsi="Times New Roman"/>
                <w:b w:val="0"/>
                <w:bCs w:val="0"/>
                <w:color w:val="auto"/>
                <w:sz w:val="24"/>
                <w:lang w:val="en-US" w:eastAsia="zh-CN"/>
              </w:rPr>
              <w:t>70</w:t>
            </w:r>
            <w:r>
              <w:rPr>
                <w:rFonts w:ascii="Times New Roman" w:hAnsi="Times New Roman"/>
                <w:b w:val="0"/>
                <w:bCs w:val="0"/>
                <w:color w:val="auto"/>
                <w:sz w:val="24"/>
              </w:rPr>
              <w:t>～</w:t>
            </w:r>
            <w:r>
              <w:rPr>
                <w:rFonts w:hint="eastAsia" w:ascii="Times New Roman" w:hAnsi="Times New Roman"/>
                <w:b w:val="0"/>
                <w:bCs w:val="0"/>
                <w:color w:val="auto"/>
                <w:sz w:val="24"/>
                <w:lang w:val="en-US" w:eastAsia="zh-CN"/>
              </w:rPr>
              <w:t>85</w:t>
            </w:r>
            <w:r>
              <w:rPr>
                <w:rFonts w:ascii="Times New Roman" w:hAnsi="Times New Roman"/>
                <w:b w:val="0"/>
                <w:bCs w:val="0"/>
                <w:color w:val="auto"/>
                <w:sz w:val="24"/>
              </w:rPr>
              <w:t>dB</w:t>
            </w:r>
            <w:r>
              <w:rPr>
                <w:rFonts w:hint="default" w:ascii="Times New Roman" w:hAnsi="Times New Roman" w:cs="Times New Roman"/>
                <w:b w:val="0"/>
                <w:bCs w:val="0"/>
                <w:color w:val="auto"/>
                <w:sz w:val="24"/>
              </w:rPr>
              <w:t>（A）之间。</w:t>
            </w:r>
            <w:r>
              <w:rPr>
                <w:rFonts w:hint="default" w:ascii="Times New Roman" w:hAnsi="Times New Roman" w:cs="Times New Roman"/>
                <w:b w:val="0"/>
                <w:bCs w:val="0"/>
                <w:snapToGrid w:val="0"/>
                <w:color w:val="auto"/>
                <w:sz w:val="24"/>
              </w:rPr>
              <w:t>本</w:t>
            </w:r>
            <w:r>
              <w:rPr>
                <w:rFonts w:hint="default" w:ascii="Times New Roman" w:hAnsi="Times New Roman" w:cs="Times New Roman"/>
                <w:b w:val="0"/>
                <w:bCs w:val="0"/>
                <w:color w:val="auto"/>
                <w:sz w:val="24"/>
              </w:rPr>
              <w:t>项目主</w:t>
            </w:r>
            <w:r>
              <w:rPr>
                <w:rFonts w:ascii="Times New Roman" w:hAnsi="Times New Roman"/>
                <w:b w:val="0"/>
                <w:bCs w:val="0"/>
                <w:color w:val="auto"/>
                <w:sz w:val="24"/>
              </w:rPr>
              <w:t>要设备噪声源强见</w:t>
            </w:r>
            <w:r>
              <w:rPr>
                <w:rFonts w:hint="eastAsia" w:ascii="Times New Roman" w:hAnsi="Times New Roman"/>
                <w:b w:val="0"/>
                <w:bCs w:val="0"/>
                <w:color w:val="auto"/>
                <w:sz w:val="24"/>
                <w:lang w:val="en-US" w:eastAsia="zh-CN"/>
              </w:rPr>
              <w:t>下</w:t>
            </w:r>
            <w:r>
              <w:rPr>
                <w:rFonts w:ascii="Times New Roman" w:hAnsi="Times New Roman"/>
                <w:b w:val="0"/>
                <w:bCs w:val="0"/>
                <w:color w:val="auto"/>
                <w:sz w:val="24"/>
              </w:rPr>
              <w:t>表</w:t>
            </w:r>
            <w:r>
              <w:rPr>
                <w:rFonts w:hint="eastAsia"/>
                <w:b w:val="0"/>
                <w:bCs w:val="0"/>
                <w:color w:val="auto"/>
                <w:sz w:val="24"/>
                <w:lang w:eastAsia="zh-CN"/>
              </w:rPr>
              <w:t>。</w:t>
            </w:r>
          </w:p>
        </w:tc>
      </w:tr>
    </w:tbl>
    <w:p w14:paraId="5BCED624">
      <w:pPr>
        <w:adjustRightInd w:val="0"/>
        <w:snapToGrid w:val="0"/>
        <w:jc w:val="center"/>
        <w:rPr>
          <w:rFonts w:ascii="宋体" w:hAnsi="宋体" w:cs="宋体"/>
          <w:bCs/>
          <w:color w:val="auto"/>
          <w:szCs w:val="21"/>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15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717"/>
      </w:tblGrid>
      <w:tr w14:paraId="02293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8" w:hRule="atLeast"/>
          <w:jc w:val="center"/>
        </w:trPr>
        <w:tc>
          <w:tcPr>
            <w:tcW w:w="562" w:type="dxa"/>
            <w:noWrap w:val="0"/>
            <w:vAlign w:val="center"/>
          </w:tcPr>
          <w:p w14:paraId="3B4F479F">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rPr>
            </w:pPr>
          </w:p>
        </w:tc>
        <w:tc>
          <w:tcPr>
            <w:tcW w:w="14717" w:type="dxa"/>
            <w:noWrap w:val="0"/>
            <w:vAlign w:val="top"/>
          </w:tcPr>
          <w:p w14:paraId="45FD6D40">
            <w:pPr>
              <w:pStyle w:val="16"/>
              <w:keepNext w:val="0"/>
              <w:keepLines w:val="0"/>
              <w:suppressLineNumbers w:val="0"/>
              <w:spacing w:before="0" w:beforeAutospacing="0" w:after="0" w:afterAutospacing="0" w:line="240" w:lineRule="auto"/>
              <w:ind w:left="0" w:right="0"/>
              <w:jc w:val="center"/>
              <w:outlineLvl w:val="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eastAsia="宋体"/>
                <w:b/>
                <w:bCs/>
                <w:color w:val="auto"/>
                <w:sz w:val="21"/>
                <w:szCs w:val="21"/>
                <w:lang w:val="en-US" w:eastAsia="zh-CN"/>
              </w:rPr>
              <w:t>1</w:t>
            </w:r>
            <w:r>
              <w:rPr>
                <w:rFonts w:hint="eastAsia" w:ascii="Times New Roman" w:hAnsi="Times New Roman"/>
                <w:b/>
                <w:bCs/>
                <w:color w:val="auto"/>
                <w:sz w:val="21"/>
                <w:szCs w:val="21"/>
                <w:lang w:val="en-US" w:eastAsia="zh-CN"/>
              </w:rPr>
              <w:t xml:space="preserve">6 </w:t>
            </w:r>
            <w:r>
              <w:rPr>
                <w:rFonts w:hint="eastAsia" w:ascii="Times New Roman" w:hAnsi="Times New Roman" w:eastAsia="宋体"/>
                <w:b/>
                <w:bCs/>
                <w:color w:val="auto"/>
                <w:sz w:val="21"/>
                <w:szCs w:val="21"/>
                <w:lang w:val="en-US" w:eastAsia="zh-CN"/>
              </w:rPr>
              <w:t>本项目主要噪声源源强调查清单（室外声源位dB（A））</w:t>
            </w:r>
          </w:p>
          <w:tbl>
            <w:tblPr>
              <w:tblStyle w:val="23"/>
              <w:tblW w:w="1450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4"/>
              <w:gridCol w:w="882"/>
              <w:gridCol w:w="982"/>
              <w:gridCol w:w="909"/>
              <w:gridCol w:w="3882"/>
              <w:gridCol w:w="2236"/>
              <w:gridCol w:w="2636"/>
              <w:gridCol w:w="1145"/>
            </w:tblGrid>
            <w:tr w14:paraId="58C7E3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tcBorders>
                    <w:tl2br w:val="nil"/>
                    <w:tr2bl w:val="nil"/>
                  </w:tcBorders>
                  <w:vAlign w:val="center"/>
                </w:tcPr>
                <w:p w14:paraId="26FE6774">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序号</w:t>
                  </w:r>
                </w:p>
              </w:tc>
              <w:tc>
                <w:tcPr>
                  <w:tcW w:w="1154" w:type="dxa"/>
                  <w:vMerge w:val="restart"/>
                  <w:tcBorders>
                    <w:tl2br w:val="nil"/>
                    <w:tr2bl w:val="nil"/>
                  </w:tcBorders>
                  <w:vAlign w:val="center"/>
                </w:tcPr>
                <w:p w14:paraId="39582835">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声源名称</w:t>
                  </w:r>
                </w:p>
              </w:tc>
              <w:tc>
                <w:tcPr>
                  <w:tcW w:w="2773" w:type="dxa"/>
                  <w:gridSpan w:val="3"/>
                  <w:tcBorders>
                    <w:tl2br w:val="nil"/>
                    <w:tr2bl w:val="nil"/>
                  </w:tcBorders>
                  <w:vAlign w:val="center"/>
                </w:tcPr>
                <w:p w14:paraId="051527D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空间相对位置</w:t>
                  </w:r>
                </w:p>
              </w:tc>
              <w:tc>
                <w:tcPr>
                  <w:tcW w:w="6118" w:type="dxa"/>
                  <w:gridSpan w:val="2"/>
                  <w:tcBorders>
                    <w:tl2br w:val="nil"/>
                    <w:tr2bl w:val="nil"/>
                  </w:tcBorders>
                  <w:vAlign w:val="center"/>
                </w:tcPr>
                <w:p w14:paraId="35323DB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w:t>
                  </w:r>
                  <w:r>
                    <w:rPr>
                      <w:rFonts w:hint="eastAsia" w:ascii="Times New Roman" w:hAnsi="Times New Roman" w:cs="Times New Roman"/>
                      <w:b w:val="0"/>
                      <w:bCs/>
                      <w:color w:val="auto"/>
                      <w:sz w:val="21"/>
                      <w:szCs w:val="21"/>
                      <w:vertAlign w:val="baseline"/>
                      <w:lang w:val="en-US" w:eastAsia="zh-CN"/>
                    </w:rPr>
                    <w:t>源</w:t>
                  </w:r>
                  <w:r>
                    <w:rPr>
                      <w:rFonts w:hint="eastAsia" w:ascii="Times New Roman" w:hAnsi="Times New Roman" w:eastAsia="宋体" w:cs="Times New Roman"/>
                      <w:b w:val="0"/>
                      <w:bCs/>
                      <w:color w:val="auto"/>
                      <w:sz w:val="21"/>
                      <w:szCs w:val="21"/>
                      <w:vertAlign w:val="baseline"/>
                      <w:lang w:val="en-US" w:eastAsia="zh-CN"/>
                    </w:rPr>
                    <w:t>强</w:t>
                  </w:r>
                </w:p>
              </w:tc>
              <w:tc>
                <w:tcPr>
                  <w:tcW w:w="2636" w:type="dxa"/>
                  <w:vMerge w:val="restart"/>
                  <w:tcBorders>
                    <w:tl2br w:val="nil"/>
                    <w:tr2bl w:val="nil"/>
                  </w:tcBorders>
                  <w:vAlign w:val="center"/>
                </w:tcPr>
                <w:p w14:paraId="40C2A0C6">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声源控制措施</w:t>
                  </w:r>
                </w:p>
              </w:tc>
              <w:tc>
                <w:tcPr>
                  <w:tcW w:w="1145" w:type="dxa"/>
                  <w:vMerge w:val="restart"/>
                  <w:tcBorders>
                    <w:tl2br w:val="nil"/>
                    <w:tr2bl w:val="nil"/>
                  </w:tcBorders>
                  <w:vAlign w:val="center"/>
                </w:tcPr>
                <w:p w14:paraId="0E362928">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运行时段</w:t>
                  </w:r>
                </w:p>
              </w:tc>
            </w:tr>
            <w:tr w14:paraId="34A6BC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tcBorders>
                    <w:tl2br w:val="nil"/>
                    <w:tr2bl w:val="nil"/>
                  </w:tcBorders>
                  <w:vAlign w:val="center"/>
                </w:tcPr>
                <w:p w14:paraId="2C0C40BF">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1154" w:type="dxa"/>
                  <w:vMerge w:val="continue"/>
                  <w:tcBorders>
                    <w:tl2br w:val="nil"/>
                    <w:tr2bl w:val="nil"/>
                  </w:tcBorders>
                  <w:vAlign w:val="center"/>
                </w:tcPr>
                <w:p w14:paraId="7D7DC38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882" w:type="dxa"/>
                  <w:tcBorders>
                    <w:tl2br w:val="nil"/>
                    <w:tr2bl w:val="nil"/>
                  </w:tcBorders>
                  <w:vAlign w:val="center"/>
                </w:tcPr>
                <w:p w14:paraId="7AABC362">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X</w:t>
                  </w:r>
                </w:p>
              </w:tc>
              <w:tc>
                <w:tcPr>
                  <w:tcW w:w="982" w:type="dxa"/>
                  <w:tcBorders>
                    <w:tl2br w:val="nil"/>
                    <w:tr2bl w:val="nil"/>
                  </w:tcBorders>
                  <w:vAlign w:val="center"/>
                </w:tcPr>
                <w:p w14:paraId="760678A6">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Y</w:t>
                  </w:r>
                </w:p>
              </w:tc>
              <w:tc>
                <w:tcPr>
                  <w:tcW w:w="909" w:type="dxa"/>
                  <w:tcBorders>
                    <w:tl2br w:val="nil"/>
                    <w:tr2bl w:val="nil"/>
                  </w:tcBorders>
                  <w:vAlign w:val="center"/>
                </w:tcPr>
                <w:p w14:paraId="7BD96349">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Z</w:t>
                  </w:r>
                </w:p>
              </w:tc>
              <w:tc>
                <w:tcPr>
                  <w:tcW w:w="3882" w:type="dxa"/>
                  <w:tcBorders>
                    <w:tl2br w:val="nil"/>
                    <w:tr2bl w:val="nil"/>
                  </w:tcBorders>
                  <w:vAlign w:val="center"/>
                </w:tcPr>
                <w:p w14:paraId="620C4C86">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（声压级/距声源距离）/（dB(A)/m）</w:t>
                  </w:r>
                </w:p>
              </w:tc>
              <w:tc>
                <w:tcPr>
                  <w:tcW w:w="2236" w:type="dxa"/>
                  <w:tcBorders>
                    <w:tl2br w:val="nil"/>
                    <w:tr2bl w:val="nil"/>
                  </w:tcBorders>
                  <w:vAlign w:val="center"/>
                </w:tcPr>
                <w:p w14:paraId="0280D11D">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声功率级/dB(A)</w:t>
                  </w:r>
                </w:p>
              </w:tc>
              <w:tc>
                <w:tcPr>
                  <w:tcW w:w="2636" w:type="dxa"/>
                  <w:vMerge w:val="continue"/>
                  <w:tcBorders>
                    <w:tl2br w:val="nil"/>
                    <w:tr2bl w:val="nil"/>
                  </w:tcBorders>
                  <w:vAlign w:val="center"/>
                </w:tcPr>
                <w:p w14:paraId="2CC80268">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1145" w:type="dxa"/>
                  <w:vMerge w:val="continue"/>
                  <w:tcBorders>
                    <w:tl2br w:val="nil"/>
                    <w:tr2bl w:val="nil"/>
                  </w:tcBorders>
                  <w:vAlign w:val="center"/>
                </w:tcPr>
                <w:p w14:paraId="4CC9CA97">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r>
            <w:tr w14:paraId="62EE4E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149EE8FC">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1</w:t>
                  </w:r>
                </w:p>
              </w:tc>
              <w:tc>
                <w:tcPr>
                  <w:tcW w:w="1154" w:type="dxa"/>
                  <w:tcBorders>
                    <w:tl2br w:val="nil"/>
                    <w:tr2bl w:val="nil"/>
                  </w:tcBorders>
                  <w:vAlign w:val="center"/>
                </w:tcPr>
                <w:p w14:paraId="3CF6DC79">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风机</w:t>
                  </w:r>
                </w:p>
              </w:tc>
              <w:tc>
                <w:tcPr>
                  <w:tcW w:w="882" w:type="dxa"/>
                  <w:tcBorders>
                    <w:tl2br w:val="nil"/>
                    <w:tr2bl w:val="nil"/>
                  </w:tcBorders>
                  <w:vAlign w:val="center"/>
                </w:tcPr>
                <w:p w14:paraId="603A85FE">
                  <w:pPr>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Arial"/>
                      <w:color w:val="auto"/>
                      <w:sz w:val="21"/>
                      <w:lang w:val="en-US" w:eastAsia="zh-CN"/>
                    </w:rPr>
                    <w:t>20</w:t>
                  </w:r>
                </w:p>
              </w:tc>
              <w:tc>
                <w:tcPr>
                  <w:tcW w:w="982" w:type="dxa"/>
                  <w:tcBorders>
                    <w:tl2br w:val="nil"/>
                    <w:tr2bl w:val="nil"/>
                  </w:tcBorders>
                  <w:vAlign w:val="center"/>
                </w:tcPr>
                <w:p w14:paraId="5D8874C4">
                  <w:pPr>
                    <w:jc w:val="center"/>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Arial"/>
                      <w:color w:val="auto"/>
                      <w:sz w:val="21"/>
                      <w:lang w:val="en-US" w:eastAsia="zh-CN"/>
                    </w:rPr>
                    <w:t>33</w:t>
                  </w:r>
                </w:p>
              </w:tc>
              <w:tc>
                <w:tcPr>
                  <w:tcW w:w="909" w:type="dxa"/>
                  <w:tcBorders>
                    <w:tl2br w:val="nil"/>
                    <w:tr2bl w:val="nil"/>
                  </w:tcBorders>
                  <w:vAlign w:val="center"/>
                </w:tcPr>
                <w:p w14:paraId="6147B320">
                  <w:pPr>
                    <w:jc w:val="center"/>
                    <w:rPr>
                      <w:rFonts w:hint="default" w:ascii="Times New Roman" w:hAnsi="Times New Roman" w:eastAsia="宋体" w:cs="Times New Roman"/>
                      <w:b w:val="0"/>
                      <w:bCs/>
                      <w:color w:val="auto"/>
                      <w:sz w:val="21"/>
                      <w:szCs w:val="21"/>
                      <w:vertAlign w:val="baseline"/>
                      <w:lang w:val="en-US" w:eastAsia="zh-CN"/>
                    </w:rPr>
                  </w:pPr>
                  <w:r>
                    <w:rPr>
                      <w:rFonts w:ascii="Times New Roman" w:hAnsi="Times New Roman" w:eastAsia="宋体" w:cs="Arial"/>
                      <w:color w:val="auto"/>
                      <w:sz w:val="21"/>
                    </w:rPr>
                    <w:t>1.2</w:t>
                  </w:r>
                </w:p>
              </w:tc>
              <w:tc>
                <w:tcPr>
                  <w:tcW w:w="3882" w:type="dxa"/>
                  <w:tcBorders>
                    <w:tl2br w:val="nil"/>
                    <w:tr2bl w:val="nil"/>
                  </w:tcBorders>
                  <w:vAlign w:val="center"/>
                </w:tcPr>
                <w:p w14:paraId="09F75950">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w:t>
                  </w:r>
                </w:p>
              </w:tc>
              <w:tc>
                <w:tcPr>
                  <w:tcW w:w="2236" w:type="dxa"/>
                  <w:tcBorders>
                    <w:tl2br w:val="nil"/>
                    <w:tr2bl w:val="nil"/>
                  </w:tcBorders>
                  <w:vAlign w:val="center"/>
                </w:tcPr>
                <w:p w14:paraId="45F2BBCA">
                  <w:pPr>
                    <w:jc w:val="center"/>
                    <w:rPr>
                      <w:rFonts w:hint="eastAsia" w:ascii="Times New Roman" w:hAnsi="Times New Roman" w:eastAsia="宋体" w:cs="Times New Roman"/>
                      <w:b w:val="0"/>
                      <w:bCs/>
                      <w:color w:val="auto"/>
                      <w:sz w:val="21"/>
                      <w:szCs w:val="21"/>
                      <w:vertAlign w:val="baseline"/>
                      <w:lang w:val="en-US" w:eastAsia="zh-CN"/>
                    </w:rPr>
                  </w:pPr>
                  <w:r>
                    <w:rPr>
                      <w:rFonts w:ascii="Times New Roman" w:hAnsi="Times New Roman" w:eastAsia="宋体" w:cs="Arial"/>
                      <w:color w:val="auto"/>
                      <w:sz w:val="21"/>
                    </w:rPr>
                    <w:t>8</w:t>
                  </w:r>
                  <w:r>
                    <w:rPr>
                      <w:rFonts w:hint="eastAsia" w:ascii="Times New Roman" w:hAnsi="Times New Roman" w:eastAsia="宋体" w:cs="Arial"/>
                      <w:color w:val="auto"/>
                      <w:sz w:val="21"/>
                      <w:lang w:val="en-US" w:eastAsia="zh-CN"/>
                    </w:rPr>
                    <w:t>5</w:t>
                  </w:r>
                </w:p>
              </w:tc>
              <w:tc>
                <w:tcPr>
                  <w:tcW w:w="2636" w:type="dxa"/>
                  <w:tcBorders>
                    <w:tl2br w:val="nil"/>
                    <w:tr2bl w:val="nil"/>
                  </w:tcBorders>
                  <w:vAlign w:val="center"/>
                </w:tcPr>
                <w:p w14:paraId="6E06C86C">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3FB483EA">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auto"/>
                      <w:kern w:val="0"/>
                      <w:sz w:val="21"/>
                      <w:szCs w:val="21"/>
                      <w:vertAlign w:val="baseline"/>
                      <w:lang w:val="en-US" w:eastAsia="zh-CN" w:bidi="ar-SA"/>
                    </w:rPr>
                  </w:pPr>
                  <w:r>
                    <w:rPr>
                      <w:rFonts w:hint="eastAsia" w:ascii="Times New Roman" w:hAnsi="Times New Roman" w:cs="Times New Roman"/>
                      <w:color w:val="auto"/>
                      <w:sz w:val="21"/>
                      <w:szCs w:val="21"/>
                      <w:lang w:val="en-US" w:eastAsia="zh-CN"/>
                    </w:rPr>
                    <w:t>2400</w:t>
                  </w:r>
                  <w:r>
                    <w:rPr>
                      <w:rFonts w:hint="eastAsia" w:ascii="Times New Roman" w:hAnsi="Times New Roman" w:eastAsia="宋体" w:cs="Times New Roman"/>
                      <w:color w:val="auto"/>
                      <w:sz w:val="21"/>
                      <w:szCs w:val="21"/>
                      <w:lang w:val="en-US" w:eastAsia="zh-CN"/>
                    </w:rPr>
                    <w:t>h</w:t>
                  </w:r>
                </w:p>
              </w:tc>
            </w:tr>
          </w:tbl>
          <w:p w14:paraId="19252BE6">
            <w:pPr>
              <w:pStyle w:val="16"/>
              <w:keepNext w:val="0"/>
              <w:keepLines w:val="0"/>
              <w:suppressLineNumbers w:val="0"/>
              <w:spacing w:before="0" w:beforeAutospacing="0" w:after="0" w:afterAutospacing="0" w:line="240" w:lineRule="auto"/>
              <w:ind w:left="0" w:right="0"/>
              <w:jc w:val="center"/>
              <w:outlineLvl w:val="0"/>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eastAsia="宋体"/>
                <w:b/>
                <w:bCs/>
                <w:color w:val="auto"/>
                <w:sz w:val="21"/>
                <w:szCs w:val="21"/>
                <w:lang w:val="en-US" w:eastAsia="zh-CN"/>
              </w:rPr>
              <w:t>1</w:t>
            </w:r>
            <w:r>
              <w:rPr>
                <w:rFonts w:hint="eastAsia" w:ascii="Times New Roman" w:hAnsi="Times New Roman"/>
                <w:b/>
                <w:bCs/>
                <w:color w:val="auto"/>
                <w:sz w:val="21"/>
                <w:szCs w:val="21"/>
                <w:lang w:val="en-US" w:eastAsia="zh-CN"/>
              </w:rPr>
              <w:t xml:space="preserve">7 </w:t>
            </w:r>
            <w:r>
              <w:rPr>
                <w:rFonts w:hint="eastAsia" w:ascii="Times New Roman" w:hAnsi="Times New Roman" w:eastAsia="宋体"/>
                <w:b/>
                <w:bCs/>
                <w:color w:val="auto"/>
                <w:sz w:val="21"/>
                <w:szCs w:val="21"/>
                <w:lang w:val="en-US" w:eastAsia="zh-CN"/>
              </w:rPr>
              <w:t>本项目主要噪声源源强调查清单（室内声源位dB（A））</w:t>
            </w:r>
          </w:p>
          <w:tbl>
            <w:tblPr>
              <w:tblStyle w:val="22"/>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4"/>
              <w:gridCol w:w="660"/>
              <w:gridCol w:w="1320"/>
              <w:gridCol w:w="644"/>
              <w:gridCol w:w="1486"/>
              <w:gridCol w:w="855"/>
              <w:gridCol w:w="675"/>
              <w:gridCol w:w="705"/>
              <w:gridCol w:w="630"/>
              <w:gridCol w:w="1260"/>
              <w:gridCol w:w="1590"/>
              <w:gridCol w:w="802"/>
              <w:gridCol w:w="1215"/>
              <w:gridCol w:w="1410"/>
              <w:gridCol w:w="875"/>
            </w:tblGrid>
            <w:tr w14:paraId="64484A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vMerge w:val="restart"/>
                  <w:tcBorders>
                    <w:tl2br w:val="nil"/>
                    <w:tr2bl w:val="nil"/>
                  </w:tcBorders>
                  <w:noWrap w:val="0"/>
                  <w:vAlign w:val="center"/>
                </w:tcPr>
                <w:p w14:paraId="37BC773C">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序号</w:t>
                  </w:r>
                </w:p>
              </w:tc>
              <w:tc>
                <w:tcPr>
                  <w:tcW w:w="228" w:type="pct"/>
                  <w:vMerge w:val="restart"/>
                  <w:tcBorders>
                    <w:tl2br w:val="nil"/>
                    <w:tr2bl w:val="nil"/>
                  </w:tcBorders>
                  <w:noWrap w:val="0"/>
                  <w:vAlign w:val="center"/>
                </w:tcPr>
                <w:p w14:paraId="1DF8ABF1">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建筑物</w:t>
                  </w:r>
                  <w:r>
                    <w:rPr>
                      <w:rFonts w:hint="default" w:ascii="Times New Roman" w:hAnsi="Times New Roman" w:eastAsia="宋体"/>
                      <w:b w:val="0"/>
                      <w:bCs/>
                      <w:color w:val="auto"/>
                      <w:sz w:val="21"/>
                      <w:szCs w:val="21"/>
                    </w:rPr>
                    <w:t>名称</w:t>
                  </w:r>
                </w:p>
              </w:tc>
              <w:tc>
                <w:tcPr>
                  <w:tcW w:w="456" w:type="pct"/>
                  <w:vMerge w:val="restart"/>
                  <w:tcBorders>
                    <w:tl2br w:val="nil"/>
                    <w:tr2bl w:val="nil"/>
                  </w:tcBorders>
                  <w:noWrap w:val="0"/>
                  <w:vAlign w:val="center"/>
                </w:tcPr>
                <w:p w14:paraId="4C790933">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声源名称</w:t>
                  </w:r>
                </w:p>
              </w:tc>
              <w:tc>
                <w:tcPr>
                  <w:tcW w:w="222" w:type="pct"/>
                  <w:vMerge w:val="restart"/>
                  <w:tcBorders>
                    <w:tl2br w:val="nil"/>
                    <w:tr2bl w:val="nil"/>
                  </w:tcBorders>
                  <w:noWrap w:val="0"/>
                  <w:vAlign w:val="center"/>
                </w:tcPr>
                <w:p w14:paraId="626EAA3E">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eastAsia" w:ascii="Times New Roman" w:hAnsi="Times New Roman" w:eastAsia="宋体"/>
                      <w:b w:val="0"/>
                      <w:bCs/>
                      <w:color w:val="auto"/>
                      <w:sz w:val="21"/>
                      <w:szCs w:val="21"/>
                      <w:lang w:val="en-US" w:eastAsia="zh-CN"/>
                    </w:rPr>
                    <w:t>数量（台/套）</w:t>
                  </w:r>
                </w:p>
              </w:tc>
              <w:tc>
                <w:tcPr>
                  <w:tcW w:w="513" w:type="pct"/>
                  <w:vMerge w:val="restart"/>
                  <w:tcBorders>
                    <w:tl2br w:val="nil"/>
                    <w:tr2bl w:val="nil"/>
                  </w:tcBorders>
                  <w:noWrap w:val="0"/>
                  <w:vAlign w:val="center"/>
                </w:tcPr>
                <w:p w14:paraId="18EC509A">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单台</w:t>
                  </w:r>
                  <w:r>
                    <w:rPr>
                      <w:rFonts w:hint="default" w:ascii="Times New Roman" w:hAnsi="Times New Roman" w:eastAsia="宋体"/>
                      <w:b w:val="0"/>
                      <w:bCs/>
                      <w:color w:val="auto"/>
                      <w:sz w:val="21"/>
                      <w:szCs w:val="21"/>
                    </w:rPr>
                    <w:t>声源源强</w:t>
                  </w:r>
                </w:p>
                <w:p w14:paraId="01ABE069">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b w:val="0"/>
                      <w:bCs/>
                      <w:color w:val="auto"/>
                      <w:sz w:val="21"/>
                      <w:szCs w:val="21"/>
                    </w:rPr>
                    <w:t>（声压级/距声源距离）/（dB</w:t>
                  </w:r>
                  <w:r>
                    <w:rPr>
                      <w:rFonts w:hint="eastAsia" w:ascii="Times New Roman" w:hAnsi="Times New Roman" w:eastAsia="宋体"/>
                      <w:b w:val="0"/>
                      <w:bCs/>
                      <w:color w:val="auto"/>
                      <w:sz w:val="21"/>
                      <w:szCs w:val="21"/>
                      <w:lang w:eastAsia="zh-CN"/>
                    </w:rPr>
                    <w:t>（</w:t>
                  </w:r>
                  <w:r>
                    <w:rPr>
                      <w:rFonts w:hint="default" w:ascii="Times New Roman" w:hAnsi="Times New Roman" w:eastAsia="宋体"/>
                      <w:b w:val="0"/>
                      <w:bCs/>
                      <w:color w:val="auto"/>
                      <w:sz w:val="21"/>
                      <w:szCs w:val="21"/>
                    </w:rPr>
                    <w:t>A</w:t>
                  </w:r>
                  <w:r>
                    <w:rPr>
                      <w:rFonts w:hint="eastAsia" w:ascii="Times New Roman" w:hAnsi="Times New Roman" w:eastAsia="宋体"/>
                      <w:b w:val="0"/>
                      <w:bCs/>
                      <w:color w:val="auto"/>
                      <w:sz w:val="21"/>
                      <w:szCs w:val="21"/>
                      <w:lang w:eastAsia="zh-CN"/>
                    </w:rPr>
                    <w:t>）</w:t>
                  </w:r>
                  <w:r>
                    <w:rPr>
                      <w:rFonts w:hint="default" w:ascii="Times New Roman" w:hAnsi="Times New Roman" w:eastAsia="宋体"/>
                      <w:b w:val="0"/>
                      <w:bCs/>
                      <w:color w:val="auto"/>
                      <w:sz w:val="21"/>
                      <w:szCs w:val="21"/>
                    </w:rPr>
                    <w:t>/1m）</w:t>
                  </w:r>
                </w:p>
              </w:tc>
              <w:tc>
                <w:tcPr>
                  <w:tcW w:w="295" w:type="pct"/>
                  <w:vMerge w:val="restart"/>
                  <w:tcBorders>
                    <w:tl2br w:val="nil"/>
                    <w:tr2bl w:val="nil"/>
                  </w:tcBorders>
                  <w:noWrap w:val="0"/>
                  <w:vAlign w:val="center"/>
                </w:tcPr>
                <w:p w14:paraId="038B4C2C">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default" w:ascii="Times New Roman" w:hAnsi="Times New Roman" w:eastAsia="宋体"/>
                      <w:b w:val="0"/>
                      <w:bCs/>
                      <w:color w:val="auto"/>
                      <w:sz w:val="21"/>
                      <w:szCs w:val="21"/>
                    </w:rPr>
                    <w:t>声源控制措施</w:t>
                  </w:r>
                </w:p>
                <w:p w14:paraId="72802D9B">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694" w:type="pct"/>
                  <w:gridSpan w:val="3"/>
                  <w:tcBorders>
                    <w:tl2br w:val="nil"/>
                    <w:tr2bl w:val="nil"/>
                  </w:tcBorders>
                  <w:noWrap w:val="0"/>
                  <w:vAlign w:val="center"/>
                </w:tcPr>
                <w:p w14:paraId="3BC01AE3">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空间相对位置/m</w:t>
                  </w:r>
                </w:p>
              </w:tc>
              <w:tc>
                <w:tcPr>
                  <w:tcW w:w="435" w:type="pct"/>
                  <w:vMerge w:val="restart"/>
                  <w:tcBorders>
                    <w:tl2br w:val="nil"/>
                    <w:tr2bl w:val="nil"/>
                  </w:tcBorders>
                  <w:noWrap w:val="0"/>
                  <w:vAlign w:val="center"/>
                </w:tcPr>
                <w:p w14:paraId="5C792350">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color w:val="auto"/>
                      <w:sz w:val="21"/>
                      <w:szCs w:val="21"/>
                      <w:vertAlign w:val="baseline"/>
                      <w:lang w:val="en-US" w:eastAsia="zh-CN"/>
                    </w:rPr>
                    <w:t>距室内边界距离/m</w:t>
                  </w:r>
                </w:p>
              </w:tc>
              <w:tc>
                <w:tcPr>
                  <w:tcW w:w="549" w:type="pct"/>
                  <w:vMerge w:val="restart"/>
                  <w:tcBorders>
                    <w:tl2br w:val="nil"/>
                    <w:tr2bl w:val="nil"/>
                  </w:tcBorders>
                  <w:noWrap w:val="0"/>
                  <w:vAlign w:val="center"/>
                </w:tcPr>
                <w:p w14:paraId="2BC60726">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w:t>
                  </w:r>
                  <w:r>
                    <w:rPr>
                      <w:rFonts w:hint="eastAsia"/>
                      <w:b w:val="0"/>
                      <w:bCs/>
                      <w:color w:val="auto"/>
                      <w:sz w:val="21"/>
                      <w:szCs w:val="21"/>
                      <w:lang w:eastAsia="zh-CN"/>
                    </w:rPr>
                    <w:t>源</w:t>
                  </w:r>
                  <w:r>
                    <w:rPr>
                      <w:rFonts w:hint="default" w:ascii="Times New Roman" w:hAnsi="Times New Roman" w:eastAsia="宋体"/>
                      <w:b w:val="0"/>
                      <w:bCs/>
                      <w:color w:val="auto"/>
                      <w:sz w:val="21"/>
                      <w:szCs w:val="21"/>
                    </w:rPr>
                    <w:t>强</w:t>
                  </w:r>
                </w:p>
                <w:p w14:paraId="6D42B1EA">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（声压级/距声源距离）/（dB</w:t>
                  </w:r>
                  <w:r>
                    <w:rPr>
                      <w:rFonts w:hint="eastAsia" w:ascii="Times New Roman" w:hAnsi="Times New Roman" w:eastAsia="宋体"/>
                      <w:b w:val="0"/>
                      <w:bCs/>
                      <w:color w:val="auto"/>
                      <w:sz w:val="21"/>
                      <w:szCs w:val="21"/>
                      <w:lang w:eastAsia="zh-CN"/>
                    </w:rPr>
                    <w:t>（</w:t>
                  </w:r>
                  <w:r>
                    <w:rPr>
                      <w:rFonts w:hint="default" w:ascii="Times New Roman" w:hAnsi="Times New Roman" w:eastAsia="宋体"/>
                      <w:b w:val="0"/>
                      <w:bCs/>
                      <w:color w:val="auto"/>
                      <w:sz w:val="21"/>
                      <w:szCs w:val="21"/>
                    </w:rPr>
                    <w:t>A</w:t>
                  </w:r>
                  <w:r>
                    <w:rPr>
                      <w:rFonts w:hint="eastAsia" w:ascii="Times New Roman" w:hAnsi="Times New Roman" w:eastAsia="宋体"/>
                      <w:b w:val="0"/>
                      <w:bCs/>
                      <w:color w:val="auto"/>
                      <w:sz w:val="21"/>
                      <w:szCs w:val="21"/>
                      <w:lang w:eastAsia="zh-CN"/>
                    </w:rPr>
                    <w:t>）</w:t>
                  </w:r>
                  <w:r>
                    <w:rPr>
                      <w:rFonts w:hint="default" w:ascii="Times New Roman" w:hAnsi="Times New Roman" w:eastAsia="宋体"/>
                      <w:b w:val="0"/>
                      <w:bCs/>
                      <w:color w:val="auto"/>
                      <w:sz w:val="21"/>
                      <w:szCs w:val="21"/>
                    </w:rPr>
                    <w:t>/1m）</w:t>
                  </w:r>
                </w:p>
              </w:tc>
              <w:tc>
                <w:tcPr>
                  <w:tcW w:w="277" w:type="pct"/>
                  <w:vMerge w:val="restart"/>
                  <w:tcBorders>
                    <w:tl2br w:val="nil"/>
                    <w:tr2bl w:val="nil"/>
                  </w:tcBorders>
                  <w:noWrap w:val="0"/>
                  <w:vAlign w:val="center"/>
                </w:tcPr>
                <w:p w14:paraId="7B960161">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val="en-US" w:eastAsia="zh-CN"/>
                    </w:rPr>
                    <w:t>运行时段</w:t>
                  </w:r>
                </w:p>
              </w:tc>
              <w:tc>
                <w:tcPr>
                  <w:tcW w:w="419" w:type="pct"/>
                  <w:vMerge w:val="restart"/>
                  <w:tcBorders>
                    <w:tl2br w:val="nil"/>
                    <w:tr2bl w:val="nil"/>
                  </w:tcBorders>
                  <w:noWrap w:val="0"/>
                  <w:vAlign w:val="center"/>
                </w:tcPr>
                <w:p w14:paraId="17E5A10A">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color w:val="auto"/>
                      <w:sz w:val="21"/>
                      <w:szCs w:val="21"/>
                      <w:vertAlign w:val="baseline"/>
                      <w:lang w:val="en-US" w:eastAsia="zh-CN"/>
                    </w:rPr>
                    <w:t>建筑物插入损失/dB（A）</w:t>
                  </w:r>
                </w:p>
              </w:tc>
              <w:tc>
                <w:tcPr>
                  <w:tcW w:w="487" w:type="pct"/>
                  <w:vMerge w:val="restart"/>
                  <w:tcBorders>
                    <w:tl2br w:val="nil"/>
                    <w:tr2bl w:val="nil"/>
                  </w:tcBorders>
                  <w:noWrap w:val="0"/>
                  <w:vAlign w:val="center"/>
                </w:tcPr>
                <w:p w14:paraId="7986EE87">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rPr>
                    <w:t>削减后</w:t>
                  </w:r>
                  <w:r>
                    <w:rPr>
                      <w:rFonts w:hint="default" w:ascii="Times New Roman" w:hAnsi="Times New Roman" w:eastAsia="宋体"/>
                      <w:b w:val="0"/>
                      <w:bCs/>
                      <w:color w:val="auto"/>
                      <w:sz w:val="21"/>
                      <w:szCs w:val="21"/>
                    </w:rPr>
                    <w:t>声源源强（声压级/距声源距离）/（dB</w:t>
                  </w:r>
                  <w:r>
                    <w:rPr>
                      <w:rFonts w:hint="eastAsia" w:ascii="Times New Roman" w:hAnsi="Times New Roman" w:eastAsia="宋体"/>
                      <w:b w:val="0"/>
                      <w:bCs/>
                      <w:color w:val="auto"/>
                      <w:sz w:val="21"/>
                      <w:szCs w:val="21"/>
                      <w:lang w:eastAsia="zh-CN"/>
                    </w:rPr>
                    <w:t>（</w:t>
                  </w:r>
                  <w:r>
                    <w:rPr>
                      <w:rFonts w:hint="default" w:ascii="Times New Roman" w:hAnsi="Times New Roman" w:eastAsia="宋体"/>
                      <w:b w:val="0"/>
                      <w:bCs/>
                      <w:color w:val="auto"/>
                      <w:sz w:val="21"/>
                      <w:szCs w:val="21"/>
                    </w:rPr>
                    <w:t>A</w:t>
                  </w:r>
                  <w:r>
                    <w:rPr>
                      <w:rFonts w:hint="eastAsia" w:ascii="Times New Roman" w:hAnsi="Times New Roman" w:eastAsia="宋体"/>
                      <w:b w:val="0"/>
                      <w:bCs/>
                      <w:color w:val="auto"/>
                      <w:sz w:val="21"/>
                      <w:szCs w:val="21"/>
                      <w:lang w:eastAsia="zh-CN"/>
                    </w:rPr>
                    <w:t>）</w:t>
                  </w:r>
                  <w:r>
                    <w:rPr>
                      <w:rFonts w:hint="default" w:ascii="Times New Roman" w:hAnsi="Times New Roman" w:eastAsia="宋体"/>
                      <w:b w:val="0"/>
                      <w:bCs/>
                      <w:color w:val="auto"/>
                      <w:sz w:val="21"/>
                      <w:szCs w:val="21"/>
                    </w:rPr>
                    <w:t>/1m）</w:t>
                  </w:r>
                </w:p>
              </w:tc>
              <w:tc>
                <w:tcPr>
                  <w:tcW w:w="302" w:type="pct"/>
                  <w:vMerge w:val="restart"/>
                  <w:tcBorders>
                    <w:tl2br w:val="nil"/>
                    <w:tr2bl w:val="nil"/>
                  </w:tcBorders>
                  <w:noWrap w:val="0"/>
                  <w:vAlign w:val="center"/>
                </w:tcPr>
                <w:p w14:paraId="5C06C87E">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1"/>
                      <w:vertAlign w:val="baseline"/>
                      <w:lang w:val="en-US" w:eastAsia="zh-CN" w:bidi="ar-SA"/>
                    </w:rPr>
                  </w:pPr>
                  <w:r>
                    <w:rPr>
                      <w:rFonts w:hint="eastAsia" w:ascii="Times New Roman" w:hAnsi="Times New Roman" w:eastAsia="宋体"/>
                      <w:b w:val="0"/>
                      <w:color w:val="auto"/>
                      <w:sz w:val="21"/>
                      <w:szCs w:val="21"/>
                      <w:vertAlign w:val="baseline"/>
                      <w:lang w:val="en-US" w:eastAsia="zh-CN"/>
                    </w:rPr>
                    <w:t>建筑物外距离/m</w:t>
                  </w:r>
                </w:p>
              </w:tc>
            </w:tr>
            <w:tr w14:paraId="5A4D59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vMerge w:val="continue"/>
                  <w:tcBorders>
                    <w:tl2br w:val="nil"/>
                    <w:tr2bl w:val="nil"/>
                  </w:tcBorders>
                  <w:shd w:val="clear" w:color="auto" w:fill="FFFFFF"/>
                  <w:noWrap w:val="0"/>
                  <w:vAlign w:val="center"/>
                </w:tcPr>
                <w:p w14:paraId="2A4F6439">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28" w:type="pct"/>
                  <w:vMerge w:val="continue"/>
                  <w:tcBorders>
                    <w:tl2br w:val="nil"/>
                    <w:tr2bl w:val="nil"/>
                  </w:tcBorders>
                  <w:shd w:val="clear" w:color="auto" w:fill="FFFFFF"/>
                  <w:noWrap w:val="0"/>
                  <w:vAlign w:val="center"/>
                </w:tcPr>
                <w:p w14:paraId="300F43E5">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56" w:type="pct"/>
                  <w:vMerge w:val="continue"/>
                  <w:tcBorders>
                    <w:tl2br w:val="nil"/>
                    <w:tr2bl w:val="nil"/>
                  </w:tcBorders>
                  <w:shd w:val="clear" w:color="auto" w:fill="FFFFFF"/>
                  <w:noWrap w:val="0"/>
                  <w:vAlign w:val="center"/>
                </w:tcPr>
                <w:p w14:paraId="29E2AB34">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22" w:type="pct"/>
                  <w:vMerge w:val="continue"/>
                  <w:tcBorders>
                    <w:tl2br w:val="nil"/>
                    <w:tr2bl w:val="nil"/>
                  </w:tcBorders>
                  <w:shd w:val="clear" w:color="auto" w:fill="FFFFFF"/>
                  <w:noWrap w:val="0"/>
                  <w:vAlign w:val="center"/>
                </w:tcPr>
                <w:p w14:paraId="3143BC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kern w:val="2"/>
                      <w:sz w:val="21"/>
                      <w:szCs w:val="21"/>
                      <w:lang w:val="en-US" w:eastAsia="zh-CN" w:bidi="ar-SA"/>
                    </w:rPr>
                  </w:pPr>
                </w:p>
              </w:tc>
              <w:tc>
                <w:tcPr>
                  <w:tcW w:w="513" w:type="pct"/>
                  <w:vMerge w:val="continue"/>
                  <w:tcBorders>
                    <w:tl2br w:val="nil"/>
                    <w:tr2bl w:val="nil"/>
                  </w:tcBorders>
                  <w:shd w:val="clear" w:color="auto" w:fill="FFFFFF"/>
                  <w:noWrap w:val="0"/>
                  <w:vAlign w:val="center"/>
                </w:tcPr>
                <w:p w14:paraId="0AF3EA3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lang w:val="en-US" w:eastAsia="zh-CN" w:bidi="ar-SA"/>
                    </w:rPr>
                  </w:pPr>
                </w:p>
              </w:tc>
              <w:tc>
                <w:tcPr>
                  <w:tcW w:w="295" w:type="pct"/>
                  <w:vMerge w:val="continue"/>
                  <w:tcBorders>
                    <w:tl2br w:val="nil"/>
                    <w:tr2bl w:val="nil"/>
                  </w:tcBorders>
                  <w:shd w:val="clear" w:color="auto" w:fill="auto"/>
                  <w:noWrap w:val="0"/>
                  <w:vAlign w:val="center"/>
                </w:tcPr>
                <w:p w14:paraId="13EFE316">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233" w:type="pct"/>
                  <w:tcBorders>
                    <w:tl2br w:val="nil"/>
                    <w:tr2bl w:val="nil"/>
                  </w:tcBorders>
                  <w:shd w:val="clear" w:color="auto" w:fill="auto"/>
                  <w:noWrap w:val="0"/>
                  <w:vAlign w:val="center"/>
                </w:tcPr>
                <w:p w14:paraId="7BFE061A">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X</w:t>
                  </w:r>
                </w:p>
              </w:tc>
              <w:tc>
                <w:tcPr>
                  <w:tcW w:w="243" w:type="pct"/>
                  <w:tcBorders>
                    <w:tl2br w:val="nil"/>
                    <w:tr2bl w:val="nil"/>
                  </w:tcBorders>
                  <w:shd w:val="clear" w:color="auto" w:fill="auto"/>
                  <w:noWrap w:val="0"/>
                  <w:vAlign w:val="center"/>
                </w:tcPr>
                <w:p w14:paraId="7D60D17C">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Y</w:t>
                  </w:r>
                </w:p>
              </w:tc>
              <w:tc>
                <w:tcPr>
                  <w:tcW w:w="217" w:type="pct"/>
                  <w:tcBorders>
                    <w:tl2br w:val="nil"/>
                    <w:tr2bl w:val="nil"/>
                  </w:tcBorders>
                  <w:shd w:val="clear" w:color="auto" w:fill="auto"/>
                  <w:noWrap w:val="0"/>
                  <w:vAlign w:val="center"/>
                </w:tcPr>
                <w:p w14:paraId="0C108717">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Z</w:t>
                  </w:r>
                </w:p>
              </w:tc>
              <w:tc>
                <w:tcPr>
                  <w:tcW w:w="435" w:type="pct"/>
                  <w:vMerge w:val="continue"/>
                  <w:tcBorders>
                    <w:tl2br w:val="nil"/>
                    <w:tr2bl w:val="nil"/>
                  </w:tcBorders>
                  <w:shd w:val="clear" w:color="auto" w:fill="FFFFFF"/>
                  <w:noWrap w:val="0"/>
                  <w:vAlign w:val="center"/>
                </w:tcPr>
                <w:p w14:paraId="37CC7BC3">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549" w:type="pct"/>
                  <w:vMerge w:val="continue"/>
                  <w:tcBorders>
                    <w:tl2br w:val="nil"/>
                    <w:tr2bl w:val="nil"/>
                  </w:tcBorders>
                  <w:shd w:val="clear" w:color="auto" w:fill="FFFFFF"/>
                  <w:noWrap w:val="0"/>
                  <w:vAlign w:val="center"/>
                </w:tcPr>
                <w:p w14:paraId="540FB76E">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277" w:type="pct"/>
                  <w:vMerge w:val="continue"/>
                  <w:tcBorders>
                    <w:tl2br w:val="nil"/>
                    <w:tr2bl w:val="nil"/>
                  </w:tcBorders>
                  <w:shd w:val="clear" w:color="auto" w:fill="FFFFFF"/>
                  <w:noWrap w:val="0"/>
                  <w:vAlign w:val="center"/>
                </w:tcPr>
                <w:p w14:paraId="6ACE9EF2">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19" w:type="pct"/>
                  <w:vMerge w:val="continue"/>
                  <w:tcBorders>
                    <w:tl2br w:val="nil"/>
                    <w:tr2bl w:val="nil"/>
                  </w:tcBorders>
                  <w:shd w:val="clear" w:color="auto" w:fill="FFFFFF"/>
                  <w:noWrap w:val="0"/>
                  <w:vAlign w:val="center"/>
                </w:tcPr>
                <w:p w14:paraId="7A30D101">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87" w:type="pct"/>
                  <w:vMerge w:val="continue"/>
                  <w:tcBorders>
                    <w:tl2br w:val="nil"/>
                    <w:tr2bl w:val="nil"/>
                  </w:tcBorders>
                  <w:shd w:val="clear" w:color="auto" w:fill="FFFFFF"/>
                  <w:noWrap w:val="0"/>
                  <w:vAlign w:val="center"/>
                </w:tcPr>
                <w:p w14:paraId="7BA62F4A">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302" w:type="pct"/>
                  <w:vMerge w:val="continue"/>
                  <w:tcBorders>
                    <w:tl2br w:val="nil"/>
                    <w:tr2bl w:val="nil"/>
                  </w:tcBorders>
                  <w:shd w:val="clear" w:color="auto" w:fill="FFFFFF"/>
                  <w:noWrap w:val="0"/>
                  <w:vAlign w:val="center"/>
                </w:tcPr>
                <w:p w14:paraId="19837A1A">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r>
            <w:tr w14:paraId="3F734C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2E15831B">
                  <w:pPr>
                    <w:pStyle w:val="18"/>
                    <w:keepNext w:val="0"/>
                    <w:keepLines w:val="0"/>
                    <w:pageBreakBefore w:val="0"/>
                    <w:widowControl w:val="0"/>
                    <w:numPr>
                      <w:ilvl w:val="0"/>
                      <w:numId w:val="8"/>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auto"/>
                      <w:sz w:val="21"/>
                      <w:szCs w:val="21"/>
                      <w:lang w:val="en-US" w:eastAsia="zh-CN"/>
                    </w:rPr>
                  </w:pPr>
                </w:p>
              </w:tc>
              <w:tc>
                <w:tcPr>
                  <w:tcW w:w="228" w:type="pct"/>
                  <w:vMerge w:val="restart"/>
                  <w:tcBorders>
                    <w:tl2br w:val="nil"/>
                    <w:tr2bl w:val="nil"/>
                  </w:tcBorders>
                  <w:noWrap w:val="0"/>
                  <w:vAlign w:val="center"/>
                </w:tcPr>
                <w:p w14:paraId="7D8ECE35">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vertAlign w:val="baseline"/>
                      <w:lang w:val="en-US" w:eastAsia="zh-CN" w:bidi="ar-SA"/>
                    </w:rPr>
                    <w:t>生产车间</w:t>
                  </w:r>
                </w:p>
              </w:tc>
              <w:tc>
                <w:tcPr>
                  <w:tcW w:w="456" w:type="pct"/>
                  <w:tcBorders>
                    <w:tl2br w:val="nil"/>
                    <w:tr2bl w:val="nil"/>
                  </w:tcBorders>
                  <w:noWrap w:val="0"/>
                  <w:vAlign w:val="center"/>
                </w:tcPr>
                <w:p w14:paraId="377D4CB7">
                  <w:pPr>
                    <w:jc w:val="center"/>
                    <w:rPr>
                      <w:rFonts w:hint="default" w:ascii="Times New Roman" w:hAnsi="Times New Roman" w:eastAsia="宋体" w:cs="Arial"/>
                      <w:color w:val="auto"/>
                      <w:sz w:val="21"/>
                      <w:szCs w:val="21"/>
                      <w:lang w:val="en-US" w:eastAsia="zh-CN"/>
                    </w:rPr>
                  </w:pPr>
                  <w:r>
                    <w:rPr>
                      <w:rFonts w:hint="eastAsia" w:ascii="Times New Roman" w:hAnsi="Times New Roman" w:eastAsia="宋体"/>
                      <w:color w:val="auto"/>
                      <w:sz w:val="21"/>
                      <w:szCs w:val="21"/>
                      <w:lang w:val="en-US" w:eastAsia="zh-CN"/>
                    </w:rPr>
                    <w:t>立式注塑机</w:t>
                  </w:r>
                </w:p>
              </w:tc>
              <w:tc>
                <w:tcPr>
                  <w:tcW w:w="222" w:type="pct"/>
                  <w:tcBorders>
                    <w:tl2br w:val="nil"/>
                    <w:tr2bl w:val="nil"/>
                  </w:tcBorders>
                  <w:noWrap w:val="0"/>
                  <w:vAlign w:val="center"/>
                </w:tcPr>
                <w:p w14:paraId="0950E461">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9</w:t>
                  </w:r>
                </w:p>
              </w:tc>
              <w:tc>
                <w:tcPr>
                  <w:tcW w:w="1486" w:type="dxa"/>
                  <w:tcBorders>
                    <w:tl2br w:val="nil"/>
                    <w:tr2bl w:val="nil"/>
                  </w:tcBorders>
                  <w:noWrap w:val="0"/>
                  <w:vAlign w:val="center"/>
                </w:tcPr>
                <w:p w14:paraId="1A9FFCE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95" w:type="pct"/>
                  <w:vMerge w:val="restart"/>
                  <w:tcBorders>
                    <w:tl2br w:val="nil"/>
                    <w:tr2bl w:val="nil"/>
                  </w:tcBorders>
                  <w:noWrap w:val="0"/>
                  <w:vAlign w:val="center"/>
                </w:tcPr>
                <w:p w14:paraId="2987E16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建筑隔声、基础减震、距离衰减</w:t>
                  </w:r>
                </w:p>
              </w:tc>
              <w:tc>
                <w:tcPr>
                  <w:tcW w:w="675" w:type="dxa"/>
                  <w:tcBorders>
                    <w:tl2br w:val="nil"/>
                    <w:tr2bl w:val="nil"/>
                  </w:tcBorders>
                  <w:noWrap w:val="0"/>
                  <w:vAlign w:val="center"/>
                </w:tcPr>
                <w:p w14:paraId="411A9054">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05" w:type="dxa"/>
                  <w:tcBorders>
                    <w:tl2br w:val="nil"/>
                    <w:tr2bl w:val="nil"/>
                  </w:tcBorders>
                  <w:noWrap w:val="0"/>
                  <w:vAlign w:val="center"/>
                </w:tcPr>
                <w:p w14:paraId="54F2A8F3">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630" w:type="dxa"/>
                  <w:tcBorders>
                    <w:tl2br w:val="nil"/>
                    <w:tr2bl w:val="nil"/>
                  </w:tcBorders>
                  <w:noWrap w:val="0"/>
                  <w:vAlign w:val="center"/>
                </w:tcPr>
                <w:p w14:paraId="1C8F3865">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566699AC">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590" w:type="dxa"/>
                  <w:tcBorders>
                    <w:tl2br w:val="nil"/>
                    <w:tr2bl w:val="nil"/>
                  </w:tcBorders>
                  <w:noWrap w:val="0"/>
                  <w:vAlign w:val="center"/>
                </w:tcPr>
                <w:p w14:paraId="2CD57A0B">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61.02</w:t>
                  </w:r>
                </w:p>
              </w:tc>
              <w:tc>
                <w:tcPr>
                  <w:tcW w:w="277" w:type="pct"/>
                  <w:vMerge w:val="restart"/>
                  <w:tcBorders>
                    <w:tl2br w:val="nil"/>
                    <w:tr2bl w:val="nil"/>
                  </w:tcBorders>
                  <w:noWrap w:val="0"/>
                  <w:vAlign w:val="center"/>
                </w:tcPr>
                <w:p w14:paraId="498479A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r>
                    <w:rPr>
                      <w:rFonts w:hint="eastAsia" w:ascii="Times New Roman" w:hAnsi="Times New Roman" w:eastAsia="宋体" w:cs="Times New Roman"/>
                      <w:color w:val="auto"/>
                      <w:sz w:val="21"/>
                      <w:szCs w:val="21"/>
                      <w:lang w:val="en-US" w:eastAsia="zh-CN"/>
                    </w:rPr>
                    <w:t>00h</w:t>
                  </w:r>
                </w:p>
              </w:tc>
              <w:tc>
                <w:tcPr>
                  <w:tcW w:w="419" w:type="pct"/>
                  <w:vMerge w:val="restart"/>
                  <w:tcBorders>
                    <w:tl2br w:val="nil"/>
                    <w:tr2bl w:val="nil"/>
                  </w:tcBorders>
                  <w:noWrap w:val="0"/>
                  <w:vAlign w:val="center"/>
                </w:tcPr>
                <w:p w14:paraId="4D597B2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410" w:type="dxa"/>
                  <w:tcBorders>
                    <w:tl2br w:val="nil"/>
                    <w:tr2bl w:val="nil"/>
                  </w:tcBorders>
                  <w:noWrap w:val="0"/>
                  <w:vAlign w:val="center"/>
                </w:tcPr>
                <w:p w14:paraId="14D445E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41.02</w:t>
                  </w:r>
                </w:p>
              </w:tc>
              <w:tc>
                <w:tcPr>
                  <w:tcW w:w="302" w:type="pct"/>
                  <w:tcBorders>
                    <w:tl2br w:val="nil"/>
                    <w:tr2bl w:val="nil"/>
                  </w:tcBorders>
                  <w:noWrap w:val="0"/>
                  <w:vAlign w:val="center"/>
                </w:tcPr>
                <w:p w14:paraId="0F9E2B5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633AF3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40C50623">
                  <w:pPr>
                    <w:pStyle w:val="18"/>
                    <w:keepNext w:val="0"/>
                    <w:keepLines w:val="0"/>
                    <w:pageBreakBefore w:val="0"/>
                    <w:widowControl w:val="0"/>
                    <w:numPr>
                      <w:ilvl w:val="0"/>
                      <w:numId w:val="8"/>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57815CF8">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456" w:type="pct"/>
                  <w:tcBorders>
                    <w:tl2br w:val="nil"/>
                    <w:tr2bl w:val="nil"/>
                  </w:tcBorders>
                  <w:noWrap w:val="0"/>
                  <w:vAlign w:val="center"/>
                </w:tcPr>
                <w:p w14:paraId="24112552">
                  <w:pPr>
                    <w:jc w:val="center"/>
                    <w:rPr>
                      <w:rFonts w:hint="default" w:ascii="Times New Roman" w:hAnsi="Times New Roman" w:eastAsia="宋体" w:cs="Arial"/>
                      <w:color w:val="auto"/>
                      <w:sz w:val="21"/>
                      <w:szCs w:val="21"/>
                      <w:lang w:val="en-US" w:eastAsia="zh-CN"/>
                    </w:rPr>
                  </w:pPr>
                  <w:r>
                    <w:rPr>
                      <w:rFonts w:hint="eastAsia" w:ascii="Times New Roman" w:hAnsi="Times New Roman" w:eastAsia="宋体"/>
                      <w:color w:val="auto"/>
                      <w:sz w:val="21"/>
                      <w:szCs w:val="21"/>
                      <w:lang w:val="en-US" w:eastAsia="zh-CN"/>
                    </w:rPr>
                    <w:t>卧式注塑机</w:t>
                  </w:r>
                </w:p>
              </w:tc>
              <w:tc>
                <w:tcPr>
                  <w:tcW w:w="222" w:type="pct"/>
                  <w:tcBorders>
                    <w:tl2br w:val="nil"/>
                    <w:tr2bl w:val="nil"/>
                  </w:tcBorders>
                  <w:noWrap w:val="0"/>
                  <w:vAlign w:val="center"/>
                </w:tcPr>
                <w:p w14:paraId="6FE2482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2</w:t>
                  </w:r>
                </w:p>
              </w:tc>
              <w:tc>
                <w:tcPr>
                  <w:tcW w:w="1486" w:type="dxa"/>
                  <w:tcBorders>
                    <w:tl2br w:val="nil"/>
                    <w:tr2bl w:val="nil"/>
                  </w:tcBorders>
                  <w:noWrap w:val="0"/>
                  <w:vAlign w:val="center"/>
                </w:tcPr>
                <w:p w14:paraId="02AC5A8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95" w:type="pct"/>
                  <w:vMerge w:val="continue"/>
                  <w:tcBorders>
                    <w:tl2br w:val="nil"/>
                    <w:tr2bl w:val="nil"/>
                  </w:tcBorders>
                  <w:noWrap w:val="0"/>
                  <w:vAlign w:val="center"/>
                </w:tcPr>
                <w:p w14:paraId="1AD68BC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71311FA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705" w:type="dxa"/>
                  <w:tcBorders>
                    <w:tl2br w:val="nil"/>
                    <w:tr2bl w:val="nil"/>
                  </w:tcBorders>
                  <w:noWrap w:val="0"/>
                  <w:vAlign w:val="center"/>
                </w:tcPr>
                <w:p w14:paraId="745AF5F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11</w:t>
                  </w:r>
                </w:p>
              </w:tc>
              <w:tc>
                <w:tcPr>
                  <w:tcW w:w="630" w:type="dxa"/>
                  <w:tcBorders>
                    <w:tl2br w:val="nil"/>
                    <w:tr2bl w:val="nil"/>
                  </w:tcBorders>
                  <w:noWrap w:val="0"/>
                  <w:vAlign w:val="center"/>
                </w:tcPr>
                <w:p w14:paraId="3215E6C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4F1EA1F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590" w:type="dxa"/>
                  <w:tcBorders>
                    <w:tl2br w:val="nil"/>
                    <w:tr2bl w:val="nil"/>
                  </w:tcBorders>
                  <w:noWrap w:val="0"/>
                  <w:vAlign w:val="center"/>
                </w:tcPr>
                <w:p w14:paraId="391159A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51.99</w:t>
                  </w:r>
                </w:p>
              </w:tc>
              <w:tc>
                <w:tcPr>
                  <w:tcW w:w="277" w:type="pct"/>
                  <w:vMerge w:val="continue"/>
                  <w:tcBorders>
                    <w:tl2br w:val="nil"/>
                    <w:tr2bl w:val="nil"/>
                  </w:tcBorders>
                  <w:noWrap w:val="0"/>
                  <w:vAlign w:val="center"/>
                </w:tcPr>
                <w:p w14:paraId="4456BDC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51C0AD3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5FA60B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31.99</w:t>
                  </w:r>
                </w:p>
              </w:tc>
              <w:tc>
                <w:tcPr>
                  <w:tcW w:w="302" w:type="pct"/>
                  <w:tcBorders>
                    <w:tl2br w:val="nil"/>
                    <w:tr2bl w:val="nil"/>
                  </w:tcBorders>
                  <w:noWrap w:val="0"/>
                  <w:vAlign w:val="center"/>
                </w:tcPr>
                <w:p w14:paraId="114DB7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4C857D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7EAA9D68">
                  <w:pPr>
                    <w:numPr>
                      <w:ilvl w:val="0"/>
                      <w:numId w:val="8"/>
                    </w:numPr>
                    <w:ind w:left="0" w:leftChars="0" w:firstLine="0" w:firstLineChars="0"/>
                    <w:jc w:val="center"/>
                    <w:rPr>
                      <w:rFonts w:hint="eastAsia" w:ascii="Times New Roman" w:hAnsi="Times New Roman" w:eastAsia="宋体"/>
                      <w:color w:val="auto"/>
                      <w:sz w:val="21"/>
                      <w:szCs w:val="21"/>
                      <w:lang w:eastAsia="zh-CN"/>
                    </w:rPr>
                  </w:pPr>
                </w:p>
              </w:tc>
              <w:tc>
                <w:tcPr>
                  <w:tcW w:w="228" w:type="pct"/>
                  <w:vMerge w:val="continue"/>
                  <w:tcBorders>
                    <w:tl2br w:val="nil"/>
                    <w:tr2bl w:val="nil"/>
                  </w:tcBorders>
                  <w:noWrap w:val="0"/>
                  <w:vAlign w:val="center"/>
                </w:tcPr>
                <w:p w14:paraId="13B59E61">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s="Times New Roman"/>
                      <w:color w:val="auto"/>
                      <w:kern w:val="0"/>
                      <w:sz w:val="21"/>
                      <w:szCs w:val="21"/>
                      <w:vertAlign w:val="baseline"/>
                      <w:lang w:val="en-US" w:eastAsia="zh-CN" w:bidi="ar-SA"/>
                    </w:rPr>
                  </w:pPr>
                </w:p>
              </w:tc>
              <w:tc>
                <w:tcPr>
                  <w:tcW w:w="456" w:type="pct"/>
                  <w:tcBorders>
                    <w:tl2br w:val="nil"/>
                    <w:tr2bl w:val="nil"/>
                  </w:tcBorders>
                  <w:noWrap w:val="0"/>
                  <w:vAlign w:val="center"/>
                </w:tcPr>
                <w:p w14:paraId="324D2955">
                  <w:pPr>
                    <w:jc w:val="center"/>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olor w:val="auto"/>
                      <w:sz w:val="21"/>
                      <w:szCs w:val="21"/>
                      <w:lang w:val="en-US" w:eastAsia="zh-CN"/>
                    </w:rPr>
                    <w:t>搅拌机</w:t>
                  </w:r>
                </w:p>
              </w:tc>
              <w:tc>
                <w:tcPr>
                  <w:tcW w:w="222" w:type="pct"/>
                  <w:tcBorders>
                    <w:tl2br w:val="nil"/>
                    <w:tr2bl w:val="nil"/>
                  </w:tcBorders>
                  <w:noWrap w:val="0"/>
                  <w:vAlign w:val="center"/>
                </w:tcPr>
                <w:p w14:paraId="04D3661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2</w:t>
                  </w:r>
                </w:p>
              </w:tc>
              <w:tc>
                <w:tcPr>
                  <w:tcW w:w="1486" w:type="dxa"/>
                  <w:tcBorders>
                    <w:tl2br w:val="nil"/>
                    <w:tr2bl w:val="nil"/>
                  </w:tcBorders>
                  <w:noWrap w:val="0"/>
                  <w:vAlign w:val="center"/>
                </w:tcPr>
                <w:p w14:paraId="5154FF0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70</w:t>
                  </w:r>
                </w:p>
              </w:tc>
              <w:tc>
                <w:tcPr>
                  <w:tcW w:w="295" w:type="pct"/>
                  <w:vMerge w:val="continue"/>
                  <w:tcBorders>
                    <w:tl2br w:val="nil"/>
                    <w:tr2bl w:val="nil"/>
                  </w:tcBorders>
                  <w:noWrap w:val="0"/>
                  <w:vAlign w:val="center"/>
                </w:tcPr>
                <w:p w14:paraId="3FA4FE8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572492E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705" w:type="dxa"/>
                  <w:tcBorders>
                    <w:tl2br w:val="nil"/>
                    <w:tr2bl w:val="nil"/>
                  </w:tcBorders>
                  <w:noWrap w:val="0"/>
                  <w:vAlign w:val="center"/>
                </w:tcPr>
                <w:p w14:paraId="7639616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630" w:type="dxa"/>
                  <w:tcBorders>
                    <w:tl2br w:val="nil"/>
                    <w:tr2bl w:val="nil"/>
                  </w:tcBorders>
                  <w:noWrap w:val="0"/>
                  <w:vAlign w:val="center"/>
                </w:tcPr>
                <w:p w14:paraId="6AF8636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25DC3F7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590" w:type="dxa"/>
                  <w:tcBorders>
                    <w:tl2br w:val="nil"/>
                    <w:tr2bl w:val="nil"/>
                  </w:tcBorders>
                  <w:noWrap w:val="0"/>
                  <w:vAlign w:val="center"/>
                </w:tcPr>
                <w:p w14:paraId="75A1E31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43.47</w:t>
                  </w:r>
                </w:p>
              </w:tc>
              <w:tc>
                <w:tcPr>
                  <w:tcW w:w="277" w:type="pct"/>
                  <w:vMerge w:val="continue"/>
                  <w:tcBorders>
                    <w:tl2br w:val="nil"/>
                    <w:tr2bl w:val="nil"/>
                  </w:tcBorders>
                  <w:noWrap w:val="0"/>
                  <w:vAlign w:val="center"/>
                </w:tcPr>
                <w:p w14:paraId="54817D1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68CB1F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26B1FB8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23.47</w:t>
                  </w:r>
                </w:p>
              </w:tc>
              <w:tc>
                <w:tcPr>
                  <w:tcW w:w="302" w:type="pct"/>
                  <w:tcBorders>
                    <w:tl2br w:val="nil"/>
                    <w:tr2bl w:val="nil"/>
                  </w:tcBorders>
                  <w:noWrap w:val="0"/>
                  <w:vAlign w:val="center"/>
                </w:tcPr>
                <w:p w14:paraId="4DDB824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02B719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40838034">
                  <w:pPr>
                    <w:numPr>
                      <w:ilvl w:val="0"/>
                      <w:numId w:val="8"/>
                    </w:numPr>
                    <w:ind w:left="0" w:leftChars="0" w:firstLine="0" w:firstLineChars="0"/>
                    <w:jc w:val="center"/>
                    <w:rPr>
                      <w:rFonts w:hint="eastAsia" w:ascii="Times New Roman" w:hAnsi="Times New Roman" w:eastAsia="宋体"/>
                      <w:color w:val="auto"/>
                      <w:sz w:val="21"/>
                      <w:szCs w:val="21"/>
                      <w:lang w:eastAsia="zh-CN"/>
                    </w:rPr>
                  </w:pPr>
                </w:p>
              </w:tc>
              <w:tc>
                <w:tcPr>
                  <w:tcW w:w="228" w:type="pct"/>
                  <w:vMerge w:val="continue"/>
                  <w:tcBorders>
                    <w:tl2br w:val="nil"/>
                    <w:tr2bl w:val="nil"/>
                  </w:tcBorders>
                  <w:noWrap w:val="0"/>
                  <w:vAlign w:val="center"/>
                </w:tcPr>
                <w:p w14:paraId="5C1EB85D">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1209CED4">
                  <w:pPr>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破碎机</w:t>
                  </w:r>
                </w:p>
              </w:tc>
              <w:tc>
                <w:tcPr>
                  <w:tcW w:w="222" w:type="pct"/>
                  <w:tcBorders>
                    <w:tl2br w:val="nil"/>
                    <w:tr2bl w:val="nil"/>
                  </w:tcBorders>
                  <w:noWrap w:val="0"/>
                  <w:vAlign w:val="center"/>
                </w:tcPr>
                <w:p w14:paraId="0A98F46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5</w:t>
                  </w:r>
                </w:p>
              </w:tc>
              <w:tc>
                <w:tcPr>
                  <w:tcW w:w="1486" w:type="dxa"/>
                  <w:tcBorders>
                    <w:tl2br w:val="nil"/>
                    <w:tr2bl w:val="nil"/>
                  </w:tcBorders>
                  <w:noWrap w:val="0"/>
                  <w:vAlign w:val="center"/>
                </w:tcPr>
                <w:p w14:paraId="06E85C7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80</w:t>
                  </w:r>
                </w:p>
              </w:tc>
              <w:tc>
                <w:tcPr>
                  <w:tcW w:w="295" w:type="pct"/>
                  <w:vMerge w:val="continue"/>
                  <w:tcBorders>
                    <w:tl2br w:val="nil"/>
                    <w:tr2bl w:val="nil"/>
                  </w:tcBorders>
                  <w:noWrap w:val="0"/>
                  <w:vAlign w:val="center"/>
                </w:tcPr>
                <w:p w14:paraId="48A4944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5F7CA02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05" w:type="dxa"/>
                  <w:tcBorders>
                    <w:tl2br w:val="nil"/>
                    <w:tr2bl w:val="nil"/>
                  </w:tcBorders>
                  <w:noWrap w:val="0"/>
                  <w:vAlign w:val="center"/>
                </w:tcPr>
                <w:p w14:paraId="5A8C123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w:t>
                  </w:r>
                </w:p>
              </w:tc>
              <w:tc>
                <w:tcPr>
                  <w:tcW w:w="630" w:type="dxa"/>
                  <w:tcBorders>
                    <w:tl2br w:val="nil"/>
                    <w:tr2bl w:val="nil"/>
                  </w:tcBorders>
                  <w:noWrap w:val="0"/>
                  <w:vAlign w:val="center"/>
                </w:tcPr>
                <w:p w14:paraId="4CE9E5C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122D58A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590" w:type="dxa"/>
                  <w:tcBorders>
                    <w:tl2br w:val="nil"/>
                    <w:tr2bl w:val="nil"/>
                  </w:tcBorders>
                  <w:noWrap w:val="0"/>
                  <w:vAlign w:val="center"/>
                </w:tcPr>
                <w:p w14:paraId="13FE89A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62.91</w:t>
                  </w:r>
                </w:p>
              </w:tc>
              <w:tc>
                <w:tcPr>
                  <w:tcW w:w="277" w:type="pct"/>
                  <w:vMerge w:val="continue"/>
                  <w:tcBorders>
                    <w:tl2br w:val="nil"/>
                    <w:tr2bl w:val="nil"/>
                  </w:tcBorders>
                  <w:noWrap w:val="0"/>
                  <w:vAlign w:val="center"/>
                </w:tcPr>
                <w:p w14:paraId="2909868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3F1F32D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6362E5E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42.91</w:t>
                  </w:r>
                </w:p>
              </w:tc>
              <w:tc>
                <w:tcPr>
                  <w:tcW w:w="302" w:type="pct"/>
                  <w:tcBorders>
                    <w:tl2br w:val="nil"/>
                    <w:tr2bl w:val="nil"/>
                  </w:tcBorders>
                  <w:noWrap w:val="0"/>
                  <w:vAlign w:val="center"/>
                </w:tcPr>
                <w:p w14:paraId="1332B0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623CB8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1FB395D5">
                  <w:pPr>
                    <w:numPr>
                      <w:ilvl w:val="0"/>
                      <w:numId w:val="8"/>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5F31BF97">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5609D93B">
                  <w:pPr>
                    <w:jc w:val="center"/>
                    <w:rPr>
                      <w:rFonts w:hint="eastAsia" w:ascii="Times New Roman" w:hAnsi="Times New Roman" w:eastAsia="宋体" w:cs="Arial"/>
                      <w:color w:val="auto"/>
                      <w:sz w:val="21"/>
                      <w:szCs w:val="21"/>
                      <w:lang w:val="en-US" w:eastAsia="zh-CN"/>
                    </w:rPr>
                  </w:pPr>
                  <w:r>
                    <w:rPr>
                      <w:rFonts w:hint="eastAsia" w:ascii="Times New Roman" w:hAnsi="Times New Roman" w:eastAsia="宋体"/>
                      <w:color w:val="auto"/>
                      <w:kern w:val="2"/>
                      <w:sz w:val="21"/>
                      <w:szCs w:val="21"/>
                      <w:lang w:val="en-US" w:eastAsia="zh-CN" w:bidi="ar-SA"/>
                    </w:rPr>
                    <w:t>拉挤机</w:t>
                  </w:r>
                </w:p>
              </w:tc>
              <w:tc>
                <w:tcPr>
                  <w:tcW w:w="222" w:type="pct"/>
                  <w:tcBorders>
                    <w:tl2br w:val="nil"/>
                    <w:tr2bl w:val="nil"/>
                  </w:tcBorders>
                  <w:noWrap w:val="0"/>
                  <w:vAlign w:val="center"/>
                </w:tcPr>
                <w:p w14:paraId="53A348A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2</w:t>
                  </w:r>
                </w:p>
              </w:tc>
              <w:tc>
                <w:tcPr>
                  <w:tcW w:w="1486" w:type="dxa"/>
                  <w:tcBorders>
                    <w:tl2br w:val="nil"/>
                    <w:tr2bl w:val="nil"/>
                  </w:tcBorders>
                  <w:noWrap w:val="0"/>
                  <w:vAlign w:val="center"/>
                </w:tcPr>
                <w:p w14:paraId="3BA9618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80</w:t>
                  </w:r>
                </w:p>
              </w:tc>
              <w:tc>
                <w:tcPr>
                  <w:tcW w:w="295" w:type="pct"/>
                  <w:vMerge w:val="continue"/>
                  <w:tcBorders>
                    <w:tl2br w:val="nil"/>
                    <w:tr2bl w:val="nil"/>
                  </w:tcBorders>
                  <w:noWrap w:val="0"/>
                  <w:vAlign w:val="center"/>
                </w:tcPr>
                <w:p w14:paraId="736B36C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79524C2C">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29</w:t>
                  </w:r>
                </w:p>
              </w:tc>
              <w:tc>
                <w:tcPr>
                  <w:tcW w:w="705" w:type="dxa"/>
                  <w:tcBorders>
                    <w:tl2br w:val="nil"/>
                    <w:tr2bl w:val="nil"/>
                  </w:tcBorders>
                  <w:noWrap w:val="0"/>
                  <w:vAlign w:val="center"/>
                </w:tcPr>
                <w:p w14:paraId="20057616">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20</w:t>
                  </w:r>
                </w:p>
              </w:tc>
              <w:tc>
                <w:tcPr>
                  <w:tcW w:w="630" w:type="dxa"/>
                  <w:tcBorders>
                    <w:tl2br w:val="nil"/>
                    <w:tr2bl w:val="nil"/>
                  </w:tcBorders>
                  <w:noWrap w:val="0"/>
                  <w:vAlign w:val="center"/>
                </w:tcPr>
                <w:p w14:paraId="5479654E">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7CAAF35C">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1590" w:type="dxa"/>
                  <w:tcBorders>
                    <w:tl2br w:val="nil"/>
                    <w:tr2bl w:val="nil"/>
                  </w:tcBorders>
                  <w:noWrap w:val="0"/>
                  <w:vAlign w:val="center"/>
                </w:tcPr>
                <w:p w14:paraId="663523C0">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67.45</w:t>
                  </w:r>
                </w:p>
              </w:tc>
              <w:tc>
                <w:tcPr>
                  <w:tcW w:w="277" w:type="pct"/>
                  <w:vMerge w:val="continue"/>
                  <w:tcBorders>
                    <w:tl2br w:val="nil"/>
                    <w:tr2bl w:val="nil"/>
                  </w:tcBorders>
                  <w:noWrap w:val="0"/>
                  <w:vAlign w:val="center"/>
                </w:tcPr>
                <w:p w14:paraId="12532E3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73F6DCA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446ABDAC">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47.45</w:t>
                  </w:r>
                </w:p>
              </w:tc>
              <w:tc>
                <w:tcPr>
                  <w:tcW w:w="302" w:type="pct"/>
                  <w:tcBorders>
                    <w:tl2br w:val="nil"/>
                    <w:tr2bl w:val="nil"/>
                  </w:tcBorders>
                  <w:noWrap w:val="0"/>
                  <w:vAlign w:val="center"/>
                </w:tcPr>
                <w:p w14:paraId="7F288E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0BB916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4A368B0F">
                  <w:pPr>
                    <w:numPr>
                      <w:ilvl w:val="0"/>
                      <w:numId w:val="8"/>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575D3432">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5AC02479">
                  <w:pPr>
                    <w:jc w:val="center"/>
                    <w:rPr>
                      <w:rFonts w:hint="eastAsia" w:ascii="Times New Roman" w:hAnsi="Times New Roman" w:eastAsia="宋体" w:cs="Arial"/>
                      <w:color w:val="auto"/>
                      <w:sz w:val="21"/>
                      <w:szCs w:val="21"/>
                      <w:lang w:val="en-US" w:eastAsia="zh-CN"/>
                    </w:rPr>
                  </w:pPr>
                  <w:r>
                    <w:rPr>
                      <w:rFonts w:hint="eastAsia" w:ascii="Times New Roman" w:hAnsi="Times New Roman" w:eastAsia="宋体"/>
                      <w:color w:val="auto"/>
                      <w:sz w:val="21"/>
                      <w:szCs w:val="21"/>
                      <w:lang w:val="en-US" w:eastAsia="zh-CN"/>
                    </w:rPr>
                    <w:t>切割机</w:t>
                  </w:r>
                </w:p>
              </w:tc>
              <w:tc>
                <w:tcPr>
                  <w:tcW w:w="222" w:type="pct"/>
                  <w:tcBorders>
                    <w:tl2br w:val="nil"/>
                    <w:tr2bl w:val="nil"/>
                  </w:tcBorders>
                  <w:noWrap w:val="0"/>
                  <w:vAlign w:val="center"/>
                </w:tcPr>
                <w:p w14:paraId="7DC2A6C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2</w:t>
                  </w:r>
                </w:p>
              </w:tc>
              <w:tc>
                <w:tcPr>
                  <w:tcW w:w="1486" w:type="dxa"/>
                  <w:tcBorders>
                    <w:tl2br w:val="nil"/>
                    <w:tr2bl w:val="nil"/>
                  </w:tcBorders>
                  <w:noWrap w:val="0"/>
                  <w:vAlign w:val="center"/>
                </w:tcPr>
                <w:p w14:paraId="3E9ACBF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80</w:t>
                  </w:r>
                </w:p>
              </w:tc>
              <w:tc>
                <w:tcPr>
                  <w:tcW w:w="295" w:type="pct"/>
                  <w:vMerge w:val="continue"/>
                  <w:tcBorders>
                    <w:tl2br w:val="nil"/>
                    <w:tr2bl w:val="nil"/>
                  </w:tcBorders>
                  <w:noWrap w:val="0"/>
                  <w:vAlign w:val="center"/>
                </w:tcPr>
                <w:p w14:paraId="1077756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40B9D791">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30</w:t>
                  </w:r>
                </w:p>
              </w:tc>
              <w:tc>
                <w:tcPr>
                  <w:tcW w:w="705" w:type="dxa"/>
                  <w:tcBorders>
                    <w:tl2br w:val="nil"/>
                    <w:tr2bl w:val="nil"/>
                  </w:tcBorders>
                  <w:noWrap w:val="0"/>
                  <w:vAlign w:val="center"/>
                </w:tcPr>
                <w:p w14:paraId="1F6B2311">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10</w:t>
                  </w:r>
                </w:p>
              </w:tc>
              <w:tc>
                <w:tcPr>
                  <w:tcW w:w="630" w:type="dxa"/>
                  <w:tcBorders>
                    <w:tl2br w:val="nil"/>
                    <w:tr2bl w:val="nil"/>
                  </w:tcBorders>
                  <w:noWrap w:val="0"/>
                  <w:vAlign w:val="center"/>
                </w:tcPr>
                <w:p w14:paraId="7C4B519A">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0BAF6CF9">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w:t>
                  </w:r>
                </w:p>
              </w:tc>
              <w:tc>
                <w:tcPr>
                  <w:tcW w:w="1590" w:type="dxa"/>
                  <w:tcBorders>
                    <w:tl2br w:val="nil"/>
                    <w:tr2bl w:val="nil"/>
                  </w:tcBorders>
                  <w:noWrap w:val="0"/>
                  <w:vAlign w:val="center"/>
                </w:tcPr>
                <w:p w14:paraId="024CE7D6">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66.11</w:t>
                  </w:r>
                </w:p>
              </w:tc>
              <w:tc>
                <w:tcPr>
                  <w:tcW w:w="277" w:type="pct"/>
                  <w:vMerge w:val="continue"/>
                  <w:tcBorders>
                    <w:tl2br w:val="nil"/>
                    <w:tr2bl w:val="nil"/>
                  </w:tcBorders>
                  <w:noWrap w:val="0"/>
                  <w:vAlign w:val="center"/>
                </w:tcPr>
                <w:p w14:paraId="6CA9531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59A7621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467344C">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46.11</w:t>
                  </w:r>
                </w:p>
              </w:tc>
              <w:tc>
                <w:tcPr>
                  <w:tcW w:w="302" w:type="pct"/>
                  <w:tcBorders>
                    <w:tl2br w:val="nil"/>
                    <w:tr2bl w:val="nil"/>
                  </w:tcBorders>
                  <w:noWrap w:val="0"/>
                  <w:vAlign w:val="center"/>
                </w:tcPr>
                <w:p w14:paraId="7A78855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767F1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39FE137F">
                  <w:pPr>
                    <w:numPr>
                      <w:ilvl w:val="0"/>
                      <w:numId w:val="8"/>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2281CFFC">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40CD11BA">
                  <w:pPr>
                    <w:jc w:val="center"/>
                    <w:rPr>
                      <w:rFonts w:hint="default" w:ascii="Times New Roman" w:hAnsi="Times New Roman" w:eastAsia="宋体" w:cs="Arial"/>
                      <w:color w:val="auto"/>
                      <w:sz w:val="21"/>
                      <w:szCs w:val="21"/>
                      <w:lang w:val="en-US" w:eastAsia="zh-CN"/>
                    </w:rPr>
                  </w:pPr>
                  <w:r>
                    <w:rPr>
                      <w:rFonts w:hint="eastAsia" w:ascii="Times New Roman" w:hAnsi="Times New Roman" w:eastAsia="宋体" w:cs="Arial"/>
                      <w:color w:val="auto"/>
                      <w:sz w:val="21"/>
                      <w:szCs w:val="21"/>
                      <w:lang w:val="en-US" w:eastAsia="zh-CN"/>
                    </w:rPr>
                    <w:t>自动打孔机</w:t>
                  </w:r>
                </w:p>
              </w:tc>
              <w:tc>
                <w:tcPr>
                  <w:tcW w:w="222" w:type="pct"/>
                  <w:tcBorders>
                    <w:tl2br w:val="nil"/>
                    <w:tr2bl w:val="nil"/>
                  </w:tcBorders>
                  <w:noWrap w:val="0"/>
                  <w:vAlign w:val="center"/>
                </w:tcPr>
                <w:p w14:paraId="439DB0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486" w:type="dxa"/>
                  <w:tcBorders>
                    <w:tl2br w:val="nil"/>
                    <w:tr2bl w:val="nil"/>
                  </w:tcBorders>
                  <w:noWrap w:val="0"/>
                  <w:vAlign w:val="center"/>
                </w:tcPr>
                <w:p w14:paraId="11238CB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95" w:type="pct"/>
                  <w:vMerge w:val="continue"/>
                  <w:tcBorders>
                    <w:tl2br w:val="nil"/>
                    <w:tr2bl w:val="nil"/>
                  </w:tcBorders>
                  <w:noWrap w:val="0"/>
                  <w:vAlign w:val="center"/>
                </w:tcPr>
                <w:p w14:paraId="0C55283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5DAB3CFB">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28</w:t>
                  </w:r>
                </w:p>
              </w:tc>
              <w:tc>
                <w:tcPr>
                  <w:tcW w:w="705" w:type="dxa"/>
                  <w:tcBorders>
                    <w:tl2br w:val="nil"/>
                    <w:tr2bl w:val="nil"/>
                  </w:tcBorders>
                  <w:noWrap w:val="0"/>
                  <w:vAlign w:val="center"/>
                </w:tcPr>
                <w:p w14:paraId="17A07202">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4</w:t>
                  </w:r>
                </w:p>
              </w:tc>
              <w:tc>
                <w:tcPr>
                  <w:tcW w:w="630" w:type="dxa"/>
                  <w:tcBorders>
                    <w:tl2br w:val="nil"/>
                    <w:tr2bl w:val="nil"/>
                  </w:tcBorders>
                  <w:noWrap w:val="0"/>
                  <w:vAlign w:val="center"/>
                </w:tcPr>
                <w:p w14:paraId="13474C4C">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549AD82D">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590" w:type="dxa"/>
                  <w:tcBorders>
                    <w:tl2br w:val="nil"/>
                    <w:tr2bl w:val="nil"/>
                  </w:tcBorders>
                  <w:noWrap w:val="0"/>
                  <w:vAlign w:val="center"/>
                </w:tcPr>
                <w:p w14:paraId="0EAD99EA">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58.01</w:t>
                  </w:r>
                </w:p>
              </w:tc>
              <w:tc>
                <w:tcPr>
                  <w:tcW w:w="277" w:type="pct"/>
                  <w:vMerge w:val="continue"/>
                  <w:tcBorders>
                    <w:tl2br w:val="nil"/>
                    <w:tr2bl w:val="nil"/>
                  </w:tcBorders>
                  <w:noWrap w:val="0"/>
                  <w:vAlign w:val="center"/>
                </w:tcPr>
                <w:p w14:paraId="3E8910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290FC65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A33E91B">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38.01</w:t>
                  </w:r>
                </w:p>
              </w:tc>
              <w:tc>
                <w:tcPr>
                  <w:tcW w:w="302" w:type="pct"/>
                  <w:tcBorders>
                    <w:tl2br w:val="nil"/>
                    <w:tr2bl w:val="nil"/>
                  </w:tcBorders>
                  <w:noWrap w:val="0"/>
                  <w:vAlign w:val="center"/>
                </w:tcPr>
                <w:p w14:paraId="3915D4E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665190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79E21890">
                  <w:pPr>
                    <w:numPr>
                      <w:ilvl w:val="0"/>
                      <w:numId w:val="8"/>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6EB1EEA7">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7A4953B2">
                  <w:pPr>
                    <w:jc w:val="center"/>
                    <w:rPr>
                      <w:rFonts w:hint="default" w:ascii="Times New Roman" w:hAnsi="Times New Roman" w:eastAsia="宋体" w:cs="Arial"/>
                      <w:color w:val="auto"/>
                      <w:sz w:val="21"/>
                      <w:szCs w:val="21"/>
                      <w:lang w:val="en-US" w:eastAsia="zh-CN"/>
                    </w:rPr>
                  </w:pPr>
                  <w:r>
                    <w:rPr>
                      <w:rFonts w:hint="eastAsia" w:ascii="Times New Roman" w:hAnsi="Times New Roman" w:eastAsia="宋体" w:cs="Arial"/>
                      <w:color w:val="auto"/>
                      <w:sz w:val="21"/>
                      <w:szCs w:val="21"/>
                      <w:lang w:val="en-US" w:eastAsia="zh-CN"/>
                    </w:rPr>
                    <w:t>空气泵</w:t>
                  </w:r>
                </w:p>
              </w:tc>
              <w:tc>
                <w:tcPr>
                  <w:tcW w:w="222" w:type="pct"/>
                  <w:tcBorders>
                    <w:tl2br w:val="nil"/>
                    <w:tr2bl w:val="nil"/>
                  </w:tcBorders>
                  <w:noWrap w:val="0"/>
                  <w:vAlign w:val="center"/>
                </w:tcPr>
                <w:p w14:paraId="6560E46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486" w:type="dxa"/>
                  <w:tcBorders>
                    <w:tl2br w:val="nil"/>
                    <w:tr2bl w:val="nil"/>
                  </w:tcBorders>
                  <w:noWrap w:val="0"/>
                  <w:vAlign w:val="center"/>
                </w:tcPr>
                <w:p w14:paraId="19444E8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85</w:t>
                  </w:r>
                </w:p>
              </w:tc>
              <w:tc>
                <w:tcPr>
                  <w:tcW w:w="295" w:type="pct"/>
                  <w:vMerge w:val="continue"/>
                  <w:tcBorders>
                    <w:tl2br w:val="nil"/>
                    <w:tr2bl w:val="nil"/>
                  </w:tcBorders>
                  <w:noWrap w:val="0"/>
                  <w:vAlign w:val="center"/>
                </w:tcPr>
                <w:p w14:paraId="3A00DA1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33690AF8">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20</w:t>
                  </w:r>
                </w:p>
              </w:tc>
              <w:tc>
                <w:tcPr>
                  <w:tcW w:w="705" w:type="dxa"/>
                  <w:tcBorders>
                    <w:tl2br w:val="nil"/>
                    <w:tr2bl w:val="nil"/>
                  </w:tcBorders>
                  <w:noWrap w:val="0"/>
                  <w:vAlign w:val="center"/>
                </w:tcPr>
                <w:p w14:paraId="4D29FBCD">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12</w:t>
                  </w:r>
                </w:p>
              </w:tc>
              <w:tc>
                <w:tcPr>
                  <w:tcW w:w="630" w:type="dxa"/>
                  <w:tcBorders>
                    <w:tl2br w:val="nil"/>
                    <w:tr2bl w:val="nil"/>
                  </w:tcBorders>
                  <w:noWrap w:val="0"/>
                  <w:vAlign w:val="center"/>
                </w:tcPr>
                <w:p w14:paraId="31BB84D1">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60" w:type="dxa"/>
                  <w:tcBorders>
                    <w:tl2br w:val="nil"/>
                    <w:tr2bl w:val="nil"/>
                  </w:tcBorders>
                  <w:noWrap w:val="0"/>
                  <w:vAlign w:val="center"/>
                </w:tcPr>
                <w:p w14:paraId="43ED3A65">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590" w:type="dxa"/>
                  <w:tcBorders>
                    <w:tl2br w:val="nil"/>
                    <w:tr2bl w:val="nil"/>
                  </w:tcBorders>
                  <w:noWrap w:val="0"/>
                  <w:vAlign w:val="center"/>
                </w:tcPr>
                <w:p w14:paraId="3C7E6205">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1"/>
                      <w:u w:val="none"/>
                      <w:lang w:val="en-US" w:eastAsia="zh-CN" w:bidi="ar"/>
                    </w:rPr>
                    <w:t>61.99</w:t>
                  </w:r>
                </w:p>
              </w:tc>
              <w:tc>
                <w:tcPr>
                  <w:tcW w:w="277" w:type="pct"/>
                  <w:vMerge w:val="continue"/>
                  <w:tcBorders>
                    <w:tl2br w:val="nil"/>
                    <w:tr2bl w:val="nil"/>
                  </w:tcBorders>
                  <w:noWrap w:val="0"/>
                  <w:vAlign w:val="center"/>
                </w:tcPr>
                <w:p w14:paraId="5A7113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31F640A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552F30E5">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41.99</w:t>
                  </w:r>
                </w:p>
              </w:tc>
              <w:tc>
                <w:tcPr>
                  <w:tcW w:w="302" w:type="pct"/>
                  <w:tcBorders>
                    <w:tl2br w:val="nil"/>
                    <w:tr2bl w:val="nil"/>
                  </w:tcBorders>
                  <w:noWrap w:val="0"/>
                  <w:vAlign w:val="center"/>
                </w:tcPr>
                <w:p w14:paraId="412548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bl>
          <w:p w14:paraId="548D98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textAlignment w:val="auto"/>
              <w:rPr>
                <w:rFonts w:hint="default"/>
                <w:color w:val="auto"/>
              </w:rPr>
            </w:pPr>
            <w:r>
              <w:rPr>
                <w:rFonts w:hint="eastAsia"/>
                <w:b/>
                <w:bCs w:val="0"/>
                <w:color w:val="auto"/>
                <w:sz w:val="18"/>
                <w:szCs w:val="18"/>
                <w:lang w:val="en-US" w:eastAsia="zh-CN"/>
              </w:rPr>
              <w:t>注：表中坐标以生产厂房西南角（119.213333,33.801780）为坐标原点，正东向为X轴正方向，正北向为Y轴正方向。</w:t>
            </w:r>
          </w:p>
        </w:tc>
      </w:tr>
    </w:tbl>
    <w:p w14:paraId="634924B6">
      <w:pPr>
        <w:pStyle w:val="19"/>
        <w:rPr>
          <w:color w:val="auto"/>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2C9A7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746" w:type="dxa"/>
            <w:noWrap w:val="0"/>
            <w:tcMar>
              <w:left w:w="28" w:type="dxa"/>
              <w:right w:w="28" w:type="dxa"/>
            </w:tcMar>
            <w:vAlign w:val="center"/>
          </w:tcPr>
          <w:p w14:paraId="2490F872">
            <w:pPr>
              <w:pStyle w:val="18"/>
              <w:rPr>
                <w:color w:val="auto"/>
              </w:rPr>
            </w:pPr>
          </w:p>
        </w:tc>
        <w:tc>
          <w:tcPr>
            <w:tcW w:w="8162" w:type="dxa"/>
            <w:noWrap w:val="0"/>
            <w:vAlign w:val="center"/>
          </w:tcPr>
          <w:p w14:paraId="737EAFA2">
            <w:pPr>
              <w:keepNext w:val="0"/>
              <w:keepLines w:val="0"/>
              <w:suppressLineNumbers w:val="0"/>
              <w:spacing w:before="0" w:beforeAutospacing="0" w:after="0" w:afterAutospacing="0" w:line="500" w:lineRule="exact"/>
              <w:ind w:left="0" w:right="0" w:firstLine="480" w:firstLineChars="200"/>
              <w:rPr>
                <w:rFonts w:hint="eastAsia" w:ascii="宋体" w:hAnsi="宋体" w:cs="FangSong_GB2312-Identity-H"/>
                <w:color w:val="auto"/>
                <w:sz w:val="24"/>
              </w:rPr>
            </w:pPr>
            <w:r>
              <w:rPr>
                <w:rFonts w:hint="eastAsia" w:ascii="宋体" w:hAnsi="宋体" w:cs="FangSong_GB2312-Identity-H"/>
                <w:color w:val="auto"/>
                <w:sz w:val="24"/>
              </w:rPr>
              <w:t>声环境保护具体措施和对策如下：</w:t>
            </w:r>
          </w:p>
          <w:p w14:paraId="146E3810">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FangSong_GB2312-Identity-H"/>
                <w:color w:val="auto"/>
                <w:sz w:val="24"/>
              </w:rPr>
            </w:pPr>
            <w:r>
              <w:rPr>
                <w:rFonts w:hint="eastAsia" w:ascii="Times New Roman" w:hAnsi="Times New Roman" w:cs="FangSong_GB2312-Identity-H"/>
                <w:color w:val="auto"/>
                <w:sz w:val="24"/>
              </w:rPr>
              <w:t>（1）从声源上降噪</w:t>
            </w:r>
          </w:p>
          <w:p w14:paraId="4FDA55B6">
            <w:pPr>
              <w:keepNext w:val="0"/>
              <w:keepLines w:val="0"/>
              <w:suppressLineNumbers w:val="0"/>
              <w:spacing w:before="0" w:beforeAutospacing="0" w:after="0" w:afterAutospacing="0" w:line="500" w:lineRule="exact"/>
              <w:ind w:right="0" w:firstLine="480" w:firstLineChars="200"/>
              <w:rPr>
                <w:rFonts w:hint="eastAsia" w:ascii="Times New Roman" w:hAnsi="Times New Roman" w:eastAsia="宋体" w:cs="FangSong_GB2312-Identity-H"/>
                <w:color w:val="auto"/>
                <w:kern w:val="2"/>
                <w:sz w:val="24"/>
                <w:szCs w:val="24"/>
                <w:lang w:val="en-US" w:eastAsia="zh-CN" w:bidi="ar-SA"/>
              </w:rPr>
            </w:pPr>
            <w:r>
              <w:rPr>
                <w:rFonts w:hint="eastAsia" w:ascii="Times New Roman" w:hAnsi="Times New Roman" w:cs="FangSong_GB2312-Identity-H"/>
                <w:color w:val="auto"/>
                <w:sz w:val="24"/>
              </w:rPr>
              <w:t>重视设备选型，选择自动化程度高、噪声低的生产设备。项目</w:t>
            </w:r>
            <w:r>
              <w:rPr>
                <w:rFonts w:hint="eastAsia" w:ascii="Times New Roman" w:hAnsi="Times New Roman" w:cs="FangSong_GB2312-Identity-H"/>
                <w:color w:val="auto"/>
                <w:sz w:val="24"/>
                <w:lang w:val="en-US" w:eastAsia="zh-CN"/>
              </w:rPr>
              <w:t>设</w:t>
            </w:r>
            <w:r>
              <w:rPr>
                <w:rFonts w:hint="eastAsia" w:ascii="Times New Roman" w:hAnsi="Times New Roman" w:cs="FangSong_GB2312-Identity-H"/>
                <w:color w:val="auto"/>
                <w:sz w:val="24"/>
              </w:rPr>
              <w:t>备选用满足国标标准的低噪声、低振动设备；加强</w:t>
            </w:r>
            <w:r>
              <w:rPr>
                <w:rFonts w:hint="eastAsia" w:ascii="Times New Roman" w:hAnsi="Times New Roman" w:eastAsia="宋体" w:cs="FangSong_GB2312-Identity-H"/>
                <w:color w:val="auto"/>
                <w:kern w:val="2"/>
                <w:sz w:val="24"/>
                <w:szCs w:val="24"/>
                <w:lang w:val="en-US" w:eastAsia="zh-CN" w:bidi="ar-SA"/>
              </w:rPr>
              <w:t>设备的维护、检修与润滑，确保设备处于良好的运转状态。从而从声源上降低设备本身的噪声。</w:t>
            </w:r>
          </w:p>
          <w:p w14:paraId="1CB94A25">
            <w:pPr>
              <w:keepNext w:val="0"/>
              <w:keepLines w:val="0"/>
              <w:numPr>
                <w:ilvl w:val="0"/>
                <w:numId w:val="0"/>
              </w:numPr>
              <w:suppressLineNumbers w:val="0"/>
              <w:spacing w:before="0" w:beforeAutospacing="0" w:after="0" w:afterAutospacing="0" w:line="500" w:lineRule="exact"/>
              <w:ind w:left="420" w:leftChars="0" w:right="0" w:rightChars="0"/>
              <w:rPr>
                <w:rFonts w:hint="default" w:ascii="Times New Roman" w:hAnsi="Times New Roman" w:eastAsia="宋体" w:cs="FangSong_GB2312-Identity-H"/>
                <w:color w:val="auto"/>
                <w:kern w:val="2"/>
                <w:sz w:val="24"/>
                <w:szCs w:val="24"/>
                <w:lang w:val="en-US" w:eastAsia="zh-CN" w:bidi="ar-SA"/>
              </w:rPr>
            </w:pPr>
            <w:r>
              <w:rPr>
                <w:rFonts w:hint="eastAsia" w:ascii="Times New Roman" w:hAnsi="Times New Roman" w:eastAsia="宋体" w:cs="FangSong_GB2312-Identity-H"/>
                <w:color w:val="auto"/>
                <w:kern w:val="2"/>
                <w:sz w:val="24"/>
                <w:szCs w:val="24"/>
                <w:lang w:val="en-US" w:eastAsia="zh-CN" w:bidi="ar-SA"/>
              </w:rPr>
              <w:t>（2）从传播途径上降噪</w:t>
            </w:r>
          </w:p>
          <w:p w14:paraId="6CE03BD5">
            <w:pPr>
              <w:spacing w:line="500" w:lineRule="exact"/>
              <w:ind w:firstLine="480" w:firstLineChars="200"/>
              <w:rPr>
                <w:rFonts w:hint="eastAsia" w:ascii="Times New Roman" w:hAnsi="Times New Roman" w:eastAsia="宋体" w:cs="FangSong_GB2312-Identity-H"/>
                <w:color w:val="auto"/>
                <w:kern w:val="2"/>
                <w:sz w:val="24"/>
                <w:szCs w:val="24"/>
                <w:lang w:val="en-US" w:eastAsia="zh-CN" w:bidi="ar-SA"/>
              </w:rPr>
            </w:pPr>
            <w:r>
              <w:rPr>
                <w:rFonts w:hint="eastAsia" w:ascii="Times New Roman" w:hAnsi="Times New Roman" w:eastAsia="宋体" w:cs="FangSong_GB2312-Identity-H"/>
                <w:color w:val="auto"/>
                <w:kern w:val="2"/>
                <w:sz w:val="24"/>
                <w:szCs w:val="24"/>
                <w:lang w:val="en-US" w:eastAsia="zh-CN" w:bidi="ar-SA"/>
              </w:rPr>
              <w:t>采用“闹静分开”和“合理布局”的设计原则，在平面布置上，尽量将厂房内的高噪声设备尽量布置在厂区中间，远离噪声敏感区域或厂界，将高噪声设备通过距离衰减减轻噪声对周围环境的影响；</w:t>
            </w:r>
          </w:p>
          <w:p w14:paraId="7012354C">
            <w:pPr>
              <w:spacing w:line="500" w:lineRule="exact"/>
              <w:ind w:firstLine="480" w:firstLineChars="200"/>
              <w:rPr>
                <w:rFonts w:hint="eastAsia" w:ascii="宋体" w:hAnsi="宋体" w:cs="FangSong_GB2312-Identity-H"/>
                <w:color w:val="auto"/>
                <w:sz w:val="24"/>
              </w:rPr>
            </w:pPr>
            <w:r>
              <w:rPr>
                <w:rFonts w:hint="eastAsia" w:ascii="Times New Roman" w:hAnsi="Times New Roman" w:cs="FangSong_GB2312-Identity-H"/>
                <w:color w:val="auto"/>
                <w:sz w:val="24"/>
              </w:rPr>
              <w:t>各生产设备按照规范安装，主要生产设备安装在</w:t>
            </w:r>
            <w:r>
              <w:rPr>
                <w:rFonts w:hint="eastAsia" w:ascii="Times New Roman" w:hAnsi="Times New Roman" w:cs="FangSong_GB2312-Identity-H"/>
                <w:color w:val="auto"/>
                <w:sz w:val="24"/>
                <w:lang w:val="en-US" w:eastAsia="zh-CN"/>
              </w:rPr>
              <w:t>厂房</w:t>
            </w:r>
            <w:r>
              <w:rPr>
                <w:rFonts w:hint="eastAsia" w:ascii="Times New Roman" w:hAnsi="Times New Roman" w:cs="FangSong_GB2312-Identity-H"/>
                <w:color w:val="auto"/>
                <w:sz w:val="24"/>
              </w:rPr>
              <w:t>内，</w:t>
            </w:r>
            <w:r>
              <w:rPr>
                <w:rFonts w:hint="eastAsia" w:ascii="Times New Roman" w:hAnsi="Times New Roman" w:cs="FangSong_GB2312-Identity-H"/>
                <w:color w:val="auto"/>
                <w:sz w:val="24"/>
                <w:lang w:val="en-US" w:eastAsia="zh-CN"/>
              </w:rPr>
              <w:t>厂房</w:t>
            </w:r>
            <w:r>
              <w:rPr>
                <w:rFonts w:hint="eastAsia" w:ascii="Times New Roman" w:hAnsi="Times New Roman" w:cs="FangSong_GB2312-Identity-H"/>
                <w:color w:val="auto"/>
                <w:sz w:val="24"/>
              </w:rPr>
              <w:t>墙壁采用具有较高隔声、吸声功能的建筑材料，通过建筑物封闭隔声降低噪声向外环境的辐射量；并对高噪声设备设置隔声罩、安装消声器、底座采用减震基座等措施，可减轻设备噪声对周围环境的影响。其中，隔音消声设计等方面严格按照《工业企业噪声控制设计规范》</w:t>
            </w:r>
            <w:r>
              <w:rPr>
                <w:rFonts w:hint="default" w:ascii="Times New Roman" w:hAnsi="Times New Roman" w:cs="Times New Roman"/>
                <w:color w:val="auto"/>
                <w:sz w:val="24"/>
              </w:rPr>
              <w:t>（GB/T50087-2013）</w:t>
            </w:r>
            <w:r>
              <w:rPr>
                <w:rFonts w:hint="eastAsia" w:ascii="Times New Roman" w:hAnsi="Times New Roman" w:cs="FangSong_GB2312-Identity-H"/>
                <w:color w:val="auto"/>
                <w:sz w:val="24"/>
              </w:rPr>
              <w:t>的要求进行</w:t>
            </w:r>
            <w:r>
              <w:rPr>
                <w:rFonts w:hint="eastAsia" w:ascii="宋体" w:hAnsi="宋体" w:cs="FangSong_GB2312-Identity-H"/>
                <w:color w:val="auto"/>
                <w:sz w:val="24"/>
              </w:rPr>
              <w:t>。</w:t>
            </w:r>
          </w:p>
          <w:p w14:paraId="259630E1">
            <w:pPr>
              <w:spacing w:line="500" w:lineRule="exact"/>
              <w:ind w:firstLine="480" w:firstLineChars="200"/>
              <w:rPr>
                <w:rFonts w:hint="eastAsia" w:ascii="宋体" w:hAnsi="宋体" w:cs="FangSong_GB2312-Identity-H"/>
                <w:color w:val="auto"/>
                <w:sz w:val="24"/>
              </w:rPr>
            </w:pPr>
            <w:r>
              <w:rPr>
                <w:rFonts w:hint="eastAsia" w:ascii="宋体" w:hAnsi="宋体" w:cs="FangSong_GB2312-Identity-H"/>
                <w:color w:val="auto"/>
                <w:sz w:val="24"/>
              </w:rPr>
              <w:t>管道采用隔震避震喉，以减少噪声的传播；合理安排装卸作业，避免噪声设备同时运转。</w:t>
            </w:r>
          </w:p>
          <w:p w14:paraId="46500113">
            <w:pPr>
              <w:spacing w:line="500" w:lineRule="exact"/>
              <w:ind w:firstLine="480" w:firstLineChars="200"/>
              <w:rPr>
                <w:rFonts w:hint="eastAsia" w:ascii="Times New Roman" w:hAnsi="Times New Roman" w:cs="FangSong_GB2312-Identity-H"/>
                <w:color w:val="auto"/>
                <w:sz w:val="24"/>
              </w:rPr>
            </w:pPr>
            <w:r>
              <w:rPr>
                <w:rFonts w:hint="eastAsia" w:ascii="Times New Roman" w:hAnsi="Times New Roman" w:cs="FangSong_GB2312-Identity-H"/>
                <w:color w:val="auto"/>
                <w:sz w:val="24"/>
              </w:rPr>
              <w:t>对各类噪声源采取以上降噪措施后，建设项目厂界噪声可达标，能满足环境保护的要求。</w:t>
            </w:r>
          </w:p>
          <w:p w14:paraId="6FCB9EB0">
            <w:pPr>
              <w:keepNext w:val="0"/>
              <w:keepLines w:val="0"/>
              <w:numPr>
                <w:ilvl w:val="0"/>
                <w:numId w:val="0"/>
              </w:numPr>
              <w:suppressLineNumbers w:val="0"/>
              <w:adjustRightInd w:val="0"/>
              <w:spacing w:before="0" w:beforeAutospacing="0" w:after="0" w:afterAutospacing="0" w:line="500" w:lineRule="exact"/>
              <w:ind w:left="0" w:leftChars="0" w:right="0" w:rightChars="0" w:firstLine="480" w:firstLineChars="200"/>
              <w:rPr>
                <w:rFonts w:hint="eastAsia" w:ascii="Times New Roman" w:hAnsi="Times New Roman" w:cs="Times New Roman"/>
                <w:b w:val="0"/>
                <w:bCs/>
                <w:color w:val="auto"/>
                <w:sz w:val="24"/>
                <w:lang w:val="en-US" w:eastAsia="zh-CN"/>
              </w:rPr>
            </w:pPr>
            <w:r>
              <w:rPr>
                <w:rFonts w:hint="eastAsia" w:cs="Times New Roman"/>
                <w:b w:val="0"/>
                <w:bCs/>
                <w:color w:val="auto"/>
                <w:kern w:val="2"/>
                <w:sz w:val="24"/>
                <w:szCs w:val="24"/>
                <w:lang w:val="en-US" w:eastAsia="zh-CN" w:bidi="ar-SA"/>
              </w:rPr>
              <w:t>2</w:t>
            </w:r>
            <w:r>
              <w:rPr>
                <w:rFonts w:hint="eastAsia" w:ascii="Times New Roman" w:hAnsi="Times New Roman" w:eastAsia="宋体" w:cs="Times New Roman"/>
                <w:b w:val="0"/>
                <w:bCs/>
                <w:color w:val="auto"/>
                <w:kern w:val="2"/>
                <w:sz w:val="24"/>
                <w:szCs w:val="24"/>
                <w:lang w:val="en-US" w:eastAsia="zh-CN" w:bidi="ar-SA"/>
              </w:rPr>
              <w:t>、</w:t>
            </w:r>
            <w:r>
              <w:rPr>
                <w:rFonts w:hint="eastAsia" w:ascii="Times New Roman" w:hAnsi="Times New Roman" w:cs="Times New Roman"/>
                <w:b w:val="0"/>
                <w:bCs/>
                <w:color w:val="auto"/>
                <w:sz w:val="24"/>
                <w:lang w:val="en-US" w:eastAsia="zh-CN"/>
              </w:rPr>
              <w:t>噪声预测</w:t>
            </w:r>
          </w:p>
          <w:p w14:paraId="644B67C5">
            <w:pPr>
              <w:keepNext w:val="0"/>
              <w:keepLines w:val="0"/>
              <w:numPr>
                <w:ilvl w:val="0"/>
                <w:numId w:val="0"/>
              </w:numPr>
              <w:suppressLineNumbers w:val="0"/>
              <w:adjustRightInd w:val="0"/>
              <w:spacing w:before="0" w:beforeAutospacing="0" w:after="0" w:afterAutospacing="0" w:line="500" w:lineRule="exact"/>
              <w:ind w:left="0" w:right="0" w:rightChars="0" w:firstLine="480" w:firstLineChars="200"/>
              <w:rPr>
                <w:rFonts w:hint="default" w:ascii="Times New Roman" w:hAnsi="Times New Roman" w:cs="Times New Roman"/>
                <w:color w:val="auto"/>
                <w:sz w:val="24"/>
              </w:rPr>
            </w:pPr>
            <w:r>
              <w:rPr>
                <w:rFonts w:hint="default" w:ascii="宋体" w:hAnsi="宋体" w:cs="Times New Roman"/>
                <w:color w:val="auto"/>
                <w:sz w:val="24"/>
              </w:rPr>
              <w:t>本</w:t>
            </w:r>
            <w:r>
              <w:rPr>
                <w:rFonts w:hint="default" w:ascii="Times New Roman" w:hAnsi="Times New Roman" w:cs="Times New Roman"/>
                <w:color w:val="auto"/>
                <w:sz w:val="24"/>
              </w:rPr>
              <w:t>项目位于</w:t>
            </w:r>
            <w:r>
              <w:rPr>
                <w:rFonts w:hint="eastAsia" w:ascii="Times New Roman" w:hAnsi="Times New Roman" w:cs="Times New Roman"/>
                <w:color w:val="auto"/>
                <w:sz w:val="24"/>
                <w:lang w:val="en-US" w:eastAsia="zh-CN"/>
              </w:rPr>
              <w:t>涟水县经济开发区</w:t>
            </w:r>
            <w:r>
              <w:rPr>
                <w:rFonts w:hint="eastAsia" w:cs="Times New Roman"/>
                <w:color w:val="auto"/>
                <w:sz w:val="24"/>
                <w:lang w:val="en-US" w:eastAsia="zh-CN"/>
              </w:rPr>
              <w:t>炎黄大道99号</w:t>
            </w:r>
            <w:r>
              <w:rPr>
                <w:rFonts w:hint="default" w:ascii="Times New Roman" w:hAnsi="Times New Roman" w:cs="Times New Roman"/>
                <w:color w:val="auto"/>
                <w:sz w:val="24"/>
              </w:rPr>
              <w:t>，其声环境功能为</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类区，本项目夜间不生产，营运期项目四周厂界昼间噪声执行《工业企业厂界环境噪声排放标准》（GB12348-2008）中的</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类标准（昼间≤6</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dB（A））。</w:t>
            </w:r>
          </w:p>
          <w:p w14:paraId="5CFF7D01">
            <w:pPr>
              <w:keepNext w:val="0"/>
              <w:keepLines w:val="0"/>
              <w:suppressLineNumbers w:val="0"/>
              <w:autoSpaceDE w:val="0"/>
              <w:autoSpaceDN w:val="0"/>
              <w:spacing w:before="0" w:beforeAutospacing="0" w:after="0" w:afterAutospacing="0" w:line="500" w:lineRule="exact"/>
              <w:ind w:left="0" w:right="0" w:firstLine="480" w:firstLineChars="200"/>
              <w:rPr>
                <w:rFonts w:hint="default"/>
                <w:color w:val="auto"/>
              </w:rPr>
            </w:pPr>
            <w:r>
              <w:rPr>
                <w:rFonts w:hint="eastAsia" w:ascii="Times New Roman" w:hAnsi="Times New Roman"/>
                <w:color w:val="auto"/>
                <w:sz w:val="24"/>
              </w:rPr>
              <w:t>参照</w:t>
            </w:r>
            <w:r>
              <w:rPr>
                <w:rFonts w:hint="default" w:ascii="Times New Roman" w:hAnsi="Times New Roman"/>
                <w:color w:val="auto"/>
                <w:sz w:val="24"/>
              </w:rPr>
              <w:t>《环境影响评价技术导则声环境》（HJ2.4-20</w:t>
            </w:r>
            <w:r>
              <w:rPr>
                <w:rFonts w:hint="eastAsia" w:ascii="Times New Roman" w:hAnsi="Times New Roman"/>
                <w:color w:val="auto"/>
                <w:sz w:val="24"/>
              </w:rPr>
              <w:t>21</w:t>
            </w:r>
            <w:r>
              <w:rPr>
                <w:rFonts w:hint="default" w:ascii="Times New Roman" w:hAnsi="Times New Roman"/>
                <w:color w:val="auto"/>
                <w:sz w:val="24"/>
              </w:rPr>
              <w:t>），</w:t>
            </w:r>
            <w:r>
              <w:rPr>
                <w:rFonts w:hint="eastAsia" w:ascii="Times New Roman" w:hAnsi="Times New Roman"/>
                <w:color w:val="auto"/>
                <w:kern w:val="0"/>
                <w:sz w:val="24"/>
                <w:lang w:bidi="ar"/>
              </w:rPr>
              <w:t>噪声在传播过程中受到多种因素的干扰，使其产生衰减，根据建设项目噪声源</w:t>
            </w:r>
            <w:r>
              <w:rPr>
                <w:rFonts w:hint="eastAsia"/>
                <w:color w:val="auto"/>
                <w:kern w:val="0"/>
                <w:sz w:val="24"/>
                <w:lang w:bidi="ar"/>
              </w:rPr>
              <w:t>和环境特征，预测过程中考虑了隔声罩等的屏障作用、空气吸收。预测模式采用点声源处于半自由空间的几何发散模式。</w:t>
            </w:r>
          </w:p>
          <w:p w14:paraId="603BE23A">
            <w:pPr>
              <w:keepNext w:val="0"/>
              <w:keepLines w:val="0"/>
              <w:suppressLineNumbers w:val="0"/>
              <w:autoSpaceDE w:val="0"/>
              <w:autoSpaceDN w:val="0"/>
              <w:spacing w:before="0" w:beforeAutospacing="0" w:after="0" w:afterAutospacing="0" w:line="500" w:lineRule="exact"/>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w:t>
            </w:r>
            <w:r>
              <w:rPr>
                <w:rFonts w:hint="eastAsia" w:ascii="Times New Roman" w:hAnsi="Times New Roman" w:eastAsia="宋体" w:cs="Times New Roman"/>
                <w:color w:val="auto"/>
                <w:sz w:val="24"/>
              </w:rPr>
              <w:t>室内声源等效室外声源声功率级计算方法</w:t>
            </w:r>
          </w:p>
          <w:p w14:paraId="72DA5001">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kern w:val="0"/>
                <w:sz w:val="24"/>
                <w:lang w:bidi="ar"/>
              </w:rPr>
            </w:pPr>
            <w:r>
              <w:rPr>
                <w:rFonts w:hint="eastAsia"/>
                <w:color w:val="auto"/>
                <w:kern w:val="0"/>
                <w:sz w:val="24"/>
                <w:lang w:bidi="ar"/>
              </w:rPr>
              <w:t>设靠近开口处（或窗户）室内、室外某倍频带的声压级或</w:t>
            </w:r>
            <w:r>
              <w:rPr>
                <w:rFonts w:hint="default"/>
                <w:color w:val="auto"/>
                <w:kern w:val="0"/>
                <w:sz w:val="24"/>
                <w:lang w:bidi="ar"/>
              </w:rPr>
              <w:t>A</w:t>
            </w:r>
            <w:r>
              <w:rPr>
                <w:rFonts w:hint="eastAsia"/>
                <w:color w:val="auto"/>
                <w:kern w:val="0"/>
                <w:sz w:val="24"/>
                <w:lang w:bidi="ar"/>
              </w:rPr>
              <w:t>声级分别为</w:t>
            </w:r>
            <w:r>
              <w:rPr>
                <w:rFonts w:hint="default"/>
                <w:color w:val="auto"/>
                <w:kern w:val="0"/>
                <w:sz w:val="24"/>
                <w:lang w:bidi="ar"/>
              </w:rPr>
              <w:t>L</w:t>
            </w:r>
            <w:r>
              <w:rPr>
                <w:rFonts w:hint="default"/>
                <w:color w:val="auto"/>
                <w:kern w:val="0"/>
                <w:sz w:val="24"/>
                <w:vertAlign w:val="subscript"/>
                <w:lang w:bidi="ar"/>
              </w:rPr>
              <w:t>p1</w:t>
            </w:r>
            <w:r>
              <w:rPr>
                <w:rFonts w:hint="eastAsia"/>
                <w:color w:val="auto"/>
                <w:kern w:val="0"/>
                <w:sz w:val="24"/>
                <w:lang w:bidi="ar"/>
              </w:rPr>
              <w:t>和</w:t>
            </w:r>
            <w:r>
              <w:rPr>
                <w:rFonts w:hint="default"/>
                <w:color w:val="auto"/>
                <w:kern w:val="0"/>
                <w:sz w:val="24"/>
                <w:lang w:bidi="ar"/>
              </w:rPr>
              <w:t>L</w:t>
            </w:r>
            <w:r>
              <w:rPr>
                <w:rFonts w:hint="default"/>
                <w:color w:val="auto"/>
                <w:kern w:val="0"/>
                <w:sz w:val="24"/>
                <w:vertAlign w:val="subscript"/>
                <w:lang w:bidi="ar"/>
              </w:rPr>
              <w:t>p2</w:t>
            </w:r>
            <w:r>
              <w:rPr>
                <w:rFonts w:hint="eastAsia"/>
                <w:color w:val="auto"/>
                <w:kern w:val="0"/>
                <w:sz w:val="24"/>
                <w:lang w:bidi="ar"/>
              </w:rPr>
              <w:t>。若声源所在室内声场为近似扩散声场，则室外的倍频带声压级可按式</w:t>
            </w:r>
            <w:r>
              <w:rPr>
                <w:rFonts w:hint="eastAsia" w:ascii="宋体" w:hAnsi="宋体" w:cs="宋体"/>
                <w:color w:val="auto"/>
                <w:kern w:val="0"/>
                <w:sz w:val="24"/>
                <w:lang w:val="en-US" w:eastAsia="zh-CN" w:bidi="ar"/>
              </w:rPr>
              <w:t>①</w:t>
            </w:r>
            <w:r>
              <w:rPr>
                <w:rFonts w:hint="eastAsia"/>
                <w:color w:val="auto"/>
                <w:kern w:val="0"/>
                <w:sz w:val="24"/>
                <w:lang w:bidi="ar"/>
              </w:rPr>
              <w:t>近似求出：</w:t>
            </w:r>
          </w:p>
          <w:p w14:paraId="5E3E765B">
            <w:pPr>
              <w:keepNext w:val="0"/>
              <w:keepLines w:val="0"/>
              <w:widowControl/>
              <w:suppressLineNumbers w:val="0"/>
              <w:autoSpaceDN w:val="0"/>
              <w:adjustRightInd w:val="0"/>
              <w:snapToGrid w:val="0"/>
              <w:spacing w:before="0" w:beforeAutospacing="0" w:after="0" w:afterAutospacing="0" w:line="500" w:lineRule="exact"/>
              <w:ind w:left="0" w:right="0" w:firstLine="480"/>
              <w:jc w:val="center"/>
              <w:rPr>
                <w:rFonts w:hint="default"/>
                <w:color w:val="auto"/>
                <w:sz w:val="24"/>
              </w:rPr>
            </w:pPr>
            <w:r>
              <w:rPr>
                <w:rFonts w:hint="default"/>
                <w:color w:val="auto"/>
                <w:kern w:val="0"/>
                <w:position w:val="-14"/>
                <w:sz w:val="24"/>
                <w:lang w:bidi="ar"/>
              </w:rPr>
              <w:object>
                <v:shape id="_x0000_i1026" o:spt="75" type="#_x0000_t75" style="height:20.25pt;width:99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8" r:id="rId13">
                  <o:LockedField>false</o:LockedField>
                </o:OLEObject>
              </w:object>
            </w:r>
            <w:r>
              <w:rPr>
                <w:rFonts w:hint="eastAsia" w:ascii="宋体" w:hAnsi="宋体" w:cs="宋体"/>
                <w:color w:val="auto"/>
                <w:kern w:val="0"/>
                <w:sz w:val="24"/>
                <w:lang w:val="en-US" w:eastAsia="zh-CN" w:bidi="ar"/>
              </w:rPr>
              <w:t>①</w:t>
            </w:r>
          </w:p>
          <w:p w14:paraId="4276B2C7">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eastAsia" w:eastAsia="宋体"/>
                <w:color w:val="auto"/>
                <w:kern w:val="0"/>
                <w:sz w:val="24"/>
                <w:lang w:eastAsia="zh-CN" w:bidi="ar"/>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p1</w:t>
            </w:r>
            <w:r>
              <w:rPr>
                <w:rFonts w:hint="default"/>
                <w:color w:val="auto"/>
                <w:kern w:val="0"/>
                <w:sz w:val="24"/>
                <w:lang w:bidi="ar"/>
              </w:rPr>
              <w:t>—</w:t>
            </w:r>
            <w:r>
              <w:rPr>
                <w:rFonts w:hint="eastAsia"/>
                <w:color w:val="auto"/>
                <w:kern w:val="0"/>
                <w:sz w:val="24"/>
                <w:lang w:bidi="ar"/>
              </w:rPr>
              <w:t>靠近开口处（或窗户）室内某倍频带的声压级或</w:t>
            </w:r>
            <w:r>
              <w:rPr>
                <w:rFonts w:hint="default"/>
                <w:color w:val="auto"/>
                <w:kern w:val="0"/>
                <w:sz w:val="24"/>
                <w:lang w:bidi="ar"/>
              </w:rPr>
              <w:t>A</w:t>
            </w:r>
            <w:r>
              <w:rPr>
                <w:rFonts w:hint="eastAsia"/>
                <w:color w:val="auto"/>
                <w:kern w:val="0"/>
                <w:sz w:val="24"/>
                <w:lang w:bidi="ar"/>
              </w:rPr>
              <w:t>声级，</w:t>
            </w:r>
            <w:r>
              <w:rPr>
                <w:rFonts w:hint="default"/>
                <w:color w:val="auto"/>
                <w:kern w:val="0"/>
                <w:sz w:val="24"/>
                <w:lang w:bidi="ar"/>
              </w:rPr>
              <w:t>dB</w:t>
            </w:r>
            <w:r>
              <w:rPr>
                <w:rFonts w:hint="eastAsia"/>
                <w:color w:val="auto"/>
                <w:kern w:val="0"/>
                <w:sz w:val="24"/>
                <w:lang w:bidi="ar"/>
              </w:rPr>
              <w:t>；</w:t>
            </w:r>
          </w:p>
          <w:p w14:paraId="7B9898A2">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auto"/>
                <w:kern w:val="0"/>
                <w:sz w:val="24"/>
                <w:lang w:eastAsia="zh-CN" w:bidi="ar"/>
              </w:rPr>
            </w:pPr>
            <w:r>
              <w:rPr>
                <w:rFonts w:hint="default"/>
                <w:color w:val="auto"/>
                <w:kern w:val="0"/>
                <w:sz w:val="24"/>
                <w:lang w:bidi="ar"/>
              </w:rPr>
              <w:t>L</w:t>
            </w:r>
            <w:r>
              <w:rPr>
                <w:rFonts w:hint="default"/>
                <w:color w:val="auto"/>
                <w:kern w:val="0"/>
                <w:sz w:val="24"/>
                <w:vertAlign w:val="subscript"/>
                <w:lang w:bidi="ar"/>
              </w:rPr>
              <w:t>p2</w:t>
            </w:r>
            <w:r>
              <w:rPr>
                <w:rFonts w:hint="default"/>
                <w:color w:val="auto"/>
                <w:kern w:val="0"/>
                <w:sz w:val="24"/>
                <w:lang w:bidi="ar"/>
              </w:rPr>
              <w:t>—</w:t>
            </w:r>
            <w:r>
              <w:rPr>
                <w:rFonts w:hint="eastAsia"/>
                <w:color w:val="auto"/>
                <w:kern w:val="0"/>
                <w:sz w:val="24"/>
                <w:lang w:bidi="ar"/>
              </w:rPr>
              <w:t>靠近开口处（或窗户）室外某倍频带的声压级或</w:t>
            </w:r>
            <w:r>
              <w:rPr>
                <w:rFonts w:hint="default"/>
                <w:color w:val="auto"/>
                <w:kern w:val="0"/>
                <w:sz w:val="24"/>
                <w:lang w:bidi="ar"/>
              </w:rPr>
              <w:t>A</w:t>
            </w:r>
            <w:r>
              <w:rPr>
                <w:rFonts w:hint="eastAsia"/>
                <w:color w:val="auto"/>
                <w:kern w:val="0"/>
                <w:sz w:val="24"/>
                <w:lang w:bidi="ar"/>
              </w:rPr>
              <w:t>声级，</w:t>
            </w:r>
            <w:r>
              <w:rPr>
                <w:rFonts w:hint="default"/>
                <w:color w:val="auto"/>
                <w:kern w:val="0"/>
                <w:sz w:val="24"/>
                <w:lang w:bidi="ar"/>
              </w:rPr>
              <w:t>dB</w:t>
            </w:r>
            <w:r>
              <w:rPr>
                <w:rFonts w:hint="eastAsia"/>
                <w:color w:val="auto"/>
                <w:kern w:val="0"/>
                <w:sz w:val="24"/>
                <w:lang w:bidi="ar"/>
              </w:rPr>
              <w:t>；</w:t>
            </w:r>
          </w:p>
          <w:p w14:paraId="5A462106">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auto"/>
                <w:kern w:val="0"/>
                <w:sz w:val="24"/>
                <w:lang w:eastAsia="zh-CN" w:bidi="ar"/>
              </w:rPr>
            </w:pPr>
            <w:r>
              <w:rPr>
                <w:rFonts w:hint="default"/>
                <w:color w:val="auto"/>
                <w:kern w:val="0"/>
                <w:sz w:val="24"/>
                <w:lang w:bidi="ar"/>
              </w:rPr>
              <w:t>TL—</w:t>
            </w:r>
            <w:r>
              <w:rPr>
                <w:rFonts w:hint="eastAsia"/>
                <w:color w:val="auto"/>
                <w:kern w:val="0"/>
                <w:sz w:val="24"/>
                <w:lang w:bidi="ar"/>
              </w:rPr>
              <w:t>隔墙（或窗户）倍频带或</w:t>
            </w:r>
            <w:r>
              <w:rPr>
                <w:rFonts w:hint="default"/>
                <w:color w:val="auto"/>
                <w:kern w:val="0"/>
                <w:sz w:val="24"/>
                <w:lang w:bidi="ar"/>
              </w:rPr>
              <w:t>A</w:t>
            </w:r>
            <w:r>
              <w:rPr>
                <w:rFonts w:hint="eastAsia"/>
                <w:color w:val="auto"/>
                <w:kern w:val="0"/>
                <w:sz w:val="24"/>
                <w:lang w:bidi="ar"/>
              </w:rPr>
              <w:t>声级的隔声量，</w:t>
            </w:r>
            <w:r>
              <w:rPr>
                <w:rFonts w:hint="default"/>
                <w:color w:val="auto"/>
                <w:kern w:val="0"/>
                <w:sz w:val="24"/>
                <w:lang w:bidi="ar"/>
              </w:rPr>
              <w:t>dB</w:t>
            </w:r>
            <w:r>
              <w:rPr>
                <w:rFonts w:hint="eastAsia"/>
                <w:color w:val="auto"/>
                <w:kern w:val="0"/>
                <w:sz w:val="24"/>
                <w:lang w:bidi="ar"/>
              </w:rPr>
              <w:t>。</w:t>
            </w:r>
          </w:p>
          <w:p w14:paraId="267E060D">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也可按式</w:t>
            </w:r>
            <w:r>
              <w:rPr>
                <w:rFonts w:hint="eastAsia" w:ascii="宋体" w:hAnsi="宋体" w:cs="宋体"/>
                <w:color w:val="auto"/>
                <w:kern w:val="0"/>
                <w:sz w:val="24"/>
                <w:lang w:val="en-US" w:eastAsia="zh-CN" w:bidi="ar"/>
              </w:rPr>
              <w:t>②</w:t>
            </w:r>
            <w:r>
              <w:rPr>
                <w:rFonts w:hint="eastAsia"/>
                <w:color w:val="auto"/>
                <w:kern w:val="0"/>
                <w:sz w:val="24"/>
                <w:lang w:bidi="ar"/>
              </w:rPr>
              <w:t>计算某一室内声源靠近围护结构处产生的倍频带声压级或</w:t>
            </w:r>
            <w:r>
              <w:rPr>
                <w:rFonts w:hint="default"/>
                <w:color w:val="auto"/>
                <w:kern w:val="0"/>
                <w:sz w:val="24"/>
                <w:lang w:bidi="ar"/>
              </w:rPr>
              <w:t>A</w:t>
            </w:r>
            <w:r>
              <w:rPr>
                <w:rFonts w:hint="eastAsia"/>
                <w:color w:val="auto"/>
                <w:kern w:val="0"/>
                <w:sz w:val="24"/>
                <w:lang w:bidi="ar"/>
              </w:rPr>
              <w:t>声级：</w:t>
            </w:r>
          </w:p>
          <w:p w14:paraId="1A6B14C3">
            <w:pPr>
              <w:keepNext w:val="0"/>
              <w:keepLines w:val="0"/>
              <w:widowControl/>
              <w:suppressLineNumbers w:val="0"/>
              <w:autoSpaceDN w:val="0"/>
              <w:adjustRightInd w:val="0"/>
              <w:snapToGrid w:val="0"/>
              <w:spacing w:before="0" w:beforeAutospacing="0" w:after="120" w:afterLines="50" w:afterAutospacing="0" w:line="700" w:lineRule="exact"/>
              <w:ind w:left="0" w:right="0"/>
              <w:jc w:val="center"/>
              <w:rPr>
                <w:rFonts w:hint="default"/>
                <w:color w:val="auto"/>
                <w:sz w:val="24"/>
              </w:rPr>
            </w:pPr>
            <w:r>
              <w:rPr>
                <w:rFonts w:hint="default"/>
                <w:color w:val="auto"/>
                <w:kern w:val="0"/>
                <w:position w:val="-24"/>
                <w:sz w:val="24"/>
                <w:lang w:bidi="ar"/>
              </w:rPr>
              <w:object>
                <v:shape id="_x0000_i1027" o:spt="75" type="#_x0000_t75" style="height:32.25pt;width:134.25pt;" o:ole="t" filled="f" o:preferrelative="t" stroked="f" coordsize="21600,21600">
                  <v:path/>
                  <v:fill on="f" focussize="0,0"/>
                  <v:stroke on="f"/>
                  <v:imagedata r:id="rId16" o:title=""/>
                  <o:lock v:ext="edit" aspectratio="t"/>
                  <w10:wrap type="none"/>
                  <w10:anchorlock/>
                </v:shape>
                <o:OLEObject Type="Embed" ProgID="Equation.3" ShapeID="_x0000_i1027" DrawAspect="Content" ObjectID="_1468075729" r:id="rId15">
                  <o:LockedField>false</o:LockedField>
                </o:OLEObject>
              </w:object>
            </w:r>
            <w:r>
              <w:rPr>
                <w:rFonts w:hint="eastAsia" w:ascii="宋体" w:hAnsi="宋体" w:cs="宋体"/>
                <w:color w:val="auto"/>
                <w:kern w:val="0"/>
                <w:sz w:val="24"/>
                <w:lang w:val="en-US" w:eastAsia="zh-CN" w:bidi="ar"/>
              </w:rPr>
              <w:t>②</w:t>
            </w:r>
          </w:p>
          <w:p w14:paraId="691EAE09">
            <w:pPr>
              <w:keepNext w:val="0"/>
              <w:keepLines w:val="0"/>
              <w:widowControl/>
              <w:suppressLineNumbers w:val="0"/>
              <w:autoSpaceDN w:val="0"/>
              <w:spacing w:before="0" w:beforeAutospacing="0" w:after="0" w:afterAutospacing="0" w:line="500" w:lineRule="exact"/>
              <w:ind w:left="0" w:right="0" w:firstLine="480" w:firstLineChars="200"/>
              <w:rPr>
                <w:rFonts w:hint="eastAsia" w:eastAsia="宋体"/>
                <w:color w:val="auto"/>
                <w:kern w:val="0"/>
                <w:sz w:val="24"/>
                <w:lang w:eastAsia="zh-CN" w:bidi="ar"/>
              </w:rPr>
            </w:pPr>
            <w:r>
              <w:rPr>
                <w:rFonts w:hint="eastAsia"/>
                <w:color w:val="auto"/>
                <w:kern w:val="0"/>
                <w:sz w:val="24"/>
                <w:lang w:bidi="ar"/>
              </w:rPr>
              <w:t>式中：</w:t>
            </w:r>
            <w:r>
              <w:rPr>
                <w:rFonts w:hint="default"/>
                <w:color w:val="auto"/>
                <w:kern w:val="0"/>
                <w:sz w:val="24"/>
                <w:lang w:bidi="ar"/>
              </w:rPr>
              <w:t>Q—</w:t>
            </w:r>
            <w:r>
              <w:rPr>
                <w:rFonts w:hint="eastAsia"/>
                <w:color w:val="auto"/>
                <w:kern w:val="0"/>
                <w:sz w:val="24"/>
                <w:lang w:bidi="ar"/>
              </w:rPr>
              <w:t>指向性因数；通常对无指向性声源，当声源放在房间中心时，</w:t>
            </w:r>
            <w:r>
              <w:rPr>
                <w:rFonts w:hint="default"/>
                <w:color w:val="auto"/>
                <w:kern w:val="0"/>
                <w:sz w:val="24"/>
                <w:lang w:bidi="ar"/>
              </w:rPr>
              <w:t>Q=1</w:t>
            </w:r>
            <w:r>
              <w:rPr>
                <w:rFonts w:hint="eastAsia"/>
                <w:color w:val="auto"/>
                <w:kern w:val="0"/>
                <w:sz w:val="24"/>
                <w:lang w:bidi="ar"/>
              </w:rPr>
              <w:t>；当放在一面墙的中心时，</w:t>
            </w:r>
            <w:r>
              <w:rPr>
                <w:rFonts w:hint="default"/>
                <w:color w:val="auto"/>
                <w:kern w:val="0"/>
                <w:sz w:val="24"/>
                <w:lang w:bidi="ar"/>
              </w:rPr>
              <w:t>Q=2</w:t>
            </w:r>
            <w:r>
              <w:rPr>
                <w:rFonts w:hint="eastAsia"/>
                <w:color w:val="auto"/>
                <w:kern w:val="0"/>
                <w:sz w:val="24"/>
                <w:lang w:bidi="ar"/>
              </w:rPr>
              <w:t>；当放在两面墙夹角处时，</w:t>
            </w:r>
            <w:r>
              <w:rPr>
                <w:rFonts w:hint="default"/>
                <w:color w:val="auto"/>
                <w:kern w:val="0"/>
                <w:sz w:val="24"/>
                <w:lang w:bidi="ar"/>
              </w:rPr>
              <w:t>Q=4</w:t>
            </w:r>
            <w:r>
              <w:rPr>
                <w:rFonts w:hint="eastAsia"/>
                <w:color w:val="auto"/>
                <w:kern w:val="0"/>
                <w:sz w:val="24"/>
                <w:lang w:bidi="ar"/>
              </w:rPr>
              <w:t>；当放在三面墙夹角处时，</w:t>
            </w:r>
            <w:r>
              <w:rPr>
                <w:rFonts w:hint="default"/>
                <w:color w:val="auto"/>
                <w:kern w:val="0"/>
                <w:sz w:val="24"/>
                <w:lang w:bidi="ar"/>
              </w:rPr>
              <w:t>Q=8</w:t>
            </w:r>
            <w:r>
              <w:rPr>
                <w:rFonts w:hint="eastAsia"/>
                <w:color w:val="auto"/>
                <w:kern w:val="0"/>
                <w:sz w:val="24"/>
                <w:lang w:bidi="ar"/>
              </w:rPr>
              <w:t>；</w:t>
            </w:r>
          </w:p>
          <w:p w14:paraId="5754EA92">
            <w:pPr>
              <w:keepNext w:val="0"/>
              <w:keepLines w:val="0"/>
              <w:widowControl/>
              <w:suppressLineNumbers w:val="0"/>
              <w:autoSpaceDN w:val="0"/>
              <w:spacing w:before="0" w:beforeAutospacing="0" w:after="0" w:afterAutospacing="0" w:line="500" w:lineRule="exact"/>
              <w:ind w:left="0" w:right="0" w:firstLine="1200" w:firstLineChars="500"/>
              <w:rPr>
                <w:rFonts w:hint="eastAsia" w:eastAsia="宋体"/>
                <w:color w:val="auto"/>
                <w:kern w:val="0"/>
                <w:sz w:val="24"/>
                <w:lang w:eastAsia="zh-CN" w:bidi="ar"/>
              </w:rPr>
            </w:pPr>
            <w:r>
              <w:rPr>
                <w:rFonts w:hint="default"/>
                <w:color w:val="auto"/>
                <w:kern w:val="0"/>
                <w:sz w:val="24"/>
                <w:lang w:bidi="ar"/>
              </w:rPr>
              <w:t>R—</w:t>
            </w:r>
            <w:r>
              <w:rPr>
                <w:rFonts w:hint="eastAsia"/>
                <w:color w:val="auto"/>
                <w:kern w:val="0"/>
                <w:sz w:val="24"/>
                <w:lang w:bidi="ar"/>
              </w:rPr>
              <w:t>房间常数；</w:t>
            </w:r>
            <w:r>
              <w:rPr>
                <w:rFonts w:hint="default"/>
                <w:color w:val="auto"/>
                <w:kern w:val="0"/>
                <w:sz w:val="24"/>
                <w:lang w:bidi="ar"/>
              </w:rPr>
              <w:t>R</w:t>
            </w:r>
            <w:r>
              <w:rPr>
                <w:rFonts w:hint="eastAsia"/>
                <w:color w:val="auto"/>
                <w:kern w:val="0"/>
                <w:sz w:val="24"/>
                <w:lang w:bidi="ar"/>
              </w:rPr>
              <w:t>=</w:t>
            </w:r>
            <w:r>
              <w:rPr>
                <w:rFonts w:hint="default"/>
                <w:color w:val="auto"/>
                <w:kern w:val="0"/>
                <w:sz w:val="24"/>
                <w:lang w:bidi="ar"/>
              </w:rPr>
              <w:t>Sα</w:t>
            </w:r>
            <w:r>
              <w:rPr>
                <w:rFonts w:hint="eastAsia" w:ascii="宋体" w:hAnsi="宋体" w:cs="宋体"/>
                <w:color w:val="auto"/>
                <w:kern w:val="0"/>
                <w:sz w:val="24"/>
                <w:lang w:bidi="ar"/>
              </w:rPr>
              <w:t>/</w:t>
            </w:r>
            <w:r>
              <w:rPr>
                <w:rFonts w:hint="eastAsia"/>
                <w:color w:val="auto"/>
                <w:kern w:val="0"/>
                <w:sz w:val="24"/>
                <w:lang w:eastAsia="zh-CN" w:bidi="ar"/>
              </w:rPr>
              <w:t>（</w:t>
            </w:r>
            <w:r>
              <w:rPr>
                <w:rFonts w:hint="default"/>
                <w:color w:val="auto"/>
                <w:kern w:val="0"/>
                <w:sz w:val="24"/>
                <w:lang w:bidi="ar"/>
              </w:rPr>
              <w:t>1</w:t>
            </w:r>
            <w:r>
              <w:rPr>
                <w:rFonts w:hint="eastAsia"/>
                <w:color w:val="auto"/>
                <w:kern w:val="0"/>
                <w:sz w:val="24"/>
                <w:lang w:bidi="ar"/>
              </w:rPr>
              <w:t>-</w:t>
            </w:r>
            <w:r>
              <w:rPr>
                <w:rFonts w:hint="default"/>
                <w:color w:val="auto"/>
                <w:kern w:val="0"/>
                <w:sz w:val="24"/>
                <w:lang w:bidi="ar"/>
              </w:rPr>
              <w:t>α</w:t>
            </w:r>
            <w:r>
              <w:rPr>
                <w:rFonts w:hint="eastAsia"/>
                <w:color w:val="auto"/>
                <w:kern w:val="0"/>
                <w:sz w:val="24"/>
                <w:lang w:eastAsia="zh-CN" w:bidi="ar"/>
              </w:rPr>
              <w:t>）</w:t>
            </w:r>
            <w:r>
              <w:rPr>
                <w:rFonts w:hint="eastAsia"/>
                <w:color w:val="auto"/>
                <w:kern w:val="0"/>
                <w:sz w:val="24"/>
                <w:lang w:bidi="ar"/>
              </w:rPr>
              <w:t>，</w:t>
            </w:r>
            <w:r>
              <w:rPr>
                <w:rFonts w:hint="default"/>
                <w:color w:val="auto"/>
                <w:kern w:val="0"/>
                <w:sz w:val="24"/>
                <w:lang w:bidi="ar"/>
              </w:rPr>
              <w:t>S</w:t>
            </w:r>
            <w:r>
              <w:rPr>
                <w:rFonts w:hint="eastAsia"/>
                <w:color w:val="auto"/>
                <w:kern w:val="0"/>
                <w:sz w:val="24"/>
                <w:lang w:bidi="ar"/>
              </w:rPr>
              <w:t>为房间内表面面积，</w:t>
            </w:r>
            <w:r>
              <w:rPr>
                <w:rFonts w:hint="default"/>
                <w:color w:val="auto"/>
                <w:kern w:val="0"/>
                <w:sz w:val="24"/>
                <w:lang w:bidi="ar"/>
              </w:rPr>
              <w:t>m</w:t>
            </w:r>
            <w:r>
              <w:rPr>
                <w:rFonts w:hint="default"/>
                <w:color w:val="auto"/>
                <w:kern w:val="0"/>
                <w:sz w:val="24"/>
                <w:vertAlign w:val="superscript"/>
                <w:lang w:bidi="ar"/>
              </w:rPr>
              <w:t>2</w:t>
            </w:r>
            <w:r>
              <w:rPr>
                <w:rFonts w:hint="eastAsia"/>
                <w:color w:val="auto"/>
                <w:kern w:val="0"/>
                <w:sz w:val="24"/>
                <w:lang w:bidi="ar"/>
              </w:rPr>
              <w:t>；</w:t>
            </w:r>
            <w:r>
              <w:rPr>
                <w:rFonts w:hint="default"/>
                <w:color w:val="auto"/>
                <w:kern w:val="0"/>
                <w:sz w:val="24"/>
                <w:lang w:bidi="ar"/>
              </w:rPr>
              <w:t>α</w:t>
            </w:r>
            <w:r>
              <w:rPr>
                <w:rFonts w:hint="eastAsia"/>
                <w:color w:val="auto"/>
                <w:kern w:val="0"/>
                <w:sz w:val="24"/>
                <w:lang w:bidi="ar"/>
              </w:rPr>
              <w:t>为平均吸声系数；</w:t>
            </w:r>
          </w:p>
          <w:p w14:paraId="1BC43483">
            <w:pPr>
              <w:keepNext w:val="0"/>
              <w:keepLines w:val="0"/>
              <w:widowControl/>
              <w:suppressLineNumbers w:val="0"/>
              <w:autoSpaceDN w:val="0"/>
              <w:spacing w:before="0" w:beforeAutospacing="0" w:after="0" w:afterAutospacing="0" w:line="500" w:lineRule="exact"/>
              <w:ind w:left="0" w:right="0" w:firstLine="1200" w:firstLineChars="500"/>
              <w:rPr>
                <w:rFonts w:hint="eastAsia"/>
                <w:color w:val="auto"/>
                <w:kern w:val="0"/>
                <w:sz w:val="24"/>
                <w:lang w:bidi="ar"/>
              </w:rPr>
            </w:pPr>
            <w:r>
              <w:rPr>
                <w:rFonts w:hint="default"/>
                <w:color w:val="auto"/>
                <w:kern w:val="0"/>
                <w:sz w:val="24"/>
                <w:lang w:bidi="ar"/>
              </w:rPr>
              <w:t>r—</w:t>
            </w:r>
            <w:r>
              <w:rPr>
                <w:rFonts w:hint="eastAsia"/>
                <w:color w:val="auto"/>
                <w:kern w:val="0"/>
                <w:sz w:val="24"/>
                <w:lang w:bidi="ar"/>
              </w:rPr>
              <w:t>声源到靠近围护结构某点处的距离，</w:t>
            </w:r>
            <w:r>
              <w:rPr>
                <w:rFonts w:hint="default"/>
                <w:color w:val="auto"/>
                <w:kern w:val="0"/>
                <w:sz w:val="24"/>
                <w:lang w:bidi="ar"/>
              </w:rPr>
              <w:t>m</w:t>
            </w:r>
            <w:r>
              <w:rPr>
                <w:rFonts w:hint="eastAsia"/>
                <w:color w:val="auto"/>
                <w:kern w:val="0"/>
                <w:sz w:val="24"/>
                <w:lang w:bidi="ar"/>
              </w:rPr>
              <w:t>。</w:t>
            </w:r>
          </w:p>
          <w:p w14:paraId="7BA3C4CF">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然后，按公式</w:t>
            </w:r>
            <w:r>
              <w:rPr>
                <w:rFonts w:hint="eastAsia" w:ascii="宋体" w:hAnsi="宋体" w:cs="宋体"/>
                <w:color w:val="auto"/>
                <w:kern w:val="0"/>
                <w:sz w:val="24"/>
                <w:lang w:val="en-US" w:eastAsia="zh-CN" w:bidi="ar"/>
              </w:rPr>
              <w:t>③</w:t>
            </w:r>
            <w:r>
              <w:rPr>
                <w:rFonts w:hint="eastAsia"/>
                <w:color w:val="auto"/>
                <w:kern w:val="0"/>
                <w:sz w:val="24"/>
                <w:lang w:bidi="ar"/>
              </w:rPr>
              <w:t>计算出所有室内声源在围护结构处产生的</w:t>
            </w:r>
            <w:r>
              <w:rPr>
                <w:rFonts w:hint="default"/>
                <w:color w:val="auto"/>
                <w:kern w:val="0"/>
                <w:sz w:val="24"/>
                <w:lang w:bidi="ar"/>
              </w:rPr>
              <w:t>i</w:t>
            </w:r>
            <w:r>
              <w:rPr>
                <w:rFonts w:hint="eastAsia"/>
                <w:color w:val="auto"/>
                <w:kern w:val="0"/>
                <w:sz w:val="24"/>
                <w:lang w:bidi="ar"/>
              </w:rPr>
              <w:t>倍频带叠加声压级：</w:t>
            </w:r>
          </w:p>
          <w:p w14:paraId="47BA54FB">
            <w:pPr>
              <w:keepNext w:val="0"/>
              <w:keepLines w:val="0"/>
              <w:widowControl/>
              <w:suppressLineNumbers w:val="0"/>
              <w:autoSpaceDN w:val="0"/>
              <w:adjustRightInd w:val="0"/>
              <w:snapToGrid w:val="0"/>
              <w:spacing w:before="0" w:beforeAutospacing="0" w:after="240" w:afterLines="100" w:afterAutospacing="0" w:line="500" w:lineRule="exact"/>
              <w:ind w:left="0" w:right="0"/>
              <w:jc w:val="center"/>
              <w:rPr>
                <w:rFonts w:hint="eastAsia" w:eastAsia="宋体"/>
                <w:color w:val="auto"/>
                <w:sz w:val="24"/>
                <w:lang w:eastAsia="zh-CN"/>
              </w:rPr>
            </w:pPr>
            <w:r>
              <w:rPr>
                <w:rFonts w:hint="default"/>
                <w:color w:val="auto"/>
                <w:kern w:val="0"/>
                <w:position w:val="-30"/>
                <w:sz w:val="24"/>
                <w:lang w:bidi="ar"/>
              </w:rPr>
              <w:object>
                <v:shape id="_x0000_i1028" o:spt="75" type="#_x0000_t75" style="height:32.25pt;width:128.25pt;" o:ole="t" filled="f" o:preferrelative="t" stroked="f" coordsize="21600,21600">
                  <v:path/>
                  <v:fill on="f" focussize="0,0"/>
                  <v:stroke on="f"/>
                  <v:imagedata r:id="rId18" o:title=""/>
                  <o:lock v:ext="edit" aspectratio="t"/>
                  <w10:wrap type="none"/>
                  <w10:anchorlock/>
                </v:shape>
                <o:OLEObject Type="Embed" ProgID="Equation.3" ShapeID="_x0000_i1028" DrawAspect="Content" ObjectID="_1468075730" r:id="rId17">
                  <o:LockedField>false</o:LockedField>
                </o:OLEObject>
              </w:object>
            </w:r>
            <w:r>
              <w:rPr>
                <w:rFonts w:hint="eastAsia" w:ascii="宋体" w:hAnsi="宋体" w:cs="宋体"/>
                <w:color w:val="auto"/>
                <w:kern w:val="0"/>
                <w:sz w:val="24"/>
                <w:lang w:val="en-US" w:eastAsia="zh-CN" w:bidi="ar"/>
              </w:rPr>
              <w:t>③</w:t>
            </w:r>
          </w:p>
          <w:p w14:paraId="0B575D21">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P1i</w:t>
            </w:r>
            <w:r>
              <w:rPr>
                <w:rFonts w:hint="eastAsia"/>
                <w:color w:val="auto"/>
                <w:kern w:val="0"/>
                <w:sz w:val="24"/>
                <w:lang w:eastAsia="zh-CN" w:bidi="ar"/>
              </w:rPr>
              <w:t>（</w:t>
            </w:r>
            <w:r>
              <w:rPr>
                <w:rFonts w:hint="default"/>
                <w:color w:val="auto"/>
                <w:kern w:val="0"/>
                <w:sz w:val="24"/>
                <w:lang w:bidi="ar"/>
              </w:rPr>
              <w:t>T</w:t>
            </w:r>
            <w:r>
              <w:rPr>
                <w:rFonts w:hint="eastAsia"/>
                <w:color w:val="auto"/>
                <w:kern w:val="0"/>
                <w:sz w:val="24"/>
                <w:lang w:eastAsia="zh-CN" w:bidi="ar"/>
              </w:rPr>
              <w:t>）</w:t>
            </w:r>
            <w:r>
              <w:rPr>
                <w:rFonts w:hint="default"/>
                <w:color w:val="auto"/>
                <w:kern w:val="0"/>
                <w:sz w:val="24"/>
                <w:lang w:bidi="ar"/>
              </w:rPr>
              <w:t>—</w:t>
            </w:r>
            <w:r>
              <w:rPr>
                <w:rFonts w:hint="eastAsia"/>
                <w:color w:val="auto"/>
                <w:kern w:val="0"/>
                <w:sz w:val="24"/>
                <w:lang w:bidi="ar"/>
              </w:rPr>
              <w:t>靠近围护结构处室内</w:t>
            </w:r>
            <w:r>
              <w:rPr>
                <w:rFonts w:hint="default"/>
                <w:color w:val="auto"/>
                <w:kern w:val="0"/>
                <w:sz w:val="24"/>
                <w:lang w:bidi="ar"/>
              </w:rPr>
              <w:t>N</w:t>
            </w:r>
            <w:r>
              <w:rPr>
                <w:rFonts w:hint="eastAsia"/>
                <w:color w:val="auto"/>
                <w:kern w:val="0"/>
                <w:sz w:val="24"/>
                <w:lang w:bidi="ar"/>
              </w:rPr>
              <w:t>个声源</w:t>
            </w:r>
            <w:r>
              <w:rPr>
                <w:rFonts w:hint="default"/>
                <w:color w:val="auto"/>
                <w:kern w:val="0"/>
                <w:sz w:val="24"/>
                <w:lang w:bidi="ar"/>
              </w:rPr>
              <w:t>i</w:t>
            </w:r>
            <w:r>
              <w:rPr>
                <w:rFonts w:hint="eastAsia"/>
                <w:color w:val="auto"/>
                <w:kern w:val="0"/>
                <w:sz w:val="24"/>
                <w:lang w:bidi="ar"/>
              </w:rPr>
              <w:t>倍频带的叠加声压级，</w:t>
            </w:r>
            <w:r>
              <w:rPr>
                <w:rFonts w:hint="default"/>
                <w:color w:val="auto"/>
                <w:kern w:val="0"/>
                <w:sz w:val="24"/>
                <w:lang w:bidi="ar"/>
              </w:rPr>
              <w:t>dB</w:t>
            </w:r>
            <w:r>
              <w:rPr>
                <w:rFonts w:hint="eastAsia"/>
                <w:color w:val="auto"/>
                <w:kern w:val="0"/>
                <w:sz w:val="24"/>
                <w:lang w:bidi="ar"/>
              </w:rPr>
              <w:t>；</w:t>
            </w:r>
          </w:p>
          <w:p w14:paraId="43F5F7EA">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auto"/>
                <w:sz w:val="24"/>
              </w:rPr>
            </w:pPr>
            <w:r>
              <w:rPr>
                <w:rFonts w:hint="default"/>
                <w:color w:val="auto"/>
                <w:kern w:val="0"/>
                <w:sz w:val="24"/>
                <w:lang w:bidi="ar"/>
              </w:rPr>
              <w:t>L</w:t>
            </w:r>
            <w:r>
              <w:rPr>
                <w:rFonts w:hint="default"/>
                <w:color w:val="auto"/>
                <w:kern w:val="0"/>
                <w:sz w:val="24"/>
                <w:vertAlign w:val="subscript"/>
                <w:lang w:bidi="ar"/>
              </w:rPr>
              <w:t>P1ij</w:t>
            </w:r>
            <w:r>
              <w:rPr>
                <w:rFonts w:hint="default"/>
                <w:color w:val="auto"/>
                <w:kern w:val="0"/>
                <w:sz w:val="24"/>
                <w:lang w:bidi="ar"/>
              </w:rPr>
              <w:t>—</w:t>
            </w:r>
            <w:r>
              <w:rPr>
                <w:rFonts w:hint="eastAsia"/>
                <w:color w:val="auto"/>
                <w:kern w:val="0"/>
                <w:sz w:val="24"/>
                <w:lang w:bidi="ar"/>
              </w:rPr>
              <w:t>室内</w:t>
            </w:r>
            <w:r>
              <w:rPr>
                <w:rFonts w:hint="default"/>
                <w:color w:val="auto"/>
                <w:kern w:val="0"/>
                <w:sz w:val="24"/>
                <w:lang w:bidi="ar"/>
              </w:rPr>
              <w:t>j</w:t>
            </w:r>
            <w:r>
              <w:rPr>
                <w:rFonts w:hint="eastAsia"/>
                <w:color w:val="auto"/>
                <w:kern w:val="0"/>
                <w:sz w:val="24"/>
                <w:lang w:bidi="ar"/>
              </w:rPr>
              <w:t>声源</w:t>
            </w:r>
            <w:r>
              <w:rPr>
                <w:rFonts w:hint="default"/>
                <w:color w:val="auto"/>
                <w:kern w:val="0"/>
                <w:sz w:val="24"/>
                <w:lang w:bidi="ar"/>
              </w:rPr>
              <w:t>i</w:t>
            </w:r>
            <w:r>
              <w:rPr>
                <w:rFonts w:hint="eastAsia"/>
                <w:color w:val="auto"/>
                <w:kern w:val="0"/>
                <w:sz w:val="24"/>
                <w:lang w:bidi="ar"/>
              </w:rPr>
              <w:t>倍频带的声压级，</w:t>
            </w:r>
            <w:r>
              <w:rPr>
                <w:rFonts w:hint="default"/>
                <w:color w:val="auto"/>
                <w:kern w:val="0"/>
                <w:sz w:val="24"/>
                <w:lang w:bidi="ar"/>
              </w:rPr>
              <w:t>dB</w:t>
            </w:r>
            <w:r>
              <w:rPr>
                <w:rFonts w:hint="eastAsia"/>
                <w:color w:val="auto"/>
                <w:kern w:val="0"/>
                <w:sz w:val="24"/>
                <w:lang w:bidi="ar"/>
              </w:rPr>
              <w:t>；</w:t>
            </w:r>
            <w:r>
              <w:rPr>
                <w:rFonts w:hint="default"/>
                <w:color w:val="auto"/>
                <w:kern w:val="0"/>
                <w:sz w:val="24"/>
                <w:lang w:bidi="ar"/>
              </w:rPr>
              <w:t>N—</w:t>
            </w:r>
            <w:r>
              <w:rPr>
                <w:rFonts w:hint="eastAsia"/>
                <w:color w:val="auto"/>
                <w:kern w:val="0"/>
                <w:sz w:val="24"/>
                <w:lang w:bidi="ar"/>
              </w:rPr>
              <w:t>室内声源总数。</w:t>
            </w:r>
          </w:p>
          <w:p w14:paraId="11CC21BF">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在室内近似为扩散声场时，按公式</w:t>
            </w:r>
            <w:r>
              <w:rPr>
                <w:rFonts w:hint="eastAsia" w:ascii="宋体" w:hAnsi="宋体" w:cs="宋体"/>
                <w:color w:val="auto"/>
                <w:kern w:val="0"/>
                <w:sz w:val="24"/>
                <w:lang w:val="en-US" w:eastAsia="zh-CN" w:bidi="ar"/>
              </w:rPr>
              <w:t>④</w:t>
            </w:r>
            <w:r>
              <w:rPr>
                <w:rFonts w:hint="eastAsia"/>
                <w:color w:val="auto"/>
                <w:kern w:val="0"/>
                <w:sz w:val="24"/>
                <w:lang w:bidi="ar"/>
              </w:rPr>
              <w:t>计算出靠近室外围护结构处的声压级：</w:t>
            </w:r>
          </w:p>
          <w:p w14:paraId="10F10557">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eastAsia="宋体"/>
                <w:color w:val="auto"/>
                <w:sz w:val="24"/>
                <w:lang w:eastAsia="zh-CN"/>
              </w:rPr>
            </w:pPr>
            <w:r>
              <w:rPr>
                <w:rFonts w:hint="default"/>
                <w:color w:val="auto"/>
                <w:kern w:val="0"/>
                <w:position w:val="-12"/>
                <w:sz w:val="24"/>
                <w:lang w:bidi="ar"/>
              </w:rPr>
              <w:object>
                <v:shape id="_x0000_i1029" o:spt="75" type="#_x0000_t75" style="height:17.25pt;width:114.2pt;" o:ole="t" filled="f" o:preferrelative="t" stroked="f" coordsize="21600,21600">
                  <v:path/>
                  <v:fill on="f" focussize="0,0"/>
                  <v:stroke on="f"/>
                  <v:imagedata r:id="rId20" o:title=""/>
                  <o:lock v:ext="edit" aspectratio="t"/>
                  <w10:wrap type="none"/>
                  <w10:anchorlock/>
                </v:shape>
                <o:OLEObject Type="Embed" ProgID="Equation.3" ShapeID="_x0000_i1029" DrawAspect="Content" ObjectID="_1468075731" r:id="rId19">
                  <o:LockedField>false</o:LockedField>
                </o:OLEObject>
              </w:object>
            </w:r>
            <w:r>
              <w:rPr>
                <w:rFonts w:hint="eastAsia" w:ascii="宋体" w:hAnsi="宋体" w:cs="宋体"/>
                <w:color w:val="auto"/>
                <w:kern w:val="0"/>
                <w:sz w:val="24"/>
                <w:lang w:val="en-US" w:eastAsia="zh-CN" w:bidi="ar"/>
              </w:rPr>
              <w:t>④</w:t>
            </w:r>
          </w:p>
          <w:p w14:paraId="140A4103">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P2i</w:t>
            </w:r>
            <w:r>
              <w:rPr>
                <w:rFonts w:hint="eastAsia"/>
                <w:color w:val="auto"/>
                <w:kern w:val="0"/>
                <w:sz w:val="24"/>
                <w:lang w:eastAsia="zh-CN" w:bidi="ar"/>
              </w:rPr>
              <w:t>（</w:t>
            </w:r>
            <w:r>
              <w:rPr>
                <w:rFonts w:hint="default"/>
                <w:color w:val="auto"/>
                <w:kern w:val="0"/>
                <w:sz w:val="24"/>
                <w:lang w:bidi="ar"/>
              </w:rPr>
              <w:t>T</w:t>
            </w:r>
            <w:r>
              <w:rPr>
                <w:rFonts w:hint="eastAsia"/>
                <w:color w:val="auto"/>
                <w:kern w:val="0"/>
                <w:sz w:val="24"/>
                <w:lang w:eastAsia="zh-CN" w:bidi="ar"/>
              </w:rPr>
              <w:t>）</w:t>
            </w:r>
            <w:r>
              <w:rPr>
                <w:rFonts w:hint="default"/>
                <w:color w:val="auto"/>
                <w:kern w:val="0"/>
                <w:sz w:val="24"/>
                <w:lang w:bidi="ar"/>
              </w:rPr>
              <w:t>—</w:t>
            </w:r>
            <w:r>
              <w:rPr>
                <w:rFonts w:hint="eastAsia"/>
                <w:color w:val="auto"/>
                <w:kern w:val="0"/>
                <w:sz w:val="24"/>
                <w:lang w:bidi="ar"/>
              </w:rPr>
              <w:t>靠近围护结构处室外</w:t>
            </w:r>
            <w:r>
              <w:rPr>
                <w:rFonts w:hint="default"/>
                <w:color w:val="auto"/>
                <w:kern w:val="0"/>
                <w:sz w:val="24"/>
                <w:lang w:bidi="ar"/>
              </w:rPr>
              <w:t>N</w:t>
            </w:r>
            <w:r>
              <w:rPr>
                <w:rFonts w:hint="eastAsia"/>
                <w:color w:val="auto"/>
                <w:kern w:val="0"/>
                <w:sz w:val="24"/>
                <w:lang w:bidi="ar"/>
              </w:rPr>
              <w:t>个声源</w:t>
            </w:r>
            <w:r>
              <w:rPr>
                <w:rFonts w:hint="default"/>
                <w:color w:val="auto"/>
                <w:kern w:val="0"/>
                <w:sz w:val="24"/>
                <w:lang w:bidi="ar"/>
              </w:rPr>
              <w:t>i</w:t>
            </w:r>
            <w:r>
              <w:rPr>
                <w:rFonts w:hint="eastAsia"/>
                <w:color w:val="auto"/>
                <w:kern w:val="0"/>
                <w:sz w:val="24"/>
                <w:lang w:bidi="ar"/>
              </w:rPr>
              <w:t>倍频带的叠加声压级，</w:t>
            </w:r>
            <w:r>
              <w:rPr>
                <w:rFonts w:hint="default"/>
                <w:color w:val="auto"/>
                <w:kern w:val="0"/>
                <w:sz w:val="24"/>
                <w:lang w:bidi="ar"/>
              </w:rPr>
              <w:t>dB</w:t>
            </w:r>
            <w:r>
              <w:rPr>
                <w:rFonts w:hint="eastAsia"/>
                <w:color w:val="auto"/>
                <w:kern w:val="0"/>
                <w:sz w:val="24"/>
                <w:lang w:bidi="ar"/>
              </w:rPr>
              <w:t>；</w:t>
            </w:r>
          </w:p>
          <w:p w14:paraId="448AB4E2">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auto"/>
                <w:sz w:val="24"/>
              </w:rPr>
            </w:pPr>
            <w:r>
              <w:rPr>
                <w:rFonts w:hint="default"/>
                <w:color w:val="auto"/>
                <w:kern w:val="0"/>
                <w:sz w:val="24"/>
                <w:lang w:bidi="ar"/>
              </w:rPr>
              <w:t>TL</w:t>
            </w:r>
            <w:r>
              <w:rPr>
                <w:rFonts w:hint="default"/>
                <w:color w:val="auto"/>
                <w:kern w:val="0"/>
                <w:sz w:val="24"/>
                <w:vertAlign w:val="subscript"/>
                <w:lang w:bidi="ar"/>
              </w:rPr>
              <w:t>i</w:t>
            </w:r>
            <w:r>
              <w:rPr>
                <w:rFonts w:hint="default"/>
                <w:color w:val="auto"/>
                <w:kern w:val="0"/>
                <w:sz w:val="24"/>
                <w:lang w:bidi="ar"/>
              </w:rPr>
              <w:t>—</w:t>
            </w:r>
            <w:r>
              <w:rPr>
                <w:rFonts w:hint="eastAsia"/>
                <w:color w:val="auto"/>
                <w:kern w:val="0"/>
                <w:sz w:val="24"/>
                <w:lang w:bidi="ar"/>
              </w:rPr>
              <w:t>围护结构</w:t>
            </w:r>
            <w:r>
              <w:rPr>
                <w:rFonts w:hint="default"/>
                <w:color w:val="auto"/>
                <w:kern w:val="0"/>
                <w:sz w:val="24"/>
                <w:lang w:bidi="ar"/>
              </w:rPr>
              <w:t>i</w:t>
            </w:r>
            <w:r>
              <w:rPr>
                <w:rFonts w:hint="eastAsia"/>
                <w:color w:val="auto"/>
                <w:kern w:val="0"/>
                <w:sz w:val="24"/>
                <w:lang w:bidi="ar"/>
              </w:rPr>
              <w:t>倍频带的隔声量，</w:t>
            </w:r>
            <w:r>
              <w:rPr>
                <w:rFonts w:hint="default"/>
                <w:color w:val="auto"/>
                <w:kern w:val="0"/>
                <w:sz w:val="24"/>
                <w:lang w:bidi="ar"/>
              </w:rPr>
              <w:t>dB</w:t>
            </w:r>
            <w:r>
              <w:rPr>
                <w:rFonts w:hint="eastAsia"/>
                <w:color w:val="auto"/>
                <w:kern w:val="0"/>
                <w:sz w:val="24"/>
                <w:lang w:bidi="ar"/>
              </w:rPr>
              <w:t>。</w:t>
            </w:r>
          </w:p>
          <w:p w14:paraId="53E0623E">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然后，按公式</w:t>
            </w:r>
            <w:r>
              <w:rPr>
                <w:rFonts w:hint="eastAsia" w:ascii="宋体" w:hAnsi="宋体" w:cs="宋体"/>
                <w:color w:val="auto"/>
                <w:kern w:val="0"/>
                <w:sz w:val="24"/>
                <w:lang w:val="en-US" w:eastAsia="zh-CN" w:bidi="ar"/>
              </w:rPr>
              <w:t>⑤</w:t>
            </w:r>
            <w:r>
              <w:rPr>
                <w:rFonts w:hint="eastAsia"/>
                <w:color w:val="auto"/>
                <w:kern w:val="0"/>
                <w:sz w:val="24"/>
                <w:lang w:bidi="ar"/>
              </w:rPr>
              <w:t>将室外声源的声压级和透过面积换算成等效的室外声源，计算出中心位置位于透声面积（</w:t>
            </w:r>
            <w:r>
              <w:rPr>
                <w:rFonts w:hint="default"/>
                <w:color w:val="auto"/>
                <w:kern w:val="0"/>
                <w:sz w:val="24"/>
                <w:lang w:bidi="ar"/>
              </w:rPr>
              <w:t>S</w:t>
            </w:r>
            <w:r>
              <w:rPr>
                <w:rFonts w:hint="eastAsia"/>
                <w:color w:val="auto"/>
                <w:kern w:val="0"/>
                <w:sz w:val="24"/>
                <w:lang w:bidi="ar"/>
              </w:rPr>
              <w:t>）处的等效声源的倍频带声功率级：</w:t>
            </w:r>
          </w:p>
          <w:p w14:paraId="6995BBC0">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ascii="宋体" w:hAnsi="宋体" w:eastAsia="宋体" w:cs="宋体"/>
                <w:color w:val="auto"/>
                <w:sz w:val="24"/>
                <w:lang w:eastAsia="zh-CN"/>
              </w:rPr>
            </w:pPr>
            <w:r>
              <w:rPr>
                <w:rFonts w:hint="default"/>
                <w:color w:val="auto"/>
                <w:kern w:val="0"/>
                <w:position w:val="-12"/>
                <w:sz w:val="24"/>
                <w:lang w:bidi="ar"/>
              </w:rPr>
              <w:object>
                <v:shape id="_x0000_i1030" o:spt="75" type="#_x0000_t75" style="height:18.5pt;width:87.95pt;" o:ole="t" filled="f" o:preferrelative="t" stroked="f" coordsize="21600,21600">
                  <v:path/>
                  <v:fill on="f" focussize="0,0"/>
                  <v:stroke on="f"/>
                  <v:imagedata r:id="rId22" o:title=""/>
                  <o:lock v:ext="edit" aspectratio="t"/>
                  <w10:wrap type="none"/>
                  <w10:anchorlock/>
                </v:shape>
                <o:OLEObject Type="Embed" ProgID="Equation.3" ShapeID="_x0000_i1030" DrawAspect="Content" ObjectID="_1468075732" r:id="rId21">
                  <o:LockedField>false</o:LockedField>
                </o:OLEObject>
              </w:object>
            </w:r>
            <w:r>
              <w:rPr>
                <w:rFonts w:hint="eastAsia" w:ascii="宋体" w:hAnsi="宋体" w:cs="宋体"/>
                <w:color w:val="auto"/>
                <w:kern w:val="0"/>
                <w:sz w:val="24"/>
                <w:lang w:val="en-US" w:eastAsia="zh-CN" w:bidi="ar"/>
              </w:rPr>
              <w:t>⑤</w:t>
            </w:r>
          </w:p>
          <w:p w14:paraId="2C27CE41">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然后按室外声源预测方法计算预测点处的A声级。</w:t>
            </w:r>
          </w:p>
          <w:p w14:paraId="039AAC5A">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②噪声贡献值计算</w:t>
            </w:r>
          </w:p>
          <w:p w14:paraId="295E59B1">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0" w:afterAutospacing="0" w:line="500" w:lineRule="exact"/>
              <w:ind w:left="0" w:right="0" w:firstLine="480"/>
              <w:jc w:val="left"/>
              <w:textAlignment w:val="auto"/>
              <w:rPr>
                <w:rFonts w:hint="default"/>
                <w:color w:val="auto"/>
                <w:sz w:val="24"/>
              </w:rPr>
            </w:pPr>
            <w:r>
              <w:rPr>
                <w:rFonts w:hint="eastAsia"/>
                <w:color w:val="auto"/>
                <w:kern w:val="0"/>
                <w:sz w:val="24"/>
                <w:lang w:bidi="ar"/>
              </w:rPr>
              <w:t>设第</w:t>
            </w:r>
            <w:r>
              <w:rPr>
                <w:rFonts w:hint="default"/>
                <w:color w:val="auto"/>
                <w:kern w:val="0"/>
                <w:sz w:val="24"/>
                <w:lang w:bidi="ar"/>
              </w:rPr>
              <w:t>i</w:t>
            </w:r>
            <w:r>
              <w:rPr>
                <w:rFonts w:hint="eastAsia"/>
                <w:color w:val="auto"/>
                <w:kern w:val="0"/>
                <w:sz w:val="24"/>
                <w:lang w:bidi="ar"/>
              </w:rPr>
              <w:t>个室外声源在预测点产生的</w:t>
            </w:r>
            <w:r>
              <w:rPr>
                <w:rFonts w:hint="default"/>
                <w:color w:val="auto"/>
                <w:kern w:val="0"/>
                <w:sz w:val="24"/>
                <w:lang w:bidi="ar"/>
              </w:rPr>
              <w:t>A</w:t>
            </w:r>
            <w:r>
              <w:rPr>
                <w:rFonts w:hint="eastAsia"/>
                <w:color w:val="auto"/>
                <w:kern w:val="0"/>
                <w:sz w:val="24"/>
                <w:lang w:bidi="ar"/>
              </w:rPr>
              <w:t>声级为</w:t>
            </w:r>
            <w:r>
              <w:rPr>
                <w:rFonts w:hint="default"/>
                <w:color w:val="auto"/>
                <w:kern w:val="0"/>
                <w:sz w:val="24"/>
                <w:lang w:bidi="ar"/>
              </w:rPr>
              <w:t>L</w:t>
            </w:r>
            <w:r>
              <w:rPr>
                <w:rFonts w:hint="default"/>
                <w:color w:val="auto"/>
                <w:kern w:val="0"/>
                <w:sz w:val="24"/>
                <w:vertAlign w:val="subscript"/>
                <w:lang w:bidi="ar"/>
              </w:rPr>
              <w:t>Ai</w:t>
            </w:r>
            <w:r>
              <w:rPr>
                <w:rFonts w:hint="eastAsia"/>
                <w:color w:val="auto"/>
                <w:kern w:val="0"/>
                <w:sz w:val="24"/>
                <w:lang w:bidi="ar"/>
              </w:rPr>
              <w:t>，在</w:t>
            </w:r>
            <w:r>
              <w:rPr>
                <w:rFonts w:hint="default"/>
                <w:color w:val="auto"/>
                <w:kern w:val="0"/>
                <w:sz w:val="24"/>
                <w:lang w:bidi="ar"/>
              </w:rPr>
              <w:t>T</w:t>
            </w:r>
            <w:r>
              <w:rPr>
                <w:rFonts w:hint="eastAsia"/>
                <w:color w:val="auto"/>
                <w:kern w:val="0"/>
                <w:sz w:val="24"/>
                <w:lang w:bidi="ar"/>
              </w:rPr>
              <w:t>时间内该声源工作时间为</w:t>
            </w:r>
            <w:r>
              <w:rPr>
                <w:rFonts w:hint="default"/>
                <w:color w:val="auto"/>
                <w:kern w:val="0"/>
                <w:sz w:val="24"/>
                <w:lang w:bidi="ar"/>
              </w:rPr>
              <w:t>t</w:t>
            </w:r>
            <w:r>
              <w:rPr>
                <w:rFonts w:hint="default"/>
                <w:color w:val="auto"/>
                <w:kern w:val="0"/>
                <w:sz w:val="24"/>
                <w:vertAlign w:val="subscript"/>
                <w:lang w:bidi="ar"/>
              </w:rPr>
              <w:t>i</w:t>
            </w:r>
            <w:r>
              <w:rPr>
                <w:rFonts w:hint="eastAsia"/>
                <w:color w:val="auto"/>
                <w:kern w:val="0"/>
                <w:sz w:val="24"/>
                <w:lang w:bidi="ar"/>
              </w:rPr>
              <w:t>；第</w:t>
            </w:r>
            <w:r>
              <w:rPr>
                <w:rFonts w:hint="default"/>
                <w:color w:val="auto"/>
                <w:kern w:val="0"/>
                <w:sz w:val="24"/>
                <w:lang w:bidi="ar"/>
              </w:rPr>
              <w:t>j</w:t>
            </w:r>
            <w:r>
              <w:rPr>
                <w:rFonts w:hint="eastAsia"/>
                <w:color w:val="auto"/>
                <w:kern w:val="0"/>
                <w:sz w:val="24"/>
                <w:lang w:bidi="ar"/>
              </w:rPr>
              <w:t>个等效室外声源在预测点产生的</w:t>
            </w:r>
            <w:r>
              <w:rPr>
                <w:rFonts w:hint="default"/>
                <w:color w:val="auto"/>
                <w:kern w:val="0"/>
                <w:sz w:val="24"/>
                <w:lang w:bidi="ar"/>
              </w:rPr>
              <w:t>A</w:t>
            </w:r>
            <w:r>
              <w:rPr>
                <w:rFonts w:hint="eastAsia"/>
                <w:color w:val="auto"/>
                <w:kern w:val="0"/>
                <w:sz w:val="24"/>
                <w:lang w:bidi="ar"/>
              </w:rPr>
              <w:t>声级为</w:t>
            </w:r>
            <w:r>
              <w:rPr>
                <w:rFonts w:hint="default"/>
                <w:color w:val="auto"/>
                <w:kern w:val="0"/>
                <w:sz w:val="24"/>
                <w:lang w:bidi="ar"/>
              </w:rPr>
              <w:t>L</w:t>
            </w:r>
            <w:r>
              <w:rPr>
                <w:rFonts w:hint="default"/>
                <w:color w:val="auto"/>
                <w:kern w:val="0"/>
                <w:sz w:val="24"/>
                <w:vertAlign w:val="subscript"/>
                <w:lang w:bidi="ar"/>
              </w:rPr>
              <w:t>Aj</w:t>
            </w:r>
            <w:r>
              <w:rPr>
                <w:rFonts w:hint="eastAsia"/>
                <w:color w:val="auto"/>
                <w:kern w:val="0"/>
                <w:sz w:val="24"/>
                <w:lang w:bidi="ar"/>
              </w:rPr>
              <w:t>，在</w:t>
            </w:r>
            <w:r>
              <w:rPr>
                <w:rFonts w:hint="default"/>
                <w:color w:val="auto"/>
                <w:kern w:val="0"/>
                <w:sz w:val="24"/>
                <w:lang w:bidi="ar"/>
              </w:rPr>
              <w:t>T</w:t>
            </w:r>
            <w:r>
              <w:rPr>
                <w:rFonts w:hint="eastAsia"/>
                <w:color w:val="auto"/>
                <w:kern w:val="0"/>
                <w:sz w:val="24"/>
                <w:lang w:bidi="ar"/>
              </w:rPr>
              <w:t>时间内该声源工作时间为</w:t>
            </w:r>
            <w:r>
              <w:rPr>
                <w:rFonts w:hint="default"/>
                <w:color w:val="auto"/>
                <w:kern w:val="0"/>
                <w:sz w:val="24"/>
                <w:lang w:bidi="ar"/>
              </w:rPr>
              <w:t>t</w:t>
            </w:r>
            <w:r>
              <w:rPr>
                <w:rFonts w:hint="default"/>
                <w:color w:val="auto"/>
                <w:kern w:val="0"/>
                <w:sz w:val="24"/>
                <w:vertAlign w:val="subscript"/>
                <w:lang w:bidi="ar"/>
              </w:rPr>
              <w:t>j</w:t>
            </w:r>
            <w:r>
              <w:rPr>
                <w:rFonts w:hint="eastAsia"/>
                <w:color w:val="auto"/>
                <w:kern w:val="0"/>
                <w:sz w:val="24"/>
                <w:lang w:bidi="ar"/>
              </w:rPr>
              <w:t>，则拟建工程声源对预测点产生的贡献值（</w:t>
            </w:r>
            <w:r>
              <w:rPr>
                <w:rFonts w:hint="default"/>
                <w:color w:val="auto"/>
                <w:kern w:val="0"/>
                <w:sz w:val="24"/>
                <w:lang w:bidi="ar"/>
              </w:rPr>
              <w:t>L</w:t>
            </w:r>
            <w:r>
              <w:rPr>
                <w:rFonts w:hint="default"/>
                <w:color w:val="auto"/>
                <w:kern w:val="0"/>
                <w:sz w:val="24"/>
                <w:vertAlign w:val="subscript"/>
                <w:lang w:bidi="ar"/>
              </w:rPr>
              <w:t>eqg</w:t>
            </w:r>
            <w:r>
              <w:rPr>
                <w:rFonts w:hint="eastAsia"/>
                <w:color w:val="auto"/>
                <w:kern w:val="0"/>
                <w:sz w:val="24"/>
                <w:lang w:bidi="ar"/>
              </w:rPr>
              <w:t>）为：</w:t>
            </w:r>
          </w:p>
          <w:p w14:paraId="16436CFF">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120" w:afterLines="50" w:afterAutospacing="0" w:line="500" w:lineRule="exact"/>
              <w:ind w:left="0" w:right="0"/>
              <w:jc w:val="center"/>
              <w:textAlignment w:val="auto"/>
              <w:rPr>
                <w:rFonts w:hint="eastAsia" w:eastAsia="宋体"/>
                <w:color w:val="auto"/>
                <w:sz w:val="24"/>
                <w:lang w:eastAsia="zh-CN"/>
              </w:rPr>
            </w:pPr>
            <w:r>
              <w:rPr>
                <w:rFonts w:hint="default"/>
                <w:color w:val="auto"/>
                <w:kern w:val="0"/>
                <w:position w:val="-30"/>
                <w:sz w:val="24"/>
                <w:lang w:bidi="ar"/>
              </w:rPr>
              <w:object>
                <v:shape id="_x0000_i1031" o:spt="75" type="#_x0000_t75" style="height:29.95pt;width:215.15pt;" o:ole="t" filled="f" o:preferrelative="t" stroked="f" coordsize="21600,21600">
                  <v:path/>
                  <v:fill on="f" focussize="0,0"/>
                  <v:stroke on="f"/>
                  <v:imagedata r:id="rId24" o:title=""/>
                  <o:lock v:ext="edit" aspectratio="t"/>
                  <w10:wrap type="none"/>
                  <w10:anchorlock/>
                </v:shape>
                <o:OLEObject Type="Embed" ProgID="Equation.3" ShapeID="_x0000_i1031" DrawAspect="Content" ObjectID="_1468075733" r:id="rId23">
                  <o:LockedField>false</o:LockedField>
                </o:OLEObject>
              </w:object>
            </w:r>
            <w:r>
              <w:rPr>
                <w:rFonts w:hint="eastAsia" w:ascii="宋体" w:hAnsi="宋体" w:cs="宋体"/>
                <w:color w:val="auto"/>
                <w:kern w:val="0"/>
                <w:sz w:val="24"/>
                <w:lang w:val="en-US" w:eastAsia="zh-CN" w:bidi="ar"/>
              </w:rPr>
              <w:t>⑥</w:t>
            </w:r>
          </w:p>
          <w:p w14:paraId="72291963">
            <w:pPr>
              <w:keepNext w:val="0"/>
              <w:keepLines w:val="0"/>
              <w:pageBreakBefore w:val="0"/>
              <w:widowControl/>
              <w:suppressLineNumbers w:val="0"/>
              <w:kinsoku/>
              <w:wordWrap/>
              <w:overflowPunct/>
              <w:topLinePunct w:val="0"/>
              <w:autoSpaceDE/>
              <w:autoSpaceDN w:val="0"/>
              <w:bidi w:val="0"/>
              <w:spacing w:before="0" w:beforeAutospacing="0" w:after="0" w:afterAutospacing="0" w:line="500" w:lineRule="exact"/>
              <w:ind w:left="0" w:right="0" w:firstLine="480" w:firstLineChars="200"/>
              <w:textAlignment w:val="auto"/>
              <w:rPr>
                <w:rFonts w:hint="default" w:ascii="Times New Roman" w:hAnsi="Times New Roman" w:cs="Times New Roman"/>
                <w:color w:val="auto"/>
                <w:kern w:val="0"/>
                <w:sz w:val="24"/>
                <w:lang w:bidi="ar"/>
              </w:rPr>
            </w:pPr>
            <w:r>
              <w:rPr>
                <w:rFonts w:hint="eastAsia"/>
                <w:color w:val="auto"/>
                <w:kern w:val="0"/>
                <w:sz w:val="24"/>
                <w:lang w:bidi="ar"/>
              </w:rPr>
              <w:t>式</w:t>
            </w:r>
            <w:r>
              <w:rPr>
                <w:rFonts w:hint="default" w:ascii="Times New Roman" w:hAnsi="Times New Roman" w:cs="Times New Roman"/>
                <w:color w:val="auto"/>
                <w:kern w:val="0"/>
                <w:sz w:val="24"/>
                <w:lang w:bidi="ar"/>
              </w:rPr>
              <w:t>中：L</w:t>
            </w:r>
            <w:r>
              <w:rPr>
                <w:rFonts w:hint="default" w:ascii="Times New Roman" w:hAnsi="Times New Roman" w:cs="Times New Roman"/>
                <w:color w:val="auto"/>
                <w:kern w:val="0"/>
                <w:sz w:val="24"/>
                <w:vertAlign w:val="subscript"/>
                <w:lang w:bidi="ar"/>
              </w:rPr>
              <w:t>eqg</w:t>
            </w:r>
            <w:r>
              <w:rPr>
                <w:rFonts w:hint="default" w:ascii="Times New Roman" w:hAnsi="Times New Roman" w:cs="Times New Roman"/>
                <w:color w:val="auto"/>
                <w:kern w:val="0"/>
                <w:sz w:val="24"/>
                <w:lang w:bidi="ar"/>
              </w:rPr>
              <w:t>—建设项目声源在预测点产生的噪声贡献值，dB；</w:t>
            </w:r>
          </w:p>
          <w:p w14:paraId="047F72BD">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T—用于计算等效声级的时间，s；N—室外声源个数；</w:t>
            </w:r>
          </w:p>
          <w:p w14:paraId="2DA7AFFF">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lang w:bidi="ar"/>
              </w:rPr>
            </w:pPr>
            <w:r>
              <w:rPr>
                <w:rFonts w:hint="default" w:ascii="Times New Roman" w:hAnsi="Times New Roman" w:cs="Times New Roman"/>
                <w:color w:val="auto"/>
                <w:lang w:bidi="ar"/>
              </w:rPr>
              <w:t>t</w:t>
            </w:r>
            <w:r>
              <w:rPr>
                <w:rFonts w:hint="default" w:ascii="Times New Roman" w:hAnsi="Times New Roman" w:cs="Times New Roman"/>
                <w:color w:val="auto"/>
                <w:vertAlign w:val="subscript"/>
                <w:lang w:bidi="ar"/>
              </w:rPr>
              <w:t>i</w:t>
            </w:r>
            <w:r>
              <w:rPr>
                <w:rFonts w:hint="default" w:ascii="Times New Roman" w:hAnsi="Times New Roman" w:cs="Times New Roman"/>
                <w:color w:val="auto"/>
                <w:lang w:bidi="ar"/>
              </w:rPr>
              <w:t>—在T时间内i声源工作时间，s；M—等效室外声源个数；</w:t>
            </w:r>
          </w:p>
          <w:p w14:paraId="0DA7E0FB">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vertAlign w:val="subscript"/>
                <w:lang w:val="en-US" w:eastAsia="zh-CN" w:bidi="ar"/>
              </w:rPr>
              <w:t>j</w:t>
            </w:r>
            <w:r>
              <w:rPr>
                <w:rFonts w:hint="default" w:ascii="Times New Roman" w:hAnsi="Times New Roman" w:eastAsia="宋体" w:cs="Times New Roman"/>
                <w:color w:val="auto"/>
                <w:kern w:val="0"/>
                <w:sz w:val="24"/>
                <w:szCs w:val="24"/>
                <w:lang w:val="en-US" w:eastAsia="zh-CN" w:bidi="ar"/>
              </w:rPr>
              <w:t>—在T时间内j声源工作时间，s。</w:t>
            </w:r>
          </w:p>
          <w:p w14:paraId="448E8ACF">
            <w:pPr>
              <w:pStyle w:val="18"/>
              <w:keepNext w:val="0"/>
              <w:keepLines w:val="0"/>
              <w:pageBreakBefore w:val="0"/>
              <w:numPr>
                <w:ilvl w:val="0"/>
                <w:numId w:val="0"/>
              </w:numPr>
              <w:kinsoku/>
              <w:wordWrap/>
              <w:overflowPunct/>
              <w:topLinePunct w:val="0"/>
              <w:bidi w:val="0"/>
              <w:spacing w:line="500" w:lineRule="exact"/>
              <w:ind w:leftChars="200"/>
              <w:textAlignment w:val="auto"/>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③预测点预测值计算</w:t>
            </w:r>
          </w:p>
          <w:p w14:paraId="09576531">
            <w:pPr>
              <w:pStyle w:val="19"/>
              <w:keepNext w:val="0"/>
              <w:keepLines w:val="0"/>
              <w:pageBreakBefore w:val="0"/>
              <w:numPr>
                <w:ilvl w:val="0"/>
                <w:numId w:val="0"/>
              </w:numPr>
              <w:kinsoku/>
              <w:wordWrap/>
              <w:overflowPunct/>
              <w:topLinePunct w:val="0"/>
              <w:bidi w:val="0"/>
              <w:spacing w:line="500" w:lineRule="exact"/>
              <w:jc w:val="center"/>
              <w:textAlignment w:val="auto"/>
              <w:rPr>
                <w:rFonts w:hint="eastAsia" w:eastAsia="宋体"/>
                <w:color w:val="auto"/>
                <w:lang w:val="en-US" w:eastAsia="zh-CN"/>
              </w:rPr>
            </w:pPr>
            <w:r>
              <w:rPr>
                <w:color w:val="auto"/>
                <w:kern w:val="0"/>
                <w:position w:val="-14"/>
                <w:sz w:val="24"/>
                <w:lang w:bidi="ar"/>
              </w:rPr>
              <w:object>
                <v:shape id="_x0000_i1032" o:spt="75" type="#_x0000_t75" style="height:25.35pt;width:118.2pt;" o:ole="t" filled="f" o:preferrelative="t" stroked="f" coordsize="21600,21600">
                  <v:path/>
                  <v:fill on="f" focussize="0,0"/>
                  <v:stroke on="f"/>
                  <v:imagedata r:id="rId26" o:title=""/>
                  <o:lock v:ext="edit" aspectratio="t"/>
                  <w10:wrap type="none"/>
                  <w10:anchorlock/>
                </v:shape>
                <o:OLEObject Type="Embed" ProgID="Equation.3" ShapeID="_x0000_i1032" DrawAspect="Content" ObjectID="_1468075734" r:id="rId25">
                  <o:LockedField>false</o:LockedField>
                </o:OLEObject>
              </w:object>
            </w:r>
            <w:r>
              <w:rPr>
                <w:rFonts w:hint="eastAsia" w:ascii="宋体" w:hAnsi="宋体" w:cs="宋体"/>
                <w:b w:val="0"/>
                <w:bCs/>
                <w:color w:val="auto"/>
                <w:kern w:val="0"/>
                <w:sz w:val="24"/>
                <w:lang w:val="en-US" w:eastAsia="zh-CN" w:bidi="ar"/>
              </w:rPr>
              <w:t>⑦</w:t>
            </w:r>
          </w:p>
          <w:p w14:paraId="4E2D7EE5">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480" w:firstLineChars="200"/>
              <w:textAlignment w:val="auto"/>
              <w:rPr>
                <w:rFonts w:hint="default"/>
                <w:color w:val="auto"/>
                <w:kern w:val="0"/>
                <w:sz w:val="24"/>
                <w:lang w:bidi="ar"/>
              </w:rPr>
            </w:pPr>
            <w:r>
              <w:rPr>
                <w:rFonts w:hint="default"/>
                <w:color w:val="auto"/>
                <w:kern w:val="0"/>
                <w:sz w:val="24"/>
                <w:lang w:bidi="ar"/>
              </w:rPr>
              <w:t>式中：L</w:t>
            </w:r>
            <w:r>
              <w:rPr>
                <w:rFonts w:hint="default"/>
                <w:color w:val="auto"/>
                <w:kern w:val="0"/>
                <w:sz w:val="24"/>
                <w:vertAlign w:val="subscript"/>
                <w:lang w:bidi="ar"/>
              </w:rPr>
              <w:t>eqg</w:t>
            </w:r>
            <w:r>
              <w:rPr>
                <w:rFonts w:hint="default"/>
                <w:color w:val="auto"/>
                <w:kern w:val="0"/>
                <w:sz w:val="24"/>
                <w:lang w:bidi="ar"/>
              </w:rPr>
              <w:t>—建设项目声源在预测点的等效声级贡献值，dB</w:t>
            </w:r>
            <w:r>
              <w:rPr>
                <w:rFonts w:hint="eastAsia"/>
                <w:color w:val="auto"/>
                <w:kern w:val="0"/>
                <w:sz w:val="24"/>
                <w:lang w:eastAsia="zh-CN" w:bidi="ar"/>
              </w:rPr>
              <w:t>（</w:t>
            </w:r>
            <w:r>
              <w:rPr>
                <w:rFonts w:hint="default"/>
                <w:color w:val="auto"/>
                <w:kern w:val="0"/>
                <w:sz w:val="24"/>
                <w:lang w:bidi="ar"/>
              </w:rPr>
              <w:t>A</w:t>
            </w:r>
            <w:r>
              <w:rPr>
                <w:rFonts w:hint="eastAsia"/>
                <w:color w:val="auto"/>
                <w:kern w:val="0"/>
                <w:sz w:val="24"/>
                <w:lang w:eastAsia="zh-CN" w:bidi="ar"/>
              </w:rPr>
              <w:t>）</w:t>
            </w:r>
            <w:r>
              <w:rPr>
                <w:rFonts w:hint="default"/>
                <w:color w:val="auto"/>
                <w:kern w:val="0"/>
                <w:sz w:val="24"/>
                <w:lang w:bidi="ar"/>
              </w:rPr>
              <w:t>；</w:t>
            </w:r>
          </w:p>
          <w:p w14:paraId="37387F2B">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1200" w:firstLineChars="500"/>
              <w:textAlignment w:val="auto"/>
              <w:rPr>
                <w:rFonts w:hint="default"/>
                <w:color w:val="auto"/>
                <w:kern w:val="0"/>
                <w:sz w:val="24"/>
                <w:lang w:bidi="ar"/>
              </w:rPr>
            </w:pPr>
            <w:r>
              <w:rPr>
                <w:rFonts w:hint="default"/>
                <w:color w:val="auto"/>
                <w:kern w:val="0"/>
                <w:sz w:val="24"/>
                <w:lang w:bidi="ar"/>
              </w:rPr>
              <w:t>L</w:t>
            </w:r>
            <w:r>
              <w:rPr>
                <w:rFonts w:hint="default"/>
                <w:color w:val="auto"/>
                <w:kern w:val="0"/>
                <w:sz w:val="24"/>
                <w:vertAlign w:val="subscript"/>
                <w:lang w:bidi="ar"/>
              </w:rPr>
              <w:t>eqb</w:t>
            </w:r>
            <w:r>
              <w:rPr>
                <w:rFonts w:hint="default"/>
                <w:color w:val="auto"/>
                <w:kern w:val="0"/>
                <w:sz w:val="24"/>
                <w:lang w:bidi="ar"/>
              </w:rPr>
              <w:t>—预测点的背景值，dB</w:t>
            </w:r>
            <w:r>
              <w:rPr>
                <w:rFonts w:hint="eastAsia"/>
                <w:color w:val="auto"/>
                <w:kern w:val="0"/>
                <w:sz w:val="24"/>
                <w:lang w:eastAsia="zh-CN" w:bidi="ar"/>
              </w:rPr>
              <w:t>（</w:t>
            </w:r>
            <w:r>
              <w:rPr>
                <w:rFonts w:hint="default"/>
                <w:color w:val="auto"/>
                <w:kern w:val="0"/>
                <w:sz w:val="24"/>
                <w:lang w:bidi="ar"/>
              </w:rPr>
              <w:t>A</w:t>
            </w:r>
            <w:r>
              <w:rPr>
                <w:rFonts w:hint="eastAsia"/>
                <w:color w:val="auto"/>
                <w:kern w:val="0"/>
                <w:sz w:val="24"/>
                <w:lang w:eastAsia="zh-CN" w:bidi="ar"/>
              </w:rPr>
              <w:t>）</w:t>
            </w:r>
            <w:r>
              <w:rPr>
                <w:rFonts w:hint="default"/>
                <w:color w:val="auto"/>
                <w:kern w:val="0"/>
                <w:sz w:val="24"/>
                <w:lang w:bidi="ar"/>
              </w:rPr>
              <w:t>。</w:t>
            </w:r>
          </w:p>
          <w:p w14:paraId="3778DF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根据项目建设内容及《环境影响评价技术导则—声环境》（HJ2.4-2021）</w:t>
            </w:r>
          </w:p>
          <w:p w14:paraId="4CFFD2D4">
            <w:pPr>
              <w:pStyle w:val="18"/>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的要求，项目采用的模型为《环境影响评价技术导则声环境》</w:t>
            </w:r>
            <w:r>
              <w:rPr>
                <w:rFonts w:hint="eastAsia" w:cs="宋体"/>
                <w:color w:val="auto"/>
                <w:kern w:val="0"/>
                <w:sz w:val="24"/>
                <w:szCs w:val="24"/>
                <w:lang w:val="en-US" w:eastAsia="zh-CN" w:bidi="ar-SA"/>
              </w:rPr>
              <w:t>（</w:t>
            </w:r>
            <w:r>
              <w:rPr>
                <w:rFonts w:hint="eastAsia" w:ascii="Times New Roman" w:hAnsi="Times New Roman" w:eastAsia="宋体" w:cs="宋体"/>
                <w:color w:val="auto"/>
                <w:kern w:val="0"/>
                <w:sz w:val="24"/>
                <w:szCs w:val="24"/>
                <w:lang w:val="en-US" w:eastAsia="zh-CN" w:bidi="ar-SA"/>
              </w:rPr>
              <w:t>HJ2.4.2021</w:t>
            </w:r>
            <w:r>
              <w:rPr>
                <w:rFonts w:hint="eastAsia" w:cs="宋体"/>
                <w:color w:val="auto"/>
                <w:kern w:val="0"/>
                <w:sz w:val="24"/>
                <w:szCs w:val="24"/>
                <w:lang w:val="en-US" w:eastAsia="zh-CN" w:bidi="ar-SA"/>
              </w:rPr>
              <w:t>）</w:t>
            </w:r>
            <w:r>
              <w:rPr>
                <w:rFonts w:hint="eastAsia" w:ascii="Times New Roman" w:hAnsi="Times New Roman" w:eastAsia="宋体" w:cs="宋体"/>
                <w:color w:val="auto"/>
                <w:kern w:val="0"/>
                <w:sz w:val="24"/>
                <w:szCs w:val="24"/>
                <w:lang w:val="en-US" w:eastAsia="zh-CN" w:bidi="ar-SA"/>
              </w:rPr>
              <w:t>附录A（规范性附录）户外声传播的衰减和附录B（规范性附录）中“B.1工业噪声预测计算模型”</w:t>
            </w:r>
            <w:r>
              <w:rPr>
                <w:rFonts w:hint="default" w:ascii="宋体" w:hAnsi="宋体" w:eastAsia="宋体" w:cs="宋体"/>
                <w:color w:val="auto"/>
                <w:sz w:val="24"/>
                <w:szCs w:val="24"/>
              </w:rPr>
              <w:t>。</w:t>
            </w:r>
          </w:p>
          <w:p w14:paraId="0E659BC9">
            <w:pPr>
              <w:pStyle w:val="18"/>
              <w:keepNext w:val="0"/>
              <w:keepLines w:val="0"/>
              <w:pageBreakBefore w:val="0"/>
              <w:widowControl w:val="0"/>
              <w:kinsoku/>
              <w:wordWrap/>
              <w:overflowPunct/>
              <w:topLinePunct w:val="0"/>
              <w:autoSpaceDE/>
              <w:autoSpaceDN/>
              <w:bidi w:val="0"/>
              <w:spacing w:after="0" w:line="360" w:lineRule="auto"/>
              <w:ind w:left="0" w:leftChars="0" w:firstLine="480" w:firstLineChars="200"/>
              <w:jc w:val="both"/>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snapToGrid w:val="0"/>
                <w:color w:val="auto"/>
                <w:sz w:val="24"/>
              </w:rPr>
              <w:t>根据《环境影响评价技术导则声环境》（HJ2.4-2021），</w:t>
            </w:r>
            <w:r>
              <w:rPr>
                <w:rFonts w:hint="eastAsia" w:cs="Times New Roman"/>
                <w:snapToGrid w:val="0"/>
                <w:color w:val="auto"/>
                <w:sz w:val="24"/>
                <w:lang w:val="en-US" w:eastAsia="zh-CN"/>
              </w:rPr>
              <w:t>本</w:t>
            </w:r>
            <w:r>
              <w:rPr>
                <w:rFonts w:hint="eastAsia" w:ascii="Times New Roman" w:hAnsi="Times New Roman" w:eastAsia="宋体" w:cs="Times New Roman"/>
                <w:snapToGrid w:val="0"/>
                <w:color w:val="auto"/>
                <w:sz w:val="24"/>
                <w:lang w:eastAsia="zh-CN"/>
              </w:rPr>
              <w:t>项目</w:t>
            </w:r>
            <w:r>
              <w:rPr>
                <w:rFonts w:hint="eastAsia" w:ascii="Times New Roman" w:hAnsi="Times New Roman" w:eastAsia="宋体" w:cs="Times New Roman"/>
                <w:snapToGrid w:val="0"/>
                <w:color w:val="auto"/>
                <w:sz w:val="24"/>
              </w:rPr>
              <w:t>对厂界噪声影响预测结果见</w:t>
            </w:r>
            <w:r>
              <w:rPr>
                <w:rFonts w:hint="eastAsia" w:ascii="Times New Roman" w:hAnsi="Times New Roman" w:eastAsia="宋体" w:cs="Times New Roman"/>
                <w:snapToGrid w:val="0"/>
                <w:color w:val="auto"/>
                <w:sz w:val="24"/>
                <w:lang w:val="en-US" w:eastAsia="zh-CN"/>
              </w:rPr>
              <w:t>下表</w:t>
            </w:r>
            <w:r>
              <w:rPr>
                <w:rFonts w:hint="eastAsia" w:ascii="Times New Roman" w:hAnsi="Times New Roman" w:eastAsia="宋体" w:cs="Times New Roman"/>
                <w:snapToGrid w:val="0"/>
                <w:color w:val="auto"/>
                <w:sz w:val="24"/>
              </w:rPr>
              <w:t>。</w:t>
            </w:r>
          </w:p>
          <w:p w14:paraId="21D0F4C6">
            <w:pPr>
              <w:pStyle w:val="18"/>
              <w:spacing w:after="0" w:line="240" w:lineRule="auto"/>
              <w:ind w:left="0" w:leftChars="0" w:firstLine="0" w:firstLineChars="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 xml:space="preserve">8 </w:t>
            </w:r>
            <w:r>
              <w:rPr>
                <w:rFonts w:hint="eastAsia" w:ascii="Times New Roman" w:hAnsi="Times New Roman" w:eastAsia="宋体" w:cs="Times New Roman"/>
                <w:b/>
                <w:bCs/>
                <w:color w:val="auto"/>
                <w:sz w:val="21"/>
                <w:szCs w:val="21"/>
              </w:rPr>
              <w:t>环境噪声预测结果单位：dB（A）</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7"/>
              <w:gridCol w:w="717"/>
              <w:gridCol w:w="868"/>
              <w:gridCol w:w="995"/>
              <w:gridCol w:w="941"/>
              <w:gridCol w:w="1149"/>
              <w:gridCol w:w="1124"/>
              <w:gridCol w:w="1262"/>
            </w:tblGrid>
            <w:tr w14:paraId="61DC4D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8" w:type="pct"/>
                  <w:vMerge w:val="restart"/>
                  <w:tcBorders>
                    <w:tl2br w:val="nil"/>
                    <w:tr2bl w:val="nil"/>
                  </w:tcBorders>
                  <w:noWrap w:val="0"/>
                  <w:vAlign w:val="center"/>
                </w:tcPr>
                <w:p w14:paraId="195B6E2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测点序号</w:t>
                  </w:r>
                </w:p>
              </w:tc>
              <w:tc>
                <w:tcPr>
                  <w:tcW w:w="1624" w:type="pct"/>
                  <w:gridSpan w:val="3"/>
                  <w:tcBorders>
                    <w:tl2br w:val="nil"/>
                    <w:tr2bl w:val="nil"/>
                  </w:tcBorders>
                  <w:noWrap w:val="0"/>
                  <w:vAlign w:val="center"/>
                </w:tcPr>
                <w:p w14:paraId="2EA441B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空间相对位置</w:t>
                  </w:r>
                </w:p>
              </w:tc>
              <w:tc>
                <w:tcPr>
                  <w:tcW w:w="592" w:type="pct"/>
                  <w:vMerge w:val="restart"/>
                  <w:tcBorders>
                    <w:tl2br w:val="nil"/>
                    <w:tr2bl w:val="nil"/>
                  </w:tcBorders>
                  <w:noWrap w:val="0"/>
                  <w:vAlign w:val="center"/>
                </w:tcPr>
                <w:p w14:paraId="076DCAAD">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时段</w:t>
                  </w:r>
                </w:p>
              </w:tc>
              <w:tc>
                <w:tcPr>
                  <w:tcW w:w="723" w:type="pct"/>
                  <w:vMerge w:val="restart"/>
                  <w:tcBorders>
                    <w:tl2br w:val="nil"/>
                    <w:tr2bl w:val="nil"/>
                  </w:tcBorders>
                  <w:noWrap w:val="0"/>
                  <w:vAlign w:val="center"/>
                </w:tcPr>
                <w:p w14:paraId="3D9EA39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贡献</w:t>
                  </w:r>
                  <w:r>
                    <w:rPr>
                      <w:rFonts w:hint="default" w:ascii="Times New Roman" w:hAnsi="Times New Roman" w:eastAsia="宋体" w:cs="Times New Roman"/>
                      <w:color w:val="auto"/>
                      <w:kern w:val="0"/>
                      <w:sz w:val="21"/>
                      <w:szCs w:val="21"/>
                      <w:lang w:val="en-US" w:eastAsia="zh-CN"/>
                    </w:rPr>
                    <w:t>值</w:t>
                  </w:r>
                </w:p>
                <w:p w14:paraId="0BE6E27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dB（A）</w:t>
                  </w:r>
                </w:p>
              </w:tc>
              <w:tc>
                <w:tcPr>
                  <w:tcW w:w="707" w:type="pct"/>
                  <w:vMerge w:val="restart"/>
                  <w:tcBorders>
                    <w:tl2br w:val="nil"/>
                    <w:tr2bl w:val="nil"/>
                  </w:tcBorders>
                  <w:noWrap w:val="0"/>
                  <w:vAlign w:val="center"/>
                </w:tcPr>
                <w:p w14:paraId="7EA9BB6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标准限值</w:t>
                  </w:r>
                </w:p>
                <w:p w14:paraId="7D461759">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sz w:val="21"/>
                      <w:szCs w:val="21"/>
                    </w:rPr>
                    <w:t>dB（A）</w:t>
                  </w:r>
                  <w:r>
                    <w:rPr>
                      <w:rFonts w:hint="eastAsia" w:ascii="Times New Roman" w:hAnsi="Times New Roman" w:eastAsia="宋体" w:cs="Times New Roman"/>
                      <w:b w:val="0"/>
                      <w:bCs w:val="0"/>
                      <w:color w:val="auto"/>
                      <w:sz w:val="21"/>
                      <w:szCs w:val="21"/>
                      <w:lang w:eastAsia="zh-CN"/>
                    </w:rPr>
                    <w:t>）</w:t>
                  </w:r>
                </w:p>
              </w:tc>
              <w:tc>
                <w:tcPr>
                  <w:tcW w:w="794" w:type="pct"/>
                  <w:vMerge w:val="restart"/>
                  <w:tcBorders>
                    <w:tl2br w:val="nil"/>
                    <w:tr2bl w:val="nil"/>
                  </w:tcBorders>
                  <w:noWrap w:val="0"/>
                  <w:vAlign w:val="center"/>
                </w:tcPr>
                <w:p w14:paraId="7CB7805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rPr>
                    <w:t>评价结果</w:t>
                  </w:r>
                </w:p>
              </w:tc>
            </w:tr>
            <w:tr w14:paraId="12CDAB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58" w:type="pct"/>
                  <w:vMerge w:val="continue"/>
                  <w:tcBorders>
                    <w:tl2br w:val="nil"/>
                    <w:tr2bl w:val="nil"/>
                  </w:tcBorders>
                  <w:noWrap w:val="0"/>
                  <w:vAlign w:val="center"/>
                </w:tcPr>
                <w:p w14:paraId="58AD5BD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451" w:type="pct"/>
                  <w:tcBorders>
                    <w:tl2br w:val="nil"/>
                    <w:tr2bl w:val="nil"/>
                  </w:tcBorders>
                  <w:noWrap w:val="0"/>
                  <w:vAlign w:val="center"/>
                </w:tcPr>
                <w:p w14:paraId="302D9BB1">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X</w:t>
                  </w:r>
                </w:p>
              </w:tc>
              <w:tc>
                <w:tcPr>
                  <w:tcW w:w="546" w:type="pct"/>
                  <w:tcBorders>
                    <w:tl2br w:val="nil"/>
                    <w:tr2bl w:val="nil"/>
                  </w:tcBorders>
                  <w:noWrap w:val="0"/>
                  <w:vAlign w:val="center"/>
                </w:tcPr>
                <w:p w14:paraId="389FABF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Y</w:t>
                  </w:r>
                </w:p>
              </w:tc>
              <w:tc>
                <w:tcPr>
                  <w:tcW w:w="626" w:type="pct"/>
                  <w:tcBorders>
                    <w:tl2br w:val="nil"/>
                    <w:tr2bl w:val="nil"/>
                  </w:tcBorders>
                  <w:noWrap w:val="0"/>
                  <w:vAlign w:val="center"/>
                </w:tcPr>
                <w:p w14:paraId="2BAA76E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Z</w:t>
                  </w:r>
                </w:p>
              </w:tc>
              <w:tc>
                <w:tcPr>
                  <w:tcW w:w="592" w:type="pct"/>
                  <w:vMerge w:val="continue"/>
                  <w:tcBorders>
                    <w:tl2br w:val="nil"/>
                    <w:tr2bl w:val="nil"/>
                  </w:tcBorders>
                  <w:noWrap w:val="0"/>
                  <w:vAlign w:val="center"/>
                </w:tcPr>
                <w:p w14:paraId="7228DD6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3" w:type="pct"/>
                  <w:vMerge w:val="continue"/>
                  <w:tcBorders>
                    <w:tl2br w:val="nil"/>
                    <w:tr2bl w:val="nil"/>
                  </w:tcBorders>
                  <w:noWrap w:val="0"/>
                  <w:vAlign w:val="center"/>
                </w:tcPr>
                <w:p w14:paraId="0DBEA07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07" w:type="pct"/>
                  <w:vMerge w:val="continue"/>
                  <w:tcBorders>
                    <w:tl2br w:val="nil"/>
                    <w:tr2bl w:val="nil"/>
                  </w:tcBorders>
                  <w:noWrap w:val="0"/>
                  <w:vAlign w:val="center"/>
                </w:tcPr>
                <w:p w14:paraId="59AFD1E0">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b w:val="0"/>
                      <w:bCs w:val="0"/>
                      <w:color w:val="auto"/>
                      <w:kern w:val="0"/>
                      <w:sz w:val="21"/>
                      <w:szCs w:val="21"/>
                      <w:lang w:val="en-US" w:eastAsia="zh-CN"/>
                    </w:rPr>
                  </w:pPr>
                </w:p>
              </w:tc>
              <w:tc>
                <w:tcPr>
                  <w:tcW w:w="794" w:type="pct"/>
                  <w:vMerge w:val="continue"/>
                  <w:tcBorders>
                    <w:tl2br w:val="nil"/>
                    <w:tr2bl w:val="nil"/>
                  </w:tcBorders>
                  <w:noWrap w:val="0"/>
                  <w:vAlign w:val="center"/>
                </w:tcPr>
                <w:p w14:paraId="79409E1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p>
              </w:tc>
            </w:tr>
            <w:tr w14:paraId="506CA8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8" w:type="pct"/>
                  <w:tcBorders>
                    <w:tl2br w:val="nil"/>
                    <w:tr2bl w:val="nil"/>
                  </w:tcBorders>
                  <w:noWrap w:val="0"/>
                  <w:vAlign w:val="center"/>
                </w:tcPr>
                <w:p w14:paraId="7B6464D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东厂界</w:t>
                  </w:r>
                </w:p>
              </w:tc>
              <w:tc>
                <w:tcPr>
                  <w:tcW w:w="717" w:type="dxa"/>
                  <w:tcBorders>
                    <w:tl2br w:val="nil"/>
                    <w:tr2bl w:val="nil"/>
                  </w:tcBorders>
                  <w:noWrap w:val="0"/>
                  <w:vAlign w:val="center"/>
                </w:tcPr>
                <w:p w14:paraId="48049E24">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45</w:t>
                  </w:r>
                </w:p>
              </w:tc>
              <w:tc>
                <w:tcPr>
                  <w:tcW w:w="868" w:type="dxa"/>
                  <w:tcBorders>
                    <w:tl2br w:val="nil"/>
                    <w:tr2bl w:val="nil"/>
                  </w:tcBorders>
                  <w:noWrap w:val="0"/>
                  <w:vAlign w:val="center"/>
                </w:tcPr>
                <w:p w14:paraId="132439B2">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15.6</w:t>
                  </w:r>
                </w:p>
              </w:tc>
              <w:tc>
                <w:tcPr>
                  <w:tcW w:w="995" w:type="dxa"/>
                  <w:tcBorders>
                    <w:tl2br w:val="nil"/>
                    <w:tr2bl w:val="nil"/>
                  </w:tcBorders>
                  <w:noWrap w:val="0"/>
                  <w:vAlign w:val="center"/>
                </w:tcPr>
                <w:p w14:paraId="39DF439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2" w:type="pct"/>
                  <w:vMerge w:val="restart"/>
                  <w:tcBorders>
                    <w:tl2br w:val="nil"/>
                    <w:tr2bl w:val="nil"/>
                  </w:tcBorders>
                  <w:noWrap w:val="0"/>
                  <w:vAlign w:val="center"/>
                </w:tcPr>
                <w:p w14:paraId="0B017EC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tc>
              <w:tc>
                <w:tcPr>
                  <w:tcW w:w="1149" w:type="dxa"/>
                  <w:tcBorders>
                    <w:tl2br w:val="nil"/>
                    <w:tr2bl w:val="nil"/>
                  </w:tcBorders>
                  <w:noWrap w:val="0"/>
                  <w:vAlign w:val="center"/>
                </w:tcPr>
                <w:p w14:paraId="02814D7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51.83</w:t>
                  </w:r>
                </w:p>
              </w:tc>
              <w:tc>
                <w:tcPr>
                  <w:tcW w:w="707" w:type="pct"/>
                  <w:vMerge w:val="restart"/>
                  <w:tcBorders>
                    <w:tl2br w:val="nil"/>
                    <w:tr2bl w:val="nil"/>
                  </w:tcBorders>
                  <w:noWrap w:val="0"/>
                  <w:vAlign w:val="center"/>
                </w:tcPr>
                <w:p w14:paraId="5CC9B51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65</w:t>
                  </w:r>
                </w:p>
              </w:tc>
              <w:tc>
                <w:tcPr>
                  <w:tcW w:w="794" w:type="pct"/>
                  <w:tcBorders>
                    <w:tl2br w:val="nil"/>
                    <w:tr2bl w:val="nil"/>
                  </w:tcBorders>
                  <w:noWrap w:val="0"/>
                  <w:vAlign w:val="center"/>
                </w:tcPr>
                <w:p w14:paraId="0ABDDCF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368FB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8" w:type="pct"/>
                  <w:tcBorders>
                    <w:tl2br w:val="nil"/>
                    <w:tr2bl w:val="nil"/>
                  </w:tcBorders>
                  <w:noWrap w:val="0"/>
                  <w:vAlign w:val="center"/>
                </w:tcPr>
                <w:p w14:paraId="6A7D654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南厂界</w:t>
                  </w:r>
                </w:p>
              </w:tc>
              <w:tc>
                <w:tcPr>
                  <w:tcW w:w="717" w:type="dxa"/>
                  <w:tcBorders>
                    <w:tl2br w:val="nil"/>
                    <w:tr2bl w:val="nil"/>
                  </w:tcBorders>
                  <w:noWrap w:val="0"/>
                  <w:vAlign w:val="center"/>
                </w:tcPr>
                <w:p w14:paraId="1C7DB45E">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22</w:t>
                  </w:r>
                </w:p>
              </w:tc>
              <w:tc>
                <w:tcPr>
                  <w:tcW w:w="868" w:type="dxa"/>
                  <w:tcBorders>
                    <w:tl2br w:val="nil"/>
                    <w:tr2bl w:val="nil"/>
                  </w:tcBorders>
                  <w:noWrap w:val="0"/>
                  <w:vAlign w:val="center"/>
                </w:tcPr>
                <w:p w14:paraId="45A4116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w:t>
                  </w:r>
                </w:p>
              </w:tc>
              <w:tc>
                <w:tcPr>
                  <w:tcW w:w="995" w:type="dxa"/>
                  <w:tcBorders>
                    <w:tl2br w:val="nil"/>
                    <w:tr2bl w:val="nil"/>
                  </w:tcBorders>
                  <w:noWrap w:val="0"/>
                  <w:vAlign w:val="center"/>
                </w:tcPr>
                <w:p w14:paraId="47F1174E">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2" w:type="pct"/>
                  <w:vMerge w:val="continue"/>
                  <w:tcBorders>
                    <w:tl2br w:val="nil"/>
                    <w:tr2bl w:val="nil"/>
                  </w:tcBorders>
                  <w:noWrap w:val="0"/>
                  <w:vAlign w:val="center"/>
                </w:tcPr>
                <w:p w14:paraId="54C70AC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1149" w:type="dxa"/>
                  <w:tcBorders>
                    <w:tl2br w:val="nil"/>
                    <w:tr2bl w:val="nil"/>
                  </w:tcBorders>
                  <w:noWrap w:val="0"/>
                  <w:vAlign w:val="center"/>
                </w:tcPr>
                <w:p w14:paraId="3D071868">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52.13</w:t>
                  </w:r>
                </w:p>
              </w:tc>
              <w:tc>
                <w:tcPr>
                  <w:tcW w:w="707" w:type="pct"/>
                  <w:vMerge w:val="continue"/>
                  <w:tcBorders>
                    <w:tl2br w:val="nil"/>
                    <w:tr2bl w:val="nil"/>
                  </w:tcBorders>
                  <w:noWrap w:val="0"/>
                  <w:vAlign w:val="center"/>
                </w:tcPr>
                <w:p w14:paraId="0B8D12C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94" w:type="pct"/>
                  <w:tcBorders>
                    <w:tl2br w:val="nil"/>
                    <w:tr2bl w:val="nil"/>
                  </w:tcBorders>
                  <w:noWrap w:val="0"/>
                  <w:vAlign w:val="center"/>
                </w:tcPr>
                <w:p w14:paraId="6C40547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0CC85F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58" w:type="pct"/>
                  <w:tcBorders>
                    <w:tl2br w:val="nil"/>
                    <w:tr2bl w:val="nil"/>
                  </w:tcBorders>
                  <w:noWrap w:val="0"/>
                  <w:vAlign w:val="center"/>
                </w:tcPr>
                <w:p w14:paraId="48BC0AC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西厂界</w:t>
                  </w:r>
                </w:p>
              </w:tc>
              <w:tc>
                <w:tcPr>
                  <w:tcW w:w="717" w:type="dxa"/>
                  <w:tcBorders>
                    <w:tl2br w:val="nil"/>
                    <w:tr2bl w:val="nil"/>
                  </w:tcBorders>
                  <w:noWrap w:val="0"/>
                  <w:vAlign w:val="center"/>
                </w:tcPr>
                <w:p w14:paraId="3D392302">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w:t>
                  </w:r>
                </w:p>
              </w:tc>
              <w:tc>
                <w:tcPr>
                  <w:tcW w:w="868" w:type="dxa"/>
                  <w:tcBorders>
                    <w:tl2br w:val="nil"/>
                    <w:tr2bl w:val="nil"/>
                  </w:tcBorders>
                  <w:noWrap w:val="0"/>
                  <w:vAlign w:val="center"/>
                </w:tcPr>
                <w:p w14:paraId="02DAD2DF">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20</w:t>
                  </w:r>
                </w:p>
              </w:tc>
              <w:tc>
                <w:tcPr>
                  <w:tcW w:w="995" w:type="dxa"/>
                  <w:tcBorders>
                    <w:tl2br w:val="nil"/>
                    <w:tr2bl w:val="nil"/>
                  </w:tcBorders>
                  <w:noWrap w:val="0"/>
                  <w:vAlign w:val="center"/>
                </w:tcPr>
                <w:p w14:paraId="29FDDCD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2" w:type="pct"/>
                  <w:vMerge w:val="continue"/>
                  <w:tcBorders>
                    <w:tl2br w:val="nil"/>
                    <w:tr2bl w:val="nil"/>
                  </w:tcBorders>
                  <w:noWrap w:val="0"/>
                  <w:vAlign w:val="center"/>
                </w:tcPr>
                <w:p w14:paraId="796CA37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1149" w:type="dxa"/>
                  <w:tcBorders>
                    <w:tl2br w:val="nil"/>
                    <w:tr2bl w:val="nil"/>
                  </w:tcBorders>
                  <w:noWrap w:val="0"/>
                  <w:vAlign w:val="center"/>
                </w:tcPr>
                <w:p w14:paraId="1F3CD6CF">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47.74</w:t>
                  </w:r>
                </w:p>
              </w:tc>
              <w:tc>
                <w:tcPr>
                  <w:tcW w:w="707" w:type="pct"/>
                  <w:vMerge w:val="continue"/>
                  <w:tcBorders>
                    <w:tl2br w:val="nil"/>
                    <w:tr2bl w:val="nil"/>
                  </w:tcBorders>
                  <w:noWrap w:val="0"/>
                  <w:vAlign w:val="center"/>
                </w:tcPr>
                <w:p w14:paraId="24995876">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p>
              </w:tc>
              <w:tc>
                <w:tcPr>
                  <w:tcW w:w="794" w:type="pct"/>
                  <w:tcBorders>
                    <w:tl2br w:val="nil"/>
                    <w:tr2bl w:val="nil"/>
                  </w:tcBorders>
                  <w:noWrap w:val="0"/>
                  <w:vAlign w:val="center"/>
                </w:tcPr>
                <w:p w14:paraId="640B91D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493CD3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8" w:type="pct"/>
                  <w:tcBorders>
                    <w:tl2br w:val="nil"/>
                    <w:tr2bl w:val="nil"/>
                  </w:tcBorders>
                  <w:noWrap w:val="0"/>
                  <w:vAlign w:val="center"/>
                </w:tcPr>
                <w:p w14:paraId="760989B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北</w:t>
                  </w:r>
                  <w:r>
                    <w:rPr>
                      <w:rFonts w:hint="default" w:ascii="Times New Roman" w:hAnsi="Times New Roman" w:eastAsia="宋体" w:cs="Times New Roman"/>
                      <w:color w:val="auto"/>
                      <w:kern w:val="0"/>
                      <w:sz w:val="21"/>
                      <w:szCs w:val="21"/>
                      <w:lang w:val="en-US" w:eastAsia="zh-CN"/>
                    </w:rPr>
                    <w:t>厂界</w:t>
                  </w:r>
                </w:p>
              </w:tc>
              <w:tc>
                <w:tcPr>
                  <w:tcW w:w="717" w:type="dxa"/>
                  <w:tcBorders>
                    <w:tl2br w:val="nil"/>
                    <w:tr2bl w:val="nil"/>
                  </w:tcBorders>
                  <w:noWrap w:val="0"/>
                  <w:vAlign w:val="center"/>
                </w:tcPr>
                <w:p w14:paraId="43C802D4">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22</w:t>
                  </w:r>
                </w:p>
              </w:tc>
              <w:tc>
                <w:tcPr>
                  <w:tcW w:w="868" w:type="dxa"/>
                  <w:tcBorders>
                    <w:tl2br w:val="nil"/>
                    <w:tr2bl w:val="nil"/>
                  </w:tcBorders>
                  <w:noWrap w:val="0"/>
                  <w:vAlign w:val="center"/>
                </w:tcPr>
                <w:p w14:paraId="5A4B0C9E">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34</w:t>
                  </w:r>
                </w:p>
              </w:tc>
              <w:tc>
                <w:tcPr>
                  <w:tcW w:w="995" w:type="dxa"/>
                  <w:tcBorders>
                    <w:tl2br w:val="nil"/>
                    <w:tr2bl w:val="nil"/>
                  </w:tcBorders>
                  <w:noWrap w:val="0"/>
                  <w:vAlign w:val="center"/>
                </w:tcPr>
                <w:p w14:paraId="135FE257">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2" w:type="pct"/>
                  <w:vMerge w:val="continue"/>
                  <w:tcBorders>
                    <w:tl2br w:val="nil"/>
                    <w:tr2bl w:val="nil"/>
                  </w:tcBorders>
                  <w:noWrap w:val="0"/>
                  <w:vAlign w:val="center"/>
                </w:tcPr>
                <w:p w14:paraId="0732633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1149" w:type="dxa"/>
                  <w:tcBorders>
                    <w:tl2br w:val="nil"/>
                    <w:tr2bl w:val="nil"/>
                  </w:tcBorders>
                  <w:noWrap w:val="0"/>
                  <w:vAlign w:val="center"/>
                </w:tcPr>
                <w:p w14:paraId="242D3D5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51.01</w:t>
                  </w:r>
                </w:p>
              </w:tc>
              <w:tc>
                <w:tcPr>
                  <w:tcW w:w="707" w:type="pct"/>
                  <w:vMerge w:val="continue"/>
                  <w:tcBorders>
                    <w:tl2br w:val="nil"/>
                    <w:tr2bl w:val="nil"/>
                  </w:tcBorders>
                  <w:noWrap w:val="0"/>
                  <w:vAlign w:val="center"/>
                </w:tcPr>
                <w:p w14:paraId="07C2217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p>
              </w:tc>
              <w:tc>
                <w:tcPr>
                  <w:tcW w:w="794" w:type="pct"/>
                  <w:tcBorders>
                    <w:tl2br w:val="nil"/>
                    <w:tr2bl w:val="nil"/>
                  </w:tcBorders>
                  <w:noWrap w:val="0"/>
                  <w:vAlign w:val="center"/>
                </w:tcPr>
                <w:p w14:paraId="4516C39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bl>
          <w:p w14:paraId="47D65622">
            <w:pPr>
              <w:keepNext w:val="0"/>
              <w:keepLines w:val="0"/>
              <w:pageBreakBefore w:val="0"/>
              <w:widowControl w:val="0"/>
              <w:kinsoku/>
              <w:wordWrap/>
              <w:overflowPunct/>
              <w:topLinePunct w:val="0"/>
              <w:bidi w:val="0"/>
              <w:snapToGrid/>
              <w:spacing w:line="500" w:lineRule="exact"/>
              <w:ind w:firstLine="480" w:firstLineChars="200"/>
              <w:textAlignment w:val="auto"/>
              <w:rPr>
                <w:snapToGrid w:val="0"/>
                <w:color w:val="auto"/>
                <w:sz w:val="24"/>
              </w:rPr>
            </w:pPr>
            <w:r>
              <w:rPr>
                <w:rFonts w:hint="eastAsia"/>
                <w:snapToGrid w:val="0"/>
                <w:color w:val="auto"/>
                <w:sz w:val="24"/>
              </w:rPr>
              <w:t>由</w:t>
            </w:r>
            <w:r>
              <w:rPr>
                <w:snapToGrid w:val="0"/>
                <w:color w:val="auto"/>
                <w:sz w:val="24"/>
              </w:rPr>
              <w:t>上表预测结果</w:t>
            </w:r>
            <w:r>
              <w:rPr>
                <w:rFonts w:hint="eastAsia"/>
                <w:snapToGrid w:val="0"/>
                <w:color w:val="auto"/>
                <w:sz w:val="24"/>
              </w:rPr>
              <w:t>可知，本</w:t>
            </w:r>
            <w:r>
              <w:rPr>
                <w:snapToGrid w:val="0"/>
                <w:color w:val="auto"/>
                <w:sz w:val="24"/>
              </w:rPr>
              <w:t>项目厂界四周</w:t>
            </w:r>
            <w:r>
              <w:rPr>
                <w:rFonts w:hint="eastAsia"/>
                <w:snapToGrid w:val="0"/>
                <w:color w:val="auto"/>
                <w:sz w:val="24"/>
              </w:rPr>
              <w:t>昼间噪声</w:t>
            </w:r>
            <w:r>
              <w:rPr>
                <w:snapToGrid w:val="0"/>
                <w:color w:val="auto"/>
                <w:sz w:val="24"/>
              </w:rPr>
              <w:t>能够满足</w:t>
            </w:r>
            <w:r>
              <w:rPr>
                <w:rFonts w:hint="eastAsia"/>
                <w:color w:val="auto"/>
                <w:sz w:val="24"/>
              </w:rPr>
              <w:t>《工业企业厂界环境噪声排放标准》（GB12348-2008）中的</w:t>
            </w:r>
            <w:r>
              <w:rPr>
                <w:rFonts w:hint="eastAsia"/>
                <w:color w:val="auto"/>
                <w:sz w:val="24"/>
                <w:lang w:val="en-US" w:eastAsia="zh-CN"/>
              </w:rPr>
              <w:t>3</w:t>
            </w:r>
            <w:r>
              <w:rPr>
                <w:rFonts w:hint="eastAsia"/>
                <w:color w:val="auto"/>
                <w:sz w:val="24"/>
              </w:rPr>
              <w:t>类标准</w:t>
            </w:r>
            <w:r>
              <w:rPr>
                <w:snapToGrid w:val="0"/>
                <w:color w:val="auto"/>
                <w:sz w:val="24"/>
              </w:rPr>
              <w:t>要求</w:t>
            </w:r>
            <w:r>
              <w:rPr>
                <w:rFonts w:hint="eastAsia"/>
                <w:snapToGrid w:val="0"/>
                <w:color w:val="auto"/>
                <w:sz w:val="24"/>
              </w:rPr>
              <w:t>，</w:t>
            </w:r>
            <w:r>
              <w:rPr>
                <w:snapToGrid w:val="0"/>
                <w:color w:val="auto"/>
                <w:sz w:val="24"/>
              </w:rPr>
              <w:t>因此</w:t>
            </w:r>
            <w:r>
              <w:rPr>
                <w:rFonts w:hint="eastAsia"/>
                <w:snapToGrid w:val="0"/>
                <w:color w:val="auto"/>
                <w:sz w:val="24"/>
              </w:rPr>
              <w:t>，</w:t>
            </w:r>
            <w:r>
              <w:rPr>
                <w:snapToGrid w:val="0"/>
                <w:color w:val="auto"/>
                <w:sz w:val="24"/>
              </w:rPr>
              <w:t>本项目对周围声环境影响不大。</w:t>
            </w:r>
          </w:p>
          <w:p w14:paraId="16832BBE">
            <w:pPr>
              <w:pStyle w:val="19"/>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val="0"/>
                <w:color w:val="auto"/>
              </w:rPr>
            </w:pPr>
            <w:r>
              <w:rPr>
                <w:rFonts w:hint="eastAsia" w:ascii="Times New Roman" w:hAnsi="Times New Roman" w:cs="Times New Roman"/>
                <w:b w:val="0"/>
                <w:bCs w:val="0"/>
                <w:color w:val="auto"/>
                <w:lang w:val="en-US" w:eastAsia="zh-CN"/>
              </w:rPr>
              <w:t>3</w:t>
            </w:r>
            <w:r>
              <w:rPr>
                <w:rFonts w:ascii="Times New Roman" w:hAnsi="Times New Roman" w:cs="Times New Roman"/>
                <w:b w:val="0"/>
                <w:bCs w:val="0"/>
                <w:color w:val="auto"/>
              </w:rPr>
              <w:t>、</w:t>
            </w:r>
            <w:r>
              <w:rPr>
                <w:rFonts w:hint="eastAsia" w:ascii="Times New Roman" w:hAnsi="Times New Roman" w:cs="Times New Roman"/>
                <w:b w:val="0"/>
                <w:bCs w:val="0"/>
                <w:color w:val="auto"/>
              </w:rPr>
              <w:t>噪声</w:t>
            </w:r>
            <w:r>
              <w:rPr>
                <w:rFonts w:ascii="Times New Roman" w:hAnsi="Times New Roman" w:cs="Times New Roman"/>
                <w:b w:val="0"/>
                <w:bCs w:val="0"/>
                <w:color w:val="auto"/>
              </w:rPr>
              <w:t>监测要求</w:t>
            </w:r>
          </w:p>
          <w:p w14:paraId="383A4569">
            <w:pPr>
              <w:pStyle w:val="19"/>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color w:val="auto"/>
              </w:rPr>
            </w:pPr>
            <w:r>
              <w:rPr>
                <w:rFonts w:hint="eastAsia"/>
                <w:b w:val="0"/>
                <w:bCs/>
                <w:color w:val="auto"/>
              </w:rPr>
              <w:t>根据</w:t>
            </w:r>
            <w:r>
              <w:rPr>
                <w:rFonts w:hint="eastAsia" w:ascii="Times New Roman" w:hAnsi="Times New Roman"/>
                <w:b w:val="0"/>
                <w:bCs/>
                <w:color w:val="auto"/>
              </w:rPr>
              <w:t>《排污单位自行监测技术指南》（总则）</w:t>
            </w:r>
            <w:r>
              <w:rPr>
                <w:rFonts w:ascii="Times New Roman" w:hAnsi="Times New Roman" w:cs="Times New Roman"/>
                <w:b w:val="0"/>
                <w:bCs/>
                <w:color w:val="auto"/>
              </w:rPr>
              <w:t>中相</w:t>
            </w:r>
            <w:r>
              <w:rPr>
                <w:rFonts w:hint="eastAsia"/>
                <w:b w:val="0"/>
                <w:bCs/>
                <w:color w:val="auto"/>
              </w:rPr>
              <w:t>关规定，本项目营运期噪声应进行常规自行监测，噪声监测要求如</w:t>
            </w:r>
            <w:r>
              <w:rPr>
                <w:rFonts w:ascii="Times New Roman" w:hAnsi="Times New Roman" w:cs="Times New Roman"/>
                <w:b w:val="0"/>
                <w:bCs/>
                <w:color w:val="auto"/>
              </w:rPr>
              <w:t>下表。</w:t>
            </w:r>
          </w:p>
          <w:p w14:paraId="62731428">
            <w:pPr>
              <w:pStyle w:val="18"/>
              <w:spacing w:after="0" w:line="240" w:lineRule="auto"/>
              <w:ind w:left="0" w:leftChars="0" w:firstLine="0" w:firstLineChars="0"/>
              <w:jc w:val="center"/>
              <w:rPr>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9 </w:t>
            </w:r>
            <w:r>
              <w:rPr>
                <w:rFonts w:hint="eastAsia"/>
                <w:b/>
                <w:bCs/>
                <w:color w:val="auto"/>
                <w:sz w:val="21"/>
                <w:szCs w:val="21"/>
              </w:rPr>
              <w:t>项目噪声监测要求一览表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77"/>
              <w:gridCol w:w="1845"/>
              <w:gridCol w:w="1695"/>
              <w:gridCol w:w="2349"/>
            </w:tblGrid>
            <w:tr w14:paraId="64C07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738" w:type="dxa"/>
                  <w:noWrap w:val="0"/>
                  <w:vAlign w:val="center"/>
                </w:tcPr>
                <w:p w14:paraId="4153A2CB">
                  <w:pPr>
                    <w:pStyle w:val="18"/>
                    <w:spacing w:after="0"/>
                    <w:ind w:left="0" w:leftChars="0" w:firstLine="0" w:firstLineChars="0"/>
                    <w:jc w:val="center"/>
                    <w:rPr>
                      <w:color w:val="auto"/>
                      <w:sz w:val="21"/>
                      <w:szCs w:val="21"/>
                    </w:rPr>
                  </w:pPr>
                  <w:r>
                    <w:rPr>
                      <w:rFonts w:hint="eastAsia"/>
                      <w:color w:val="auto"/>
                      <w:sz w:val="21"/>
                      <w:szCs w:val="21"/>
                    </w:rPr>
                    <w:t>序号</w:t>
                  </w:r>
                </w:p>
              </w:tc>
              <w:tc>
                <w:tcPr>
                  <w:tcW w:w="1377" w:type="dxa"/>
                  <w:noWrap w:val="0"/>
                  <w:vAlign w:val="center"/>
                </w:tcPr>
                <w:p w14:paraId="18CFEC3C">
                  <w:pPr>
                    <w:pStyle w:val="18"/>
                    <w:spacing w:after="0"/>
                    <w:ind w:left="0" w:leftChars="0" w:firstLine="0" w:firstLineChars="0"/>
                    <w:jc w:val="center"/>
                    <w:rPr>
                      <w:color w:val="auto"/>
                      <w:sz w:val="21"/>
                      <w:szCs w:val="21"/>
                    </w:rPr>
                  </w:pPr>
                  <w:r>
                    <w:rPr>
                      <w:rFonts w:hint="eastAsia"/>
                      <w:color w:val="auto"/>
                      <w:sz w:val="21"/>
                      <w:szCs w:val="21"/>
                    </w:rPr>
                    <w:t>监测点位</w:t>
                  </w:r>
                </w:p>
              </w:tc>
              <w:tc>
                <w:tcPr>
                  <w:tcW w:w="1845" w:type="dxa"/>
                  <w:noWrap w:val="0"/>
                  <w:vAlign w:val="center"/>
                </w:tcPr>
                <w:p w14:paraId="012B8EDC">
                  <w:pPr>
                    <w:pStyle w:val="18"/>
                    <w:spacing w:after="0"/>
                    <w:ind w:left="0" w:leftChars="0" w:firstLine="0" w:firstLineChars="0"/>
                    <w:jc w:val="center"/>
                    <w:rPr>
                      <w:color w:val="auto"/>
                      <w:sz w:val="21"/>
                      <w:szCs w:val="21"/>
                    </w:rPr>
                  </w:pPr>
                  <w:r>
                    <w:rPr>
                      <w:rFonts w:hint="eastAsia"/>
                      <w:color w:val="auto"/>
                      <w:sz w:val="21"/>
                      <w:szCs w:val="21"/>
                    </w:rPr>
                    <w:t>监测因子</w:t>
                  </w:r>
                </w:p>
              </w:tc>
              <w:tc>
                <w:tcPr>
                  <w:tcW w:w="1695" w:type="dxa"/>
                  <w:noWrap w:val="0"/>
                  <w:vAlign w:val="center"/>
                </w:tcPr>
                <w:p w14:paraId="7EE536CA">
                  <w:pPr>
                    <w:pStyle w:val="18"/>
                    <w:spacing w:after="0"/>
                    <w:ind w:left="0" w:leftChars="0" w:firstLine="0" w:firstLineChars="0"/>
                    <w:jc w:val="center"/>
                    <w:rPr>
                      <w:color w:val="auto"/>
                      <w:sz w:val="21"/>
                      <w:szCs w:val="21"/>
                    </w:rPr>
                  </w:pPr>
                  <w:r>
                    <w:rPr>
                      <w:rFonts w:hint="eastAsia"/>
                      <w:color w:val="auto"/>
                      <w:sz w:val="21"/>
                      <w:szCs w:val="21"/>
                    </w:rPr>
                    <w:t>监测频次</w:t>
                  </w:r>
                </w:p>
              </w:tc>
              <w:tc>
                <w:tcPr>
                  <w:tcW w:w="2349" w:type="dxa"/>
                  <w:noWrap w:val="0"/>
                  <w:vAlign w:val="center"/>
                </w:tcPr>
                <w:p w14:paraId="00C633C9">
                  <w:pPr>
                    <w:pStyle w:val="18"/>
                    <w:spacing w:after="0"/>
                    <w:ind w:left="0" w:leftChars="0" w:firstLine="0" w:firstLineChars="0"/>
                    <w:jc w:val="center"/>
                    <w:rPr>
                      <w:color w:val="auto"/>
                      <w:sz w:val="21"/>
                      <w:szCs w:val="21"/>
                    </w:rPr>
                  </w:pPr>
                  <w:r>
                    <w:rPr>
                      <w:rFonts w:hint="eastAsia"/>
                      <w:color w:val="auto"/>
                      <w:sz w:val="21"/>
                      <w:szCs w:val="21"/>
                    </w:rPr>
                    <w:t>执行标准</w:t>
                  </w:r>
                </w:p>
              </w:tc>
            </w:tr>
            <w:tr w14:paraId="69881C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8" w:type="dxa"/>
                  <w:noWrap w:val="0"/>
                  <w:vAlign w:val="center"/>
                </w:tcPr>
                <w:p w14:paraId="10F8D064">
                  <w:pPr>
                    <w:pStyle w:val="18"/>
                    <w:spacing w:after="0"/>
                    <w:ind w:left="0" w:leftChars="0" w:firstLine="0" w:firstLineChars="0"/>
                    <w:jc w:val="center"/>
                    <w:rPr>
                      <w:color w:val="auto"/>
                      <w:sz w:val="21"/>
                      <w:szCs w:val="21"/>
                    </w:rPr>
                  </w:pPr>
                  <w:r>
                    <w:rPr>
                      <w:rFonts w:hint="eastAsia"/>
                      <w:color w:val="auto"/>
                      <w:sz w:val="21"/>
                      <w:szCs w:val="21"/>
                    </w:rPr>
                    <w:t>1</w:t>
                  </w:r>
                </w:p>
              </w:tc>
              <w:tc>
                <w:tcPr>
                  <w:tcW w:w="1377" w:type="dxa"/>
                  <w:noWrap w:val="0"/>
                  <w:vAlign w:val="center"/>
                </w:tcPr>
                <w:p w14:paraId="09FEA48C">
                  <w:pPr>
                    <w:pStyle w:val="18"/>
                    <w:spacing w:after="0"/>
                    <w:ind w:left="0" w:leftChars="0" w:firstLine="0" w:firstLineChars="0"/>
                    <w:jc w:val="center"/>
                    <w:rPr>
                      <w:color w:val="auto"/>
                      <w:sz w:val="21"/>
                      <w:szCs w:val="21"/>
                    </w:rPr>
                  </w:pPr>
                  <w:r>
                    <w:rPr>
                      <w:rFonts w:hint="eastAsia"/>
                      <w:color w:val="auto"/>
                      <w:sz w:val="21"/>
                      <w:szCs w:val="21"/>
                    </w:rPr>
                    <w:t>四周厂界</w:t>
                  </w:r>
                </w:p>
              </w:tc>
              <w:tc>
                <w:tcPr>
                  <w:tcW w:w="1845" w:type="dxa"/>
                  <w:noWrap w:val="0"/>
                  <w:vAlign w:val="center"/>
                </w:tcPr>
                <w:p w14:paraId="044FA330">
                  <w:pPr>
                    <w:jc w:val="center"/>
                    <w:rPr>
                      <w:color w:val="auto"/>
                      <w:szCs w:val="21"/>
                    </w:rPr>
                  </w:pPr>
                  <w:r>
                    <w:rPr>
                      <w:color w:val="auto"/>
                      <w:szCs w:val="21"/>
                    </w:rPr>
                    <w:t>等效连续A声级</w:t>
                  </w:r>
                </w:p>
              </w:tc>
              <w:tc>
                <w:tcPr>
                  <w:tcW w:w="1695" w:type="dxa"/>
                  <w:noWrap w:val="0"/>
                  <w:vAlign w:val="center"/>
                </w:tcPr>
                <w:p w14:paraId="75E61270">
                  <w:pPr>
                    <w:jc w:val="center"/>
                    <w:rPr>
                      <w:color w:val="auto"/>
                      <w:szCs w:val="21"/>
                    </w:rPr>
                  </w:pPr>
                  <w:r>
                    <w:rPr>
                      <w:color w:val="auto"/>
                      <w:szCs w:val="21"/>
                    </w:rPr>
                    <w:t>1次/季度</w:t>
                  </w:r>
                </w:p>
              </w:tc>
              <w:tc>
                <w:tcPr>
                  <w:tcW w:w="2349" w:type="dxa"/>
                  <w:noWrap w:val="0"/>
                  <w:vAlign w:val="center"/>
                </w:tcPr>
                <w:p w14:paraId="3F292888">
                  <w:pPr>
                    <w:jc w:val="center"/>
                    <w:rPr>
                      <w:color w:val="auto"/>
                      <w:szCs w:val="21"/>
                    </w:rPr>
                  </w:pPr>
                  <w:r>
                    <w:rPr>
                      <w:color w:val="auto"/>
                      <w:szCs w:val="21"/>
                    </w:rPr>
                    <w:t>GB12348-2008</w:t>
                  </w:r>
                </w:p>
              </w:tc>
            </w:tr>
          </w:tbl>
          <w:p w14:paraId="6631BC2F">
            <w:pPr>
              <w:pStyle w:val="19"/>
              <w:keepNext w:val="0"/>
              <w:keepLines w:val="0"/>
              <w:pageBreakBefore w:val="0"/>
              <w:widowControl w:val="0"/>
              <w:kinsoku/>
              <w:wordWrap/>
              <w:overflowPunct/>
              <w:topLinePunct w:val="0"/>
              <w:bidi w:val="0"/>
              <w:spacing w:line="360" w:lineRule="auto"/>
              <w:textAlignment w:val="auto"/>
              <w:rPr>
                <w:color w:val="auto"/>
              </w:rPr>
            </w:pPr>
            <w:r>
              <w:rPr>
                <w:rFonts w:hint="eastAsia" w:hAnsi="宋体"/>
                <w:bCs/>
                <w:color w:val="auto"/>
                <w:spacing w:val="-10"/>
                <w:szCs w:val="21"/>
              </w:rPr>
              <w:t>四、固体废物</w:t>
            </w:r>
          </w:p>
          <w:p w14:paraId="3E17FCF4">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eastAsia="宋体"/>
                <w:b w:val="0"/>
                <w:bCs w:val="0"/>
                <w:color w:val="auto"/>
                <w:lang w:val="en-US" w:eastAsia="zh-CN"/>
              </w:rPr>
            </w:pPr>
            <w:r>
              <w:rPr>
                <w:rFonts w:hint="eastAsia"/>
                <w:b w:val="0"/>
                <w:bCs w:val="0"/>
                <w:color w:val="auto"/>
                <w:lang w:val="en-US" w:eastAsia="zh-CN"/>
              </w:rPr>
              <w:t>1、固体废物污染源强分析</w:t>
            </w:r>
          </w:p>
          <w:p w14:paraId="149EF803">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auto"/>
              </w:rPr>
            </w:pPr>
            <w:r>
              <w:rPr>
                <w:rFonts w:hint="eastAsia"/>
                <w:color w:val="auto"/>
              </w:rPr>
              <w:t>本项目运营期产生的固体废物主要为</w:t>
            </w:r>
            <w:r>
              <w:rPr>
                <w:rFonts w:hint="eastAsia"/>
                <w:color w:val="auto"/>
                <w:lang w:val="en-US" w:eastAsia="zh-CN"/>
              </w:rPr>
              <w:t>废包装袋、边角料、收集粉尘、</w:t>
            </w:r>
            <w:r>
              <w:rPr>
                <w:rFonts w:hint="eastAsia"/>
                <w:color w:val="auto"/>
              </w:rPr>
              <w:t>废活性炭</w:t>
            </w:r>
            <w:r>
              <w:rPr>
                <w:rFonts w:hint="eastAsia"/>
                <w:color w:val="auto"/>
                <w:lang w:val="en-US" w:eastAsia="zh-CN"/>
              </w:rPr>
              <w:t>、废液压油、废包装桶、废劳保用品、</w:t>
            </w:r>
            <w:r>
              <w:rPr>
                <w:rFonts w:hint="eastAsia"/>
                <w:color w:val="auto"/>
              </w:rPr>
              <w:t>生活垃圾。</w:t>
            </w:r>
          </w:p>
          <w:p w14:paraId="0B193A91">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b w:val="0"/>
                <w:bCs/>
                <w:color w:val="auto"/>
                <w:sz w:val="24"/>
                <w:shd w:val="clear" w:color="auto" w:fill="auto"/>
                <w:lang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1</w:t>
            </w:r>
            <w:r>
              <w:rPr>
                <w:rFonts w:hint="eastAsia" w:ascii="Times New Roman" w:hAnsi="Times New Roman"/>
                <w:b w:val="0"/>
                <w:bCs/>
                <w:color w:val="auto"/>
                <w:sz w:val="24"/>
                <w:shd w:val="clear" w:color="auto" w:fill="auto"/>
              </w:rPr>
              <w:t>）废包装袋</w:t>
            </w:r>
          </w:p>
          <w:p w14:paraId="2E044FE5">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color w:val="auto"/>
                <w:kern w:val="0"/>
                <w:sz w:val="24"/>
                <w:szCs w:val="20"/>
                <w:shd w:val="clear" w:color="auto" w:fill="auto"/>
                <w:lang w:val="en-US" w:eastAsia="zh-CN" w:bidi="ar-SA"/>
              </w:rPr>
            </w:pPr>
            <w:r>
              <w:rPr>
                <w:rFonts w:hint="eastAsia" w:cs="Times New Roman"/>
                <w:color w:val="auto"/>
                <w:kern w:val="0"/>
                <w:sz w:val="24"/>
                <w:szCs w:val="20"/>
                <w:shd w:val="clear" w:color="auto" w:fill="auto"/>
                <w:lang w:val="en-US" w:eastAsia="zh-CN" w:bidi="ar-SA"/>
              </w:rPr>
              <w:t>本项目主要原辅料PP、PE</w:t>
            </w:r>
            <w:r>
              <w:rPr>
                <w:rFonts w:hint="eastAsia" w:ascii="Times New Roman" w:hAnsi="Times New Roman" w:eastAsia="宋体" w:cs="Times New Roman"/>
                <w:color w:val="auto"/>
                <w:kern w:val="0"/>
                <w:sz w:val="24"/>
                <w:szCs w:val="20"/>
                <w:shd w:val="clear" w:color="auto" w:fill="auto"/>
                <w:lang w:val="en-US" w:eastAsia="zh-CN" w:bidi="ar-SA"/>
              </w:rPr>
              <w:t>、色母</w:t>
            </w:r>
            <w:r>
              <w:rPr>
                <w:rFonts w:hint="eastAsia" w:cs="Times New Roman"/>
                <w:color w:val="auto"/>
                <w:kern w:val="0"/>
                <w:sz w:val="24"/>
                <w:szCs w:val="20"/>
                <w:shd w:val="clear" w:color="auto" w:fill="auto"/>
                <w:lang w:val="en-US" w:eastAsia="zh-CN" w:bidi="ar-SA"/>
              </w:rPr>
              <w:t>均为袋装，</w:t>
            </w:r>
            <w:r>
              <w:rPr>
                <w:rFonts w:hint="eastAsia" w:ascii="Times New Roman" w:hAnsi="Times New Roman" w:eastAsia="宋体" w:cs="Times New Roman"/>
                <w:color w:val="auto"/>
                <w:kern w:val="0"/>
                <w:sz w:val="24"/>
                <w:szCs w:val="20"/>
                <w:shd w:val="clear" w:color="auto" w:fill="auto"/>
                <w:lang w:val="en-US" w:eastAsia="zh-CN" w:bidi="ar-SA"/>
              </w:rPr>
              <w:t>原辅材料使用后产生的废包装袋，主要成分为塑料等，</w:t>
            </w:r>
            <w:r>
              <w:rPr>
                <w:rFonts w:hint="eastAsia" w:cs="Times New Roman"/>
                <w:color w:val="auto"/>
                <w:kern w:val="0"/>
                <w:sz w:val="24"/>
                <w:szCs w:val="20"/>
                <w:shd w:val="clear" w:color="auto" w:fill="auto"/>
                <w:lang w:val="en-US" w:eastAsia="zh-CN" w:bidi="ar-SA"/>
              </w:rPr>
              <w:t>PP</w:t>
            </w:r>
            <w:r>
              <w:rPr>
                <w:rFonts w:hint="eastAsia" w:ascii="Times New Roman" w:hAnsi="Times New Roman" w:eastAsia="宋体" w:cs="Times New Roman"/>
                <w:color w:val="auto"/>
                <w:kern w:val="0"/>
                <w:sz w:val="24"/>
                <w:szCs w:val="20"/>
                <w:shd w:val="clear" w:color="auto" w:fill="auto"/>
                <w:lang w:val="en-US" w:eastAsia="zh-CN" w:bidi="ar-SA"/>
              </w:rPr>
              <w:t>、</w:t>
            </w:r>
            <w:r>
              <w:rPr>
                <w:rFonts w:hint="eastAsia" w:cs="Times New Roman"/>
                <w:color w:val="auto"/>
                <w:kern w:val="0"/>
                <w:sz w:val="24"/>
                <w:szCs w:val="20"/>
                <w:shd w:val="clear" w:color="auto" w:fill="auto"/>
                <w:lang w:val="en-US" w:eastAsia="zh-CN" w:bidi="ar-SA"/>
              </w:rPr>
              <w:t>PE</w:t>
            </w:r>
            <w:r>
              <w:rPr>
                <w:rFonts w:hint="eastAsia" w:ascii="Times New Roman" w:hAnsi="Times New Roman" w:eastAsia="宋体" w:cs="Times New Roman"/>
                <w:color w:val="auto"/>
                <w:kern w:val="0"/>
                <w:sz w:val="24"/>
                <w:szCs w:val="20"/>
                <w:shd w:val="clear" w:color="auto" w:fill="auto"/>
                <w:lang w:val="en-US" w:eastAsia="zh-CN" w:bidi="ar-SA"/>
              </w:rPr>
              <w:t>、色母包装规格分别为200kg/袋、200kg/袋、50kg/袋，则废包装</w:t>
            </w:r>
            <w:r>
              <w:rPr>
                <w:rFonts w:hint="eastAsia" w:cs="Times New Roman"/>
                <w:color w:val="auto"/>
                <w:kern w:val="0"/>
                <w:sz w:val="24"/>
                <w:szCs w:val="20"/>
                <w:shd w:val="clear" w:color="auto" w:fill="auto"/>
                <w:lang w:val="en-US" w:eastAsia="zh-CN" w:bidi="ar-SA"/>
              </w:rPr>
              <w:t>（PP、PE、色母包装）</w:t>
            </w:r>
            <w:r>
              <w:rPr>
                <w:rFonts w:hint="eastAsia" w:ascii="Times New Roman" w:hAnsi="Times New Roman" w:eastAsia="宋体" w:cs="Times New Roman"/>
                <w:color w:val="auto"/>
                <w:kern w:val="0"/>
                <w:sz w:val="24"/>
                <w:szCs w:val="20"/>
                <w:shd w:val="clear" w:color="auto" w:fill="auto"/>
                <w:lang w:val="en-US" w:eastAsia="zh-CN" w:bidi="ar-SA"/>
              </w:rPr>
              <w:t>袋年产生</w:t>
            </w:r>
            <w:r>
              <w:rPr>
                <w:rFonts w:hint="eastAsia" w:cs="Times New Roman"/>
                <w:color w:val="auto"/>
                <w:kern w:val="0"/>
                <w:sz w:val="24"/>
                <w:szCs w:val="20"/>
                <w:shd w:val="clear" w:color="auto" w:fill="auto"/>
                <w:lang w:val="en-US" w:eastAsia="zh-CN" w:bidi="ar-SA"/>
              </w:rPr>
              <w:t>数</w:t>
            </w:r>
            <w:r>
              <w:rPr>
                <w:rFonts w:hint="eastAsia" w:ascii="Times New Roman" w:hAnsi="Times New Roman" w:eastAsia="宋体" w:cs="Times New Roman"/>
                <w:color w:val="auto"/>
                <w:kern w:val="0"/>
                <w:sz w:val="24"/>
                <w:szCs w:val="20"/>
                <w:shd w:val="clear" w:color="auto" w:fill="auto"/>
                <w:lang w:val="en-US" w:eastAsia="zh-CN" w:bidi="ar-SA"/>
              </w:rPr>
              <w:t>量约</w:t>
            </w:r>
            <w:r>
              <w:rPr>
                <w:rFonts w:hint="eastAsia" w:cs="Times New Roman"/>
                <w:color w:val="auto"/>
                <w:kern w:val="0"/>
                <w:sz w:val="24"/>
                <w:szCs w:val="20"/>
                <w:shd w:val="clear" w:color="auto" w:fill="auto"/>
                <w:lang w:val="en-US" w:eastAsia="zh-CN" w:bidi="ar-SA"/>
              </w:rPr>
              <w:t>936</w:t>
            </w:r>
            <w:r>
              <w:rPr>
                <w:rFonts w:hint="eastAsia" w:ascii="Times New Roman" w:hAnsi="Times New Roman" w:eastAsia="宋体" w:cs="Times New Roman"/>
                <w:color w:val="auto"/>
                <w:kern w:val="0"/>
                <w:sz w:val="24"/>
                <w:szCs w:val="20"/>
                <w:shd w:val="clear" w:color="auto" w:fill="auto"/>
                <w:lang w:val="en-US" w:eastAsia="zh-CN" w:bidi="ar-SA"/>
              </w:rPr>
              <w:t>个（单个约0.</w:t>
            </w:r>
            <w:r>
              <w:rPr>
                <w:rFonts w:hint="eastAsia" w:cs="Times New Roman"/>
                <w:color w:val="auto"/>
                <w:kern w:val="0"/>
                <w:sz w:val="24"/>
                <w:szCs w:val="20"/>
                <w:shd w:val="clear" w:color="auto" w:fill="auto"/>
                <w:lang w:val="en-US" w:eastAsia="zh-CN" w:bidi="ar-SA"/>
              </w:rPr>
              <w:t>2</w:t>
            </w:r>
            <w:r>
              <w:rPr>
                <w:rFonts w:hint="eastAsia" w:ascii="Times New Roman" w:hAnsi="Times New Roman" w:eastAsia="宋体" w:cs="Times New Roman"/>
                <w:color w:val="auto"/>
                <w:kern w:val="0"/>
                <w:sz w:val="24"/>
                <w:szCs w:val="20"/>
                <w:shd w:val="clear" w:color="auto" w:fill="auto"/>
                <w:lang w:val="en-US" w:eastAsia="zh-CN" w:bidi="ar-SA"/>
              </w:rPr>
              <w:t>kg），则废包装袋年产生量约</w:t>
            </w:r>
            <w:r>
              <w:rPr>
                <w:rFonts w:hint="eastAsia" w:cs="Times New Roman"/>
                <w:color w:val="auto"/>
                <w:kern w:val="0"/>
                <w:sz w:val="24"/>
                <w:szCs w:val="20"/>
                <w:shd w:val="clear" w:color="auto" w:fill="auto"/>
                <w:lang w:val="en-US" w:eastAsia="zh-CN" w:bidi="ar-SA"/>
              </w:rPr>
              <w:t>0.187</w:t>
            </w:r>
            <w:r>
              <w:rPr>
                <w:rFonts w:hint="eastAsia" w:ascii="Times New Roman" w:hAnsi="Times New Roman" w:eastAsia="宋体" w:cs="Times New Roman"/>
                <w:color w:val="auto"/>
                <w:kern w:val="0"/>
                <w:sz w:val="24"/>
                <w:szCs w:val="20"/>
                <w:shd w:val="clear" w:color="auto" w:fill="auto"/>
                <w:lang w:val="en-US" w:eastAsia="zh-CN" w:bidi="ar-SA"/>
              </w:rPr>
              <w:t>t/a，收集后统一外售给相关单位综合利用。</w:t>
            </w:r>
          </w:p>
          <w:p w14:paraId="2EF2E7A0">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default" w:ascii="Times New Roman" w:hAnsi="Times New Roman" w:eastAsia="宋体"/>
                <w:b w:val="0"/>
                <w:bCs/>
                <w:color w:val="auto"/>
                <w:sz w:val="24"/>
                <w:shd w:val="clear" w:color="auto" w:fill="auto"/>
                <w:lang w:val="en-US"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2</w:t>
            </w: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边角料</w:t>
            </w:r>
          </w:p>
          <w:p w14:paraId="1A6F4C7A">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b w:val="0"/>
                <w:color w:val="auto"/>
                <w:kern w:val="0"/>
                <w:sz w:val="24"/>
                <w:szCs w:val="20"/>
                <w:shd w:val="clear" w:color="auto" w:fill="auto"/>
                <w:lang w:val="en-US" w:eastAsia="zh-CN" w:bidi="ar-SA"/>
              </w:rPr>
            </w:pPr>
            <w:r>
              <w:rPr>
                <w:rFonts w:hint="eastAsia" w:ascii="Times New Roman" w:hAnsi="Times New Roman" w:cs="Times New Roman"/>
                <w:b w:val="0"/>
                <w:color w:val="auto"/>
                <w:kern w:val="0"/>
                <w:sz w:val="24"/>
                <w:szCs w:val="20"/>
                <w:shd w:val="clear" w:color="auto" w:fill="auto"/>
                <w:lang w:val="en-US" w:eastAsia="zh-CN" w:bidi="ar-SA"/>
              </w:rPr>
              <w:t>本项目切割、打孔过程会产生少量边角料，参考</w:t>
            </w:r>
            <w:r>
              <w:rPr>
                <w:rFonts w:hint="eastAsia" w:ascii="Times New Roman" w:hAnsi="Times New Roman" w:cs="Times New Roman"/>
                <w:b w:val="0"/>
                <w:bCs/>
                <w:color w:val="auto"/>
                <w:kern w:val="0"/>
                <w:sz w:val="24"/>
                <w:szCs w:val="20"/>
                <w:shd w:val="clear" w:color="auto" w:fill="auto"/>
                <w:lang w:val="en-US" w:eastAsia="zh-CN" w:bidi="ar-SA"/>
              </w:rPr>
              <w:t>《涟水县明飞塑料制品厂五金工具手柄制造项目竣工环境保护验收监测报告表》（2019年12月），本项目</w:t>
            </w:r>
            <w:r>
              <w:rPr>
                <w:rFonts w:hint="eastAsia" w:ascii="Times New Roman" w:hAnsi="Times New Roman" w:eastAsia="宋体" w:cs="Times New Roman"/>
                <w:b w:val="0"/>
                <w:color w:val="auto"/>
                <w:kern w:val="0"/>
                <w:sz w:val="24"/>
                <w:szCs w:val="20"/>
                <w:shd w:val="clear" w:color="auto" w:fill="auto"/>
                <w:lang w:val="en-US" w:eastAsia="zh-CN" w:bidi="ar-SA"/>
              </w:rPr>
              <w:t>边角料产生量</w:t>
            </w:r>
            <w:r>
              <w:rPr>
                <w:rFonts w:hint="eastAsia" w:ascii="Times New Roman" w:hAnsi="Times New Roman" w:cs="Times New Roman"/>
                <w:b w:val="0"/>
                <w:color w:val="auto"/>
                <w:kern w:val="0"/>
                <w:sz w:val="24"/>
                <w:szCs w:val="20"/>
                <w:shd w:val="clear" w:color="auto" w:fill="auto"/>
                <w:lang w:val="en-US" w:eastAsia="zh-CN" w:bidi="ar-SA"/>
              </w:rPr>
              <w:t>约</w:t>
            </w:r>
            <w:r>
              <w:rPr>
                <w:rFonts w:hint="eastAsia" w:ascii="Times New Roman" w:hAnsi="Times New Roman" w:eastAsia="宋体" w:cs="Times New Roman"/>
                <w:b w:val="0"/>
                <w:color w:val="auto"/>
                <w:kern w:val="0"/>
                <w:sz w:val="24"/>
                <w:szCs w:val="20"/>
                <w:shd w:val="clear" w:color="auto" w:fill="auto"/>
                <w:lang w:val="en-US" w:eastAsia="zh-CN" w:bidi="ar-SA"/>
              </w:rPr>
              <w:t>为</w:t>
            </w:r>
            <w:r>
              <w:rPr>
                <w:rFonts w:hint="eastAsia" w:ascii="Times New Roman" w:hAnsi="Times New Roman" w:cs="Times New Roman"/>
                <w:b w:val="0"/>
                <w:color w:val="auto"/>
                <w:kern w:val="0"/>
                <w:sz w:val="24"/>
                <w:szCs w:val="20"/>
                <w:shd w:val="clear" w:color="auto" w:fill="auto"/>
                <w:lang w:val="en-US" w:eastAsia="zh-CN" w:bidi="ar-SA"/>
              </w:rPr>
              <w:t>1.8</w:t>
            </w:r>
            <w:r>
              <w:rPr>
                <w:rFonts w:hint="eastAsia" w:ascii="Times New Roman" w:hAnsi="Times New Roman" w:eastAsia="宋体" w:cs="Times New Roman"/>
                <w:b w:val="0"/>
                <w:color w:val="auto"/>
                <w:kern w:val="0"/>
                <w:sz w:val="24"/>
                <w:szCs w:val="20"/>
                <w:shd w:val="clear" w:color="auto" w:fill="auto"/>
                <w:lang w:val="en-US" w:eastAsia="zh-CN" w:bidi="ar-SA"/>
              </w:rPr>
              <w:t>t/a，收集后统一外售给相关单位综合利用。</w:t>
            </w:r>
          </w:p>
          <w:p w14:paraId="3312651F">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default" w:ascii="Times New Roman" w:hAnsi="Times New Roman" w:eastAsia="宋体"/>
                <w:b w:val="0"/>
                <w:bCs/>
                <w:color w:val="auto"/>
                <w:sz w:val="24"/>
                <w:shd w:val="clear" w:color="auto" w:fill="auto"/>
                <w:lang w:val="en-US"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3</w:t>
            </w: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收集粉尘</w:t>
            </w:r>
          </w:p>
          <w:p w14:paraId="7EA8E45B">
            <w:pPr>
              <w:pStyle w:val="7"/>
              <w:keepNext w:val="0"/>
              <w:keepLines w:val="0"/>
              <w:pageBreakBefore w:val="0"/>
              <w:kinsoku/>
              <w:wordWrap/>
              <w:overflowPunct/>
              <w:topLinePunct w:val="0"/>
              <w:bidi w:val="0"/>
              <w:adjustRightInd w:val="0"/>
              <w:snapToGrid w:val="0"/>
              <w:spacing w:before="0" w:after="0" w:line="360" w:lineRule="auto"/>
              <w:ind w:right="0" w:firstLine="480" w:firstLineChars="200"/>
              <w:textAlignment w:val="auto"/>
              <w:rPr>
                <w:rFonts w:hint="eastAsia"/>
                <w:color w:val="auto"/>
                <w:lang w:val="en-US" w:eastAsia="zh-CN"/>
              </w:rPr>
            </w:pPr>
            <w:r>
              <w:rPr>
                <w:rFonts w:hint="eastAsia" w:cs="Times New Roman"/>
                <w:color w:val="auto"/>
                <w:kern w:val="0"/>
                <w:sz w:val="24"/>
                <w:szCs w:val="20"/>
                <w:shd w:val="clear" w:color="auto" w:fill="auto"/>
                <w:lang w:val="en-US" w:eastAsia="zh-CN" w:bidi="ar-SA"/>
              </w:rPr>
              <w:t>本项目产生的切割、打磨粉尘经布袋除尘器处理后产生收集粉尘，经计算，本项目收集粉尘产生量约为1.539t/a，</w:t>
            </w:r>
            <w:r>
              <w:rPr>
                <w:rFonts w:hint="eastAsia" w:ascii="Times New Roman" w:hAnsi="Times New Roman" w:eastAsia="宋体" w:cs="Times New Roman"/>
                <w:color w:val="auto"/>
                <w:kern w:val="0"/>
                <w:sz w:val="24"/>
                <w:szCs w:val="20"/>
                <w:shd w:val="clear" w:color="auto" w:fill="auto"/>
                <w:lang w:val="en-US" w:eastAsia="zh-CN" w:bidi="ar-SA"/>
              </w:rPr>
              <w:t>收集后统一外售给相关单位综合利用。</w:t>
            </w:r>
          </w:p>
          <w:p w14:paraId="575EC1DE">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4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ascii="Times New Roman" w:hAnsi="Times New Roman"/>
                <w:bCs/>
                <w:color w:val="auto"/>
                <w:spacing w:val="-10"/>
                <w:sz w:val="24"/>
                <w:szCs w:val="21"/>
                <w:shd w:val="clear" w:color="auto" w:fill="auto"/>
                <w:lang w:val="en-US" w:eastAsia="zh-CN"/>
              </w:rPr>
              <w:t>（</w:t>
            </w:r>
            <w:r>
              <w:rPr>
                <w:rFonts w:hint="eastAsia"/>
                <w:bCs/>
                <w:color w:val="auto"/>
                <w:spacing w:val="-10"/>
                <w:sz w:val="24"/>
                <w:szCs w:val="21"/>
                <w:shd w:val="clear" w:color="auto" w:fill="auto"/>
                <w:lang w:val="en-US" w:eastAsia="zh-CN"/>
              </w:rPr>
              <w:t>4</w:t>
            </w:r>
            <w:r>
              <w:rPr>
                <w:rFonts w:hint="eastAsia" w:ascii="Times New Roman" w:hAnsi="Times New Roman"/>
                <w:bCs/>
                <w:color w:val="auto"/>
                <w:spacing w:val="-10"/>
                <w:sz w:val="24"/>
                <w:szCs w:val="21"/>
                <w:shd w:val="clear" w:color="auto" w:fill="auto"/>
                <w:lang w:val="en-US" w:eastAsia="zh-CN"/>
              </w:rPr>
              <w:t>）废活性炭</w:t>
            </w:r>
          </w:p>
          <w:p w14:paraId="5F11E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shd w:val="clear" w:color="auto" w:fill="auto"/>
              </w:rPr>
            </w:pPr>
            <w:r>
              <w:rPr>
                <w:rFonts w:hint="eastAsia" w:ascii="Times New Roman" w:hAnsi="Times New Roman"/>
                <w:color w:val="auto"/>
                <w:sz w:val="24"/>
                <w:shd w:val="clear" w:color="auto" w:fill="auto"/>
              </w:rPr>
              <w:t>本项目生产过程中</w:t>
            </w:r>
            <w:r>
              <w:rPr>
                <w:rFonts w:hint="eastAsia"/>
                <w:color w:val="auto"/>
                <w:sz w:val="24"/>
                <w:shd w:val="clear" w:color="auto" w:fill="auto"/>
                <w:lang w:val="en-US" w:eastAsia="zh-CN"/>
              </w:rPr>
              <w:t>拉挤和注塑</w:t>
            </w:r>
            <w:r>
              <w:rPr>
                <w:rFonts w:hint="eastAsia" w:ascii="Times New Roman" w:hAnsi="Times New Roman"/>
                <w:color w:val="auto"/>
                <w:sz w:val="24"/>
                <w:shd w:val="clear" w:color="auto" w:fill="auto"/>
                <w:lang w:val="en-US" w:eastAsia="zh-CN"/>
              </w:rPr>
              <w:t>工序</w:t>
            </w:r>
            <w:r>
              <w:rPr>
                <w:rFonts w:hint="eastAsia" w:ascii="Times New Roman" w:hAnsi="Times New Roman"/>
                <w:color w:val="auto"/>
                <w:sz w:val="24"/>
                <w:shd w:val="clear" w:color="auto" w:fill="auto"/>
              </w:rPr>
              <w:t>产生</w:t>
            </w:r>
            <w:r>
              <w:rPr>
                <w:rFonts w:hint="eastAsia" w:ascii="Times New Roman" w:hAnsi="Times New Roman"/>
                <w:color w:val="auto"/>
                <w:sz w:val="24"/>
                <w:shd w:val="clear" w:color="auto" w:fill="auto"/>
                <w:lang w:val="en-US" w:eastAsia="zh-CN"/>
              </w:rPr>
              <w:t>的非甲烷总烃</w:t>
            </w:r>
            <w:r>
              <w:rPr>
                <w:rFonts w:hint="eastAsia" w:ascii="Times New Roman" w:hAnsi="Times New Roman"/>
                <w:color w:val="auto"/>
                <w:sz w:val="24"/>
                <w:shd w:val="clear" w:color="auto" w:fill="auto"/>
              </w:rPr>
              <w:t>，经收集后采用二级活性炭吸附装置处理，该环节会产生废活性炭。在选择活性炭时，应选择碘值不低于800毫克/克的活性炭。参照</w:t>
            </w:r>
            <w:r>
              <w:rPr>
                <w:rFonts w:ascii="Times New Roman" w:hAnsi="Times New Roman"/>
                <w:color w:val="auto"/>
                <w:sz w:val="24"/>
                <w:shd w:val="clear" w:color="auto" w:fill="auto"/>
              </w:rPr>
              <w:t>《省生态环境厅关于将排污单位活性炭使用更换纳入排污许可管理的通知》（苏环办</w:t>
            </w:r>
            <w:r>
              <w:rPr>
                <w:rFonts w:hint="eastAsia"/>
                <w:color w:val="auto"/>
                <w:sz w:val="24"/>
                <w:shd w:val="clear" w:color="auto" w:fill="auto"/>
                <w:lang w:eastAsia="zh-CN"/>
              </w:rPr>
              <w:t>〔2021〕218号</w:t>
            </w:r>
            <w:r>
              <w:rPr>
                <w:rFonts w:ascii="Times New Roman" w:hAnsi="Times New Roman"/>
                <w:color w:val="auto"/>
                <w:sz w:val="24"/>
                <w:shd w:val="clear" w:color="auto" w:fill="auto"/>
              </w:rPr>
              <w:t>）</w:t>
            </w:r>
            <w:r>
              <w:rPr>
                <w:rFonts w:hint="eastAsia" w:ascii="Times New Roman" w:hAnsi="Times New Roman"/>
                <w:color w:val="auto"/>
                <w:sz w:val="24"/>
                <w:shd w:val="clear" w:color="auto" w:fill="auto"/>
                <w:lang w:val="en-US" w:eastAsia="zh-CN"/>
              </w:rPr>
              <w:t>和《省生态环境厅关于深入开展涉VOCs治理重点工作核查的通知》（苏环办〔2022〕218号）</w:t>
            </w:r>
            <w:r>
              <w:rPr>
                <w:rFonts w:hint="eastAsia" w:ascii="Times New Roman" w:hAnsi="Times New Roman"/>
                <w:color w:val="auto"/>
                <w:sz w:val="24"/>
                <w:shd w:val="clear" w:color="auto" w:fill="auto"/>
              </w:rPr>
              <w:t>文件中计算方式计算活性炭更换周期</w:t>
            </w:r>
            <w:r>
              <w:rPr>
                <w:rFonts w:ascii="Times New Roman" w:hAnsi="Times New Roman"/>
                <w:color w:val="auto"/>
                <w:sz w:val="24"/>
                <w:shd w:val="clear" w:color="auto" w:fill="auto"/>
              </w:rPr>
              <w:t>，活性炭更换周期</w:t>
            </w:r>
            <w:r>
              <w:rPr>
                <w:rFonts w:hint="eastAsia" w:ascii="Times New Roman" w:hAnsi="Times New Roman"/>
                <w:color w:val="auto"/>
                <w:sz w:val="24"/>
                <w:shd w:val="clear" w:color="auto" w:fill="auto"/>
              </w:rPr>
              <w:t>计算公式如下：</w:t>
            </w:r>
          </w:p>
          <w:p w14:paraId="4F39B850">
            <w:pPr>
              <w:keepNext w:val="0"/>
              <w:keepLines w:val="0"/>
              <w:pageBreakBefore w:val="0"/>
              <w:widowControl w:val="0"/>
              <w:kinsoku/>
              <w:wordWrap/>
              <w:overflowPunct/>
              <w:topLinePunct w:val="0"/>
              <w:bidi w:val="0"/>
              <w:adjustRightInd w:val="0"/>
              <w:snapToGrid w:val="0"/>
              <w:spacing w:line="360" w:lineRule="auto"/>
              <w:ind w:firstLine="2400" w:firstLineChars="1000"/>
              <w:jc w:val="both"/>
              <w:textAlignment w:val="auto"/>
              <w:rPr>
                <w:color w:val="auto"/>
                <w:sz w:val="24"/>
              </w:rPr>
            </w:pPr>
            <w:r>
              <w:rPr>
                <w:color w:val="auto"/>
                <w:sz w:val="24"/>
              </w:rPr>
              <w:t>T=m×s÷（c×10</w:t>
            </w:r>
            <w:r>
              <w:rPr>
                <w:color w:val="auto"/>
                <w:sz w:val="24"/>
                <w:vertAlign w:val="superscript"/>
              </w:rPr>
              <w:t>-6</w:t>
            </w:r>
            <w:r>
              <w:rPr>
                <w:color w:val="auto"/>
                <w:sz w:val="24"/>
              </w:rPr>
              <w:t>×Q×t）</w:t>
            </w:r>
          </w:p>
          <w:p w14:paraId="5224AC9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color w:val="auto"/>
                <w:sz w:val="24"/>
              </w:rPr>
              <w:t>式中：</w:t>
            </w:r>
          </w:p>
          <w:p w14:paraId="5D5B98E6">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T—更换周期，天；</w:t>
            </w:r>
          </w:p>
          <w:p w14:paraId="4F26EF39">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rFonts w:hint="eastAsia"/>
                <w:color w:val="auto"/>
                <w:sz w:val="24"/>
              </w:rPr>
              <w:t>m</w:t>
            </w:r>
            <w:r>
              <w:rPr>
                <w:color w:val="auto"/>
                <w:sz w:val="24"/>
              </w:rPr>
              <w:t>—活性炭的用量，kg（</w:t>
            </w:r>
            <w:r>
              <w:rPr>
                <w:rFonts w:hint="eastAsia"/>
                <w:color w:val="auto"/>
                <w:sz w:val="24"/>
              </w:rPr>
              <w:t>本</w:t>
            </w:r>
            <w:r>
              <w:rPr>
                <w:color w:val="auto"/>
                <w:sz w:val="24"/>
              </w:rPr>
              <w:t>项目活性炭</w:t>
            </w:r>
            <w:r>
              <w:rPr>
                <w:rFonts w:hint="eastAsia"/>
                <w:color w:val="auto"/>
                <w:sz w:val="24"/>
              </w:rPr>
              <w:t>单次</w:t>
            </w:r>
            <w:r>
              <w:rPr>
                <w:color w:val="auto"/>
                <w:sz w:val="24"/>
              </w:rPr>
              <w:t>装</w:t>
            </w:r>
            <w:r>
              <w:rPr>
                <w:rFonts w:hint="eastAsia"/>
                <w:color w:val="auto"/>
                <w:sz w:val="24"/>
              </w:rPr>
              <w:t>填</w:t>
            </w:r>
            <w:r>
              <w:rPr>
                <w:color w:val="auto"/>
                <w:sz w:val="24"/>
              </w:rPr>
              <w:t>量</w:t>
            </w:r>
            <w:r>
              <w:rPr>
                <w:rFonts w:hint="eastAsia"/>
                <w:color w:val="auto"/>
                <w:sz w:val="24"/>
              </w:rPr>
              <w:t>取</w:t>
            </w:r>
            <w:r>
              <w:rPr>
                <w:rFonts w:hint="eastAsia"/>
                <w:color w:val="auto"/>
                <w:sz w:val="24"/>
                <w:lang w:val="en-US" w:eastAsia="zh-CN"/>
              </w:rPr>
              <w:t>2</w:t>
            </w:r>
            <w:r>
              <w:rPr>
                <w:rFonts w:hint="eastAsia"/>
                <w:color w:val="auto"/>
                <w:sz w:val="24"/>
              </w:rPr>
              <w:t>t</w:t>
            </w:r>
            <w:r>
              <w:rPr>
                <w:color w:val="auto"/>
                <w:sz w:val="24"/>
              </w:rPr>
              <w:t>）；</w:t>
            </w:r>
          </w:p>
          <w:p w14:paraId="0813B7F9">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s—动态吸附量，%</w:t>
            </w:r>
            <w:r>
              <w:rPr>
                <w:rFonts w:hint="eastAsia"/>
                <w:color w:val="auto"/>
                <w:sz w:val="24"/>
              </w:rPr>
              <w:t>，</w:t>
            </w:r>
            <w:r>
              <w:rPr>
                <w:color w:val="auto"/>
                <w:sz w:val="24"/>
              </w:rPr>
              <w:t>（</w:t>
            </w:r>
            <w:r>
              <w:rPr>
                <w:rFonts w:hint="eastAsia"/>
                <w:color w:val="auto"/>
                <w:sz w:val="24"/>
              </w:rPr>
              <w:t>本项目动态吸附量取</w:t>
            </w:r>
            <w:r>
              <w:rPr>
                <w:rFonts w:hint="eastAsia"/>
                <w:color w:val="auto"/>
                <w:sz w:val="24"/>
                <w:lang w:val="en-US" w:eastAsia="zh-CN"/>
              </w:rPr>
              <w:t>2</w:t>
            </w:r>
            <w:r>
              <w:rPr>
                <w:rFonts w:hint="eastAsia"/>
                <w:color w:val="auto"/>
                <w:sz w:val="24"/>
              </w:rPr>
              <w:t>0</w:t>
            </w:r>
            <w:r>
              <w:rPr>
                <w:color w:val="auto"/>
                <w:sz w:val="24"/>
              </w:rPr>
              <w:t>%）</w:t>
            </w:r>
            <w:r>
              <w:rPr>
                <w:rFonts w:hint="eastAsia"/>
                <w:color w:val="auto"/>
                <w:sz w:val="24"/>
              </w:rPr>
              <w:t>；</w:t>
            </w:r>
          </w:p>
          <w:p w14:paraId="46C038B2">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c—活性炭削减的VOCs浓度，mg/m</w:t>
            </w:r>
            <w:r>
              <w:rPr>
                <w:color w:val="auto"/>
                <w:sz w:val="24"/>
                <w:vertAlign w:val="superscript"/>
              </w:rPr>
              <w:t>3</w:t>
            </w:r>
            <w:r>
              <w:rPr>
                <w:color w:val="auto"/>
                <w:sz w:val="24"/>
              </w:rPr>
              <w:t>；（</w:t>
            </w:r>
            <w:r>
              <w:rPr>
                <w:rFonts w:hint="eastAsia"/>
                <w:color w:val="auto"/>
                <w:sz w:val="24"/>
              </w:rPr>
              <w:t>本项目中为</w:t>
            </w:r>
            <w:r>
              <w:rPr>
                <w:rFonts w:hint="eastAsia"/>
                <w:color w:val="auto"/>
                <w:sz w:val="24"/>
                <w:lang w:val="en-US" w:eastAsia="zh-CN"/>
              </w:rPr>
              <w:t>183.54</w:t>
            </w:r>
            <w:r>
              <w:rPr>
                <w:color w:val="auto"/>
                <w:sz w:val="24"/>
              </w:rPr>
              <w:t>mg/m</w:t>
            </w:r>
            <w:r>
              <w:rPr>
                <w:color w:val="auto"/>
                <w:sz w:val="24"/>
                <w:vertAlign w:val="superscript"/>
              </w:rPr>
              <w:t>3</w:t>
            </w:r>
            <w:r>
              <w:rPr>
                <w:color w:val="auto"/>
                <w:sz w:val="24"/>
              </w:rPr>
              <w:t>）</w:t>
            </w:r>
          </w:p>
          <w:p w14:paraId="49C0C894">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Q—风量，单位m</w:t>
            </w:r>
            <w:r>
              <w:rPr>
                <w:color w:val="auto"/>
                <w:sz w:val="24"/>
                <w:vertAlign w:val="superscript"/>
              </w:rPr>
              <w:t>3</w:t>
            </w:r>
            <w:r>
              <w:rPr>
                <w:color w:val="auto"/>
                <w:sz w:val="24"/>
              </w:rPr>
              <w:t>/h；（</w:t>
            </w:r>
            <w:r>
              <w:rPr>
                <w:rFonts w:hint="eastAsia"/>
                <w:color w:val="auto"/>
                <w:sz w:val="24"/>
              </w:rPr>
              <w:t>本项目中为</w:t>
            </w:r>
            <w:r>
              <w:rPr>
                <w:rFonts w:hint="eastAsia"/>
                <w:color w:val="auto"/>
                <w:sz w:val="24"/>
                <w:lang w:val="en-US" w:eastAsia="zh-CN"/>
              </w:rPr>
              <w:t>120</w:t>
            </w:r>
            <w:r>
              <w:rPr>
                <w:color w:val="auto"/>
                <w:sz w:val="24"/>
              </w:rPr>
              <w:t>00m</w:t>
            </w:r>
            <w:r>
              <w:rPr>
                <w:color w:val="auto"/>
                <w:sz w:val="24"/>
                <w:vertAlign w:val="superscript"/>
              </w:rPr>
              <w:t>3</w:t>
            </w:r>
            <w:r>
              <w:rPr>
                <w:color w:val="auto"/>
                <w:sz w:val="24"/>
              </w:rPr>
              <w:t>/h）</w:t>
            </w:r>
          </w:p>
          <w:p w14:paraId="2C5448BF">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t—运行时间，单位h/d。（</w:t>
            </w:r>
            <w:r>
              <w:rPr>
                <w:rFonts w:hint="eastAsia"/>
                <w:color w:val="auto"/>
                <w:sz w:val="24"/>
              </w:rPr>
              <w:t>本项目中为</w:t>
            </w:r>
            <w:r>
              <w:rPr>
                <w:rFonts w:hint="eastAsia"/>
                <w:color w:val="auto"/>
                <w:sz w:val="24"/>
                <w:lang w:val="en-US" w:eastAsia="zh-CN"/>
              </w:rPr>
              <w:t>8</w:t>
            </w:r>
            <w:r>
              <w:rPr>
                <w:color w:val="auto"/>
                <w:sz w:val="24"/>
              </w:rPr>
              <w:t>h</w:t>
            </w:r>
            <w:r>
              <w:rPr>
                <w:rFonts w:hint="eastAsia"/>
                <w:color w:val="auto"/>
                <w:sz w:val="24"/>
              </w:rPr>
              <w:t>/d</w:t>
            </w:r>
            <w:r>
              <w:rPr>
                <w:color w:val="auto"/>
                <w:sz w:val="24"/>
              </w:rPr>
              <w:t>）</w:t>
            </w:r>
            <w:r>
              <w:rPr>
                <w:rFonts w:hint="eastAsia"/>
                <w:color w:val="auto"/>
                <w:sz w:val="24"/>
              </w:rPr>
              <w:t>。</w:t>
            </w:r>
          </w:p>
          <w:p w14:paraId="5F77D741">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color w:val="auto"/>
                <w:sz w:val="24"/>
              </w:rPr>
            </w:pPr>
            <w:r>
              <w:rPr>
                <w:color w:val="auto"/>
                <w:sz w:val="24"/>
              </w:rPr>
              <w:t>经计算，理论</w:t>
            </w:r>
            <w:r>
              <w:rPr>
                <w:rFonts w:hint="eastAsia"/>
                <w:color w:val="auto"/>
                <w:sz w:val="24"/>
              </w:rPr>
              <w:t>上，本</w:t>
            </w:r>
            <w:r>
              <w:rPr>
                <w:color w:val="auto"/>
                <w:sz w:val="24"/>
              </w:rPr>
              <w:t>项目活性炭更换周期为</w:t>
            </w:r>
            <w:r>
              <w:rPr>
                <w:rFonts w:hint="eastAsia"/>
                <w:color w:val="auto"/>
                <w:sz w:val="24"/>
                <w:lang w:val="en-US" w:eastAsia="zh-CN"/>
              </w:rPr>
              <w:t>22.7</w:t>
            </w:r>
            <w:r>
              <w:rPr>
                <w:rFonts w:hint="eastAsia"/>
                <w:color w:val="auto"/>
                <w:sz w:val="24"/>
              </w:rPr>
              <w:t>天更换一次</w:t>
            </w:r>
            <w:r>
              <w:rPr>
                <w:color w:val="auto"/>
                <w:sz w:val="24"/>
              </w:rPr>
              <w:t>，</w:t>
            </w:r>
            <w:r>
              <w:rPr>
                <w:rFonts w:hint="eastAsia"/>
                <w:color w:val="auto"/>
                <w:sz w:val="24"/>
              </w:rPr>
              <w:t>平均每年更换</w:t>
            </w:r>
            <w:r>
              <w:rPr>
                <w:rFonts w:hint="eastAsia"/>
                <w:color w:val="auto"/>
                <w:sz w:val="24"/>
                <w:lang w:val="en-US" w:eastAsia="zh-CN"/>
              </w:rPr>
              <w:t>14</w:t>
            </w:r>
            <w:r>
              <w:rPr>
                <w:rFonts w:hint="eastAsia"/>
                <w:color w:val="auto"/>
                <w:sz w:val="24"/>
              </w:rPr>
              <w:t>次。本项目活性炭单次</w:t>
            </w:r>
            <w:r>
              <w:rPr>
                <w:color w:val="auto"/>
                <w:sz w:val="24"/>
              </w:rPr>
              <w:t>装</w:t>
            </w:r>
            <w:r>
              <w:rPr>
                <w:rFonts w:hint="eastAsia"/>
                <w:color w:val="auto"/>
                <w:sz w:val="24"/>
              </w:rPr>
              <w:t>填</w:t>
            </w:r>
            <w:r>
              <w:rPr>
                <w:color w:val="auto"/>
                <w:sz w:val="24"/>
              </w:rPr>
              <w:t>量</w:t>
            </w:r>
            <w:r>
              <w:rPr>
                <w:rFonts w:hint="eastAsia"/>
                <w:color w:val="auto"/>
                <w:sz w:val="24"/>
              </w:rPr>
              <w:t>取</w:t>
            </w:r>
            <w:r>
              <w:rPr>
                <w:rFonts w:hint="eastAsia"/>
                <w:color w:val="auto"/>
                <w:sz w:val="24"/>
                <w:lang w:val="en-US" w:eastAsia="zh-CN"/>
              </w:rPr>
              <w:t>2</w:t>
            </w:r>
            <w:r>
              <w:rPr>
                <w:rFonts w:hint="eastAsia"/>
                <w:color w:val="auto"/>
                <w:sz w:val="24"/>
              </w:rPr>
              <w:t>t，则活性炭年使用量共为</w:t>
            </w:r>
            <w:r>
              <w:rPr>
                <w:rFonts w:hint="eastAsia"/>
                <w:color w:val="auto"/>
                <w:sz w:val="24"/>
                <w:lang w:val="en-US" w:eastAsia="zh-CN"/>
              </w:rPr>
              <w:t>28</w:t>
            </w:r>
            <w:r>
              <w:rPr>
                <w:rFonts w:hint="eastAsia"/>
                <w:color w:val="auto"/>
                <w:sz w:val="24"/>
              </w:rPr>
              <w:t>t，活性炭的吸附处理效率约为90%，本项目被活性炭吸附的有机废气量约</w:t>
            </w:r>
            <w:r>
              <w:rPr>
                <w:rFonts w:hint="eastAsia"/>
                <w:color w:val="auto"/>
                <w:sz w:val="24"/>
                <w:lang w:val="en-US" w:eastAsia="zh-CN"/>
              </w:rPr>
              <w:t>5.286</w:t>
            </w:r>
            <w:r>
              <w:rPr>
                <w:rFonts w:hint="eastAsia"/>
                <w:color w:val="auto"/>
                <w:sz w:val="24"/>
              </w:rPr>
              <w:t>t/a，则废活性炭产生量约为</w:t>
            </w:r>
            <w:r>
              <w:rPr>
                <w:rFonts w:hint="eastAsia"/>
                <w:color w:val="auto"/>
                <w:sz w:val="24"/>
                <w:lang w:val="en-US" w:eastAsia="zh-CN"/>
              </w:rPr>
              <w:t>33.286</w:t>
            </w:r>
            <w:r>
              <w:rPr>
                <w:rFonts w:hint="eastAsia"/>
                <w:color w:val="auto"/>
                <w:sz w:val="24"/>
              </w:rPr>
              <w:t>t/a。废活性炭属于危险废物，危废类别为HW49，危废代码为900-039-49，收集后暂存于厂区内危废暂存库内，定期委托有资质单位处置。</w:t>
            </w:r>
          </w:p>
          <w:p w14:paraId="25FC5756">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（5）废液压油</w:t>
            </w:r>
          </w:p>
          <w:p w14:paraId="03110D8A">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本项目设备维护中会使用到液压油，液压油每年更换一次，每次更换量为0.075t，废液压油属于危险废物，收集后委托有危废处置资质的单位进行处置 。</w:t>
            </w:r>
          </w:p>
          <w:p w14:paraId="3F66626C">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（6）废包装桶</w:t>
            </w:r>
          </w:p>
          <w:p w14:paraId="27136B71">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本项目所用液压油、不饱和聚酯树脂、固化剂为桶装，完好的包装桶由厂家回收利用，破损的废包装桶属于危险废物，本项目废包装桶的产生量约为0.4t/a，收集后暂存于厂区内危废贮存库内，定期委托有资质单位处置。</w:t>
            </w:r>
          </w:p>
          <w:p w14:paraId="46091ADC">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（7）废劳保用品</w:t>
            </w:r>
          </w:p>
          <w:p w14:paraId="10C8F751">
            <w:pPr>
              <w:pStyle w:val="1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本项目设备维护、擦拭时会产生含油劳保用品、含油手套等废劳保用品，经估算，废劳保用品产生量约为0.01t/a。企业对定点收集的含油废劳保用品和手套委托有资质单位处置。</w:t>
            </w:r>
          </w:p>
          <w:p w14:paraId="1EF34EA4">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default"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eastAsia="zh-CN"/>
              </w:rPr>
              <w:t>（</w:t>
            </w:r>
            <w:r>
              <w:rPr>
                <w:rFonts w:hint="eastAsia" w:ascii="Times New Roman" w:hAnsi="Times New Roman"/>
                <w:b w:val="0"/>
                <w:bCs/>
                <w:color w:val="auto"/>
                <w:sz w:val="24"/>
                <w:shd w:val="clear" w:color="auto" w:fill="auto"/>
                <w:lang w:val="en-US" w:eastAsia="zh-CN"/>
              </w:rPr>
              <w:t>8</w:t>
            </w:r>
            <w:r>
              <w:rPr>
                <w:rFonts w:hint="eastAsia" w:ascii="Times New Roman" w:hAnsi="Times New Roman"/>
                <w:b w:val="0"/>
                <w:bCs/>
                <w:color w:val="auto"/>
                <w:sz w:val="24"/>
                <w:shd w:val="clear" w:color="auto" w:fill="auto"/>
                <w:lang w:eastAsia="zh-CN"/>
              </w:rPr>
              <w:t>）</w:t>
            </w:r>
            <w:r>
              <w:rPr>
                <w:rFonts w:hint="eastAsia" w:ascii="Times New Roman" w:hAnsi="Times New Roman"/>
                <w:b w:val="0"/>
                <w:bCs/>
                <w:color w:val="auto"/>
                <w:sz w:val="24"/>
                <w:shd w:val="clear" w:color="auto" w:fill="auto"/>
                <w:lang w:val="en-US" w:eastAsia="zh-CN"/>
              </w:rPr>
              <w:t>生活垃圾</w:t>
            </w:r>
          </w:p>
          <w:p w14:paraId="67F759AC">
            <w:pPr>
              <w:pStyle w:val="18"/>
              <w:keepNext w:val="0"/>
              <w:keepLines w:val="0"/>
              <w:pageBreakBefore w:val="0"/>
              <w:widowControl w:val="0"/>
              <w:kinsoku/>
              <w:wordWrap/>
              <w:overflowPunct/>
              <w:topLinePunct w:val="0"/>
              <w:bidi w:val="0"/>
              <w:snapToGrid/>
              <w:spacing w:after="0" w:line="360" w:lineRule="auto"/>
              <w:ind w:left="0" w:leftChars="0" w:firstLine="480" w:firstLineChars="200"/>
              <w:jc w:val="both"/>
              <w:textAlignment w:val="auto"/>
              <w:rPr>
                <w:rFonts w:hint="default" w:ascii="Times New Roman" w:hAnsi="Times New Roman"/>
                <w:b w:val="0"/>
                <w:bCs/>
                <w:color w:val="auto"/>
                <w:sz w:val="24"/>
                <w:szCs w:val="24"/>
                <w:shd w:val="clear" w:color="auto" w:fill="auto"/>
                <w:lang w:val="en-US" w:eastAsia="zh-CN"/>
              </w:rPr>
            </w:pPr>
            <w:r>
              <w:rPr>
                <w:rFonts w:hint="eastAsia" w:ascii="Times New Roman" w:hAnsi="Times New Roman"/>
                <w:b w:val="0"/>
                <w:bCs/>
                <w:color w:val="auto"/>
                <w:sz w:val="24"/>
                <w:shd w:val="clear" w:color="auto" w:fill="auto"/>
              </w:rPr>
              <w:t>本项目定员</w:t>
            </w:r>
            <w:r>
              <w:rPr>
                <w:rFonts w:hint="eastAsia"/>
                <w:b w:val="0"/>
                <w:bCs/>
                <w:color w:val="auto"/>
                <w:sz w:val="24"/>
                <w:shd w:val="clear" w:color="auto" w:fill="auto"/>
                <w:lang w:val="en-US" w:eastAsia="zh-CN"/>
              </w:rPr>
              <w:t>16</w:t>
            </w:r>
            <w:r>
              <w:rPr>
                <w:rFonts w:hint="eastAsia" w:ascii="Times New Roman" w:hAnsi="Times New Roman"/>
                <w:b w:val="0"/>
                <w:bCs/>
                <w:color w:val="auto"/>
                <w:sz w:val="24"/>
                <w:shd w:val="clear" w:color="auto" w:fill="auto"/>
              </w:rPr>
              <w:t>人，年生产</w:t>
            </w:r>
            <w:r>
              <w:rPr>
                <w:rFonts w:hint="eastAsia"/>
                <w:b w:val="0"/>
                <w:bCs/>
                <w:color w:val="auto"/>
                <w:sz w:val="24"/>
                <w:shd w:val="clear" w:color="auto" w:fill="auto"/>
                <w:lang w:val="en-US" w:eastAsia="zh-CN"/>
              </w:rPr>
              <w:t>300</w:t>
            </w:r>
            <w:r>
              <w:rPr>
                <w:rFonts w:hint="eastAsia" w:ascii="Times New Roman" w:hAnsi="Times New Roman"/>
                <w:b w:val="0"/>
                <w:bCs/>
                <w:color w:val="auto"/>
                <w:sz w:val="24"/>
                <w:shd w:val="clear" w:color="auto" w:fill="auto"/>
              </w:rPr>
              <w:t>天，生活垃圾产量按0.5kg/人•天计算，则年生活垃圾产量为</w:t>
            </w:r>
            <w:r>
              <w:rPr>
                <w:rFonts w:hint="eastAsia"/>
                <w:b w:val="0"/>
                <w:bCs/>
                <w:color w:val="auto"/>
                <w:sz w:val="24"/>
                <w:shd w:val="clear" w:color="auto" w:fill="auto"/>
                <w:lang w:val="en-US" w:eastAsia="zh-CN"/>
              </w:rPr>
              <w:t>2.4</w:t>
            </w:r>
            <w:r>
              <w:rPr>
                <w:rFonts w:hint="eastAsia" w:ascii="Times New Roman" w:hAnsi="Times New Roman"/>
                <w:b w:val="0"/>
                <w:bCs/>
                <w:color w:val="auto"/>
                <w:sz w:val="24"/>
                <w:shd w:val="clear" w:color="auto" w:fill="auto"/>
              </w:rPr>
              <w:t>t/a。委托当地环卫部门统一清运处</w:t>
            </w:r>
            <w:r>
              <w:rPr>
                <w:rFonts w:hint="eastAsia"/>
                <w:b w:val="0"/>
                <w:bCs/>
                <w:color w:val="auto"/>
                <w:sz w:val="24"/>
                <w:shd w:val="clear" w:color="auto" w:fill="auto"/>
                <w:lang w:val="en-US" w:eastAsia="zh-CN"/>
              </w:rPr>
              <w:t>置</w:t>
            </w:r>
            <w:r>
              <w:rPr>
                <w:rFonts w:hint="eastAsia" w:ascii="Times New Roman" w:hAnsi="Times New Roman"/>
                <w:b w:val="0"/>
                <w:bCs/>
                <w:color w:val="auto"/>
                <w:sz w:val="24"/>
                <w:shd w:val="clear" w:color="auto" w:fill="auto"/>
              </w:rPr>
              <w:t>。</w:t>
            </w:r>
          </w:p>
          <w:p w14:paraId="59A63055">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ind w:firstLine="482" w:firstLineChars="200"/>
              <w:textAlignment w:val="auto"/>
              <w:rPr>
                <w:rFonts w:hint="default"/>
                <w:color w:val="auto"/>
                <w:lang w:val="en-US" w:eastAsia="zh-CN"/>
              </w:rPr>
            </w:pPr>
          </w:p>
        </w:tc>
      </w:tr>
    </w:tbl>
    <w:p w14:paraId="1997E4A5">
      <w:pPr>
        <w:pStyle w:val="18"/>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051"/>
      </w:tblGrid>
      <w:tr w14:paraId="6490C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5" w:hRule="atLeast"/>
          <w:jc w:val="center"/>
        </w:trPr>
        <w:tc>
          <w:tcPr>
            <w:tcW w:w="575" w:type="dxa"/>
            <w:noWrap w:val="0"/>
            <w:vAlign w:val="center"/>
          </w:tcPr>
          <w:p w14:paraId="5CBBF25F">
            <w:pPr>
              <w:adjustRightInd w:val="0"/>
              <w:snapToGrid w:val="0"/>
              <w:jc w:val="center"/>
              <w:rPr>
                <w:rFonts w:ascii="宋体" w:hAnsi="宋体" w:cs="宋体"/>
                <w:color w:val="auto"/>
                <w:szCs w:val="21"/>
              </w:rPr>
            </w:pPr>
          </w:p>
        </w:tc>
        <w:tc>
          <w:tcPr>
            <w:tcW w:w="15051" w:type="dxa"/>
            <w:noWrap w:val="0"/>
            <w:vAlign w:val="top"/>
          </w:tcPr>
          <w:p w14:paraId="2F866E7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20 </w:t>
            </w:r>
            <w:r>
              <w:rPr>
                <w:rFonts w:ascii="Times New Roman" w:hAnsi="Times New Roman"/>
                <w:b/>
                <w:bCs/>
                <w:color w:val="auto"/>
                <w:sz w:val="21"/>
                <w:szCs w:val="21"/>
              </w:rPr>
              <w:t>项目固废产生及处置情况一览表</w:t>
            </w:r>
          </w:p>
          <w:tbl>
            <w:tblPr>
              <w:tblStyle w:val="23"/>
              <w:tblW w:w="14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53"/>
              <w:gridCol w:w="1337"/>
              <w:gridCol w:w="668"/>
              <w:gridCol w:w="500"/>
              <w:gridCol w:w="1636"/>
              <w:gridCol w:w="819"/>
              <w:gridCol w:w="1377"/>
              <w:gridCol w:w="709"/>
              <w:gridCol w:w="859"/>
              <w:gridCol w:w="886"/>
              <w:gridCol w:w="900"/>
              <w:gridCol w:w="1101"/>
              <w:gridCol w:w="2262"/>
            </w:tblGrid>
            <w:tr w14:paraId="3D4D1A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26" w:type="dxa"/>
                  <w:noWrap w:val="0"/>
                  <w:vAlign w:val="center"/>
                </w:tcPr>
                <w:p w14:paraId="4F2F3F39">
                  <w:pPr>
                    <w:adjustRightInd w:val="0"/>
                    <w:snapToGrid w:val="0"/>
                    <w:jc w:val="center"/>
                    <w:rPr>
                      <w:color w:val="auto"/>
                      <w:szCs w:val="18"/>
                    </w:rPr>
                  </w:pPr>
                  <w:r>
                    <w:rPr>
                      <w:color w:val="auto"/>
                      <w:szCs w:val="18"/>
                    </w:rPr>
                    <w:t>序号</w:t>
                  </w:r>
                </w:p>
              </w:tc>
              <w:tc>
                <w:tcPr>
                  <w:tcW w:w="1153" w:type="dxa"/>
                  <w:noWrap w:val="0"/>
                  <w:vAlign w:val="center"/>
                </w:tcPr>
                <w:p w14:paraId="2AE3874D">
                  <w:pPr>
                    <w:adjustRightInd w:val="0"/>
                    <w:snapToGrid w:val="0"/>
                    <w:jc w:val="center"/>
                    <w:rPr>
                      <w:color w:val="auto"/>
                      <w:szCs w:val="18"/>
                    </w:rPr>
                  </w:pPr>
                  <w:r>
                    <w:rPr>
                      <w:color w:val="auto"/>
                      <w:szCs w:val="18"/>
                    </w:rPr>
                    <w:t>固废名称</w:t>
                  </w:r>
                </w:p>
              </w:tc>
              <w:tc>
                <w:tcPr>
                  <w:tcW w:w="1337" w:type="dxa"/>
                  <w:noWrap w:val="0"/>
                  <w:vAlign w:val="center"/>
                </w:tcPr>
                <w:p w14:paraId="14527FAE">
                  <w:pPr>
                    <w:adjustRightInd w:val="0"/>
                    <w:snapToGrid w:val="0"/>
                    <w:jc w:val="center"/>
                    <w:rPr>
                      <w:color w:val="auto"/>
                      <w:szCs w:val="18"/>
                    </w:rPr>
                  </w:pPr>
                  <w:r>
                    <w:rPr>
                      <w:color w:val="auto"/>
                      <w:szCs w:val="18"/>
                    </w:rPr>
                    <w:t>产生环节</w:t>
                  </w:r>
                </w:p>
              </w:tc>
              <w:tc>
                <w:tcPr>
                  <w:tcW w:w="668" w:type="dxa"/>
                  <w:noWrap w:val="0"/>
                  <w:vAlign w:val="center"/>
                </w:tcPr>
                <w:p w14:paraId="0CB662CC">
                  <w:pPr>
                    <w:adjustRightInd w:val="0"/>
                    <w:snapToGrid w:val="0"/>
                    <w:jc w:val="center"/>
                    <w:rPr>
                      <w:color w:val="auto"/>
                      <w:szCs w:val="18"/>
                    </w:rPr>
                  </w:pPr>
                  <w:r>
                    <w:rPr>
                      <w:color w:val="auto"/>
                      <w:szCs w:val="18"/>
                    </w:rPr>
                    <w:t>属性</w:t>
                  </w:r>
                </w:p>
              </w:tc>
              <w:tc>
                <w:tcPr>
                  <w:tcW w:w="500" w:type="dxa"/>
                  <w:noWrap w:val="0"/>
                  <w:vAlign w:val="center"/>
                </w:tcPr>
                <w:p w14:paraId="6E20DFA1">
                  <w:pPr>
                    <w:adjustRightInd w:val="0"/>
                    <w:snapToGrid w:val="0"/>
                    <w:jc w:val="center"/>
                    <w:rPr>
                      <w:color w:val="auto"/>
                      <w:szCs w:val="18"/>
                    </w:rPr>
                  </w:pPr>
                  <w:r>
                    <w:rPr>
                      <w:color w:val="auto"/>
                      <w:szCs w:val="18"/>
                    </w:rPr>
                    <w:t>性状</w:t>
                  </w:r>
                </w:p>
              </w:tc>
              <w:tc>
                <w:tcPr>
                  <w:tcW w:w="1636" w:type="dxa"/>
                  <w:noWrap w:val="0"/>
                  <w:vAlign w:val="center"/>
                </w:tcPr>
                <w:p w14:paraId="5AE24A6E">
                  <w:pPr>
                    <w:adjustRightInd w:val="0"/>
                    <w:snapToGrid w:val="0"/>
                    <w:jc w:val="center"/>
                    <w:rPr>
                      <w:color w:val="auto"/>
                      <w:szCs w:val="18"/>
                    </w:rPr>
                  </w:pPr>
                  <w:r>
                    <w:rPr>
                      <w:color w:val="auto"/>
                      <w:szCs w:val="18"/>
                    </w:rPr>
                    <w:t>有害成分</w:t>
                  </w:r>
                </w:p>
              </w:tc>
              <w:tc>
                <w:tcPr>
                  <w:tcW w:w="819" w:type="dxa"/>
                  <w:noWrap w:val="0"/>
                  <w:vAlign w:val="center"/>
                </w:tcPr>
                <w:p w14:paraId="29A32832">
                  <w:pPr>
                    <w:adjustRightInd w:val="0"/>
                    <w:snapToGrid w:val="0"/>
                    <w:jc w:val="center"/>
                    <w:rPr>
                      <w:color w:val="auto"/>
                      <w:szCs w:val="18"/>
                    </w:rPr>
                  </w:pPr>
                  <w:r>
                    <w:rPr>
                      <w:rFonts w:hint="eastAsia"/>
                      <w:color w:val="auto"/>
                      <w:szCs w:val="18"/>
                    </w:rPr>
                    <w:t>废物</w:t>
                  </w:r>
                  <w:r>
                    <w:rPr>
                      <w:color w:val="auto"/>
                      <w:szCs w:val="18"/>
                    </w:rPr>
                    <w:t>类别</w:t>
                  </w:r>
                </w:p>
              </w:tc>
              <w:tc>
                <w:tcPr>
                  <w:tcW w:w="1377" w:type="dxa"/>
                  <w:noWrap w:val="0"/>
                  <w:vAlign w:val="center"/>
                </w:tcPr>
                <w:p w14:paraId="50601FB3">
                  <w:pPr>
                    <w:adjustRightInd w:val="0"/>
                    <w:snapToGrid w:val="0"/>
                    <w:jc w:val="center"/>
                    <w:rPr>
                      <w:color w:val="auto"/>
                      <w:szCs w:val="18"/>
                    </w:rPr>
                  </w:pPr>
                  <w:r>
                    <w:rPr>
                      <w:rFonts w:hint="eastAsia"/>
                      <w:color w:val="auto"/>
                      <w:szCs w:val="18"/>
                    </w:rPr>
                    <w:t>废物</w:t>
                  </w:r>
                  <w:r>
                    <w:rPr>
                      <w:color w:val="auto"/>
                      <w:szCs w:val="18"/>
                    </w:rPr>
                    <w:t>代码</w:t>
                  </w:r>
                </w:p>
              </w:tc>
              <w:tc>
                <w:tcPr>
                  <w:tcW w:w="709" w:type="dxa"/>
                  <w:noWrap w:val="0"/>
                  <w:vAlign w:val="center"/>
                </w:tcPr>
                <w:p w14:paraId="63F0DC17">
                  <w:pPr>
                    <w:adjustRightInd w:val="0"/>
                    <w:snapToGrid w:val="0"/>
                    <w:jc w:val="center"/>
                    <w:rPr>
                      <w:color w:val="auto"/>
                      <w:szCs w:val="18"/>
                    </w:rPr>
                  </w:pPr>
                  <w:r>
                    <w:rPr>
                      <w:color w:val="auto"/>
                      <w:szCs w:val="18"/>
                    </w:rPr>
                    <w:t>危险</w:t>
                  </w:r>
                </w:p>
                <w:p w14:paraId="4B0718F3">
                  <w:pPr>
                    <w:adjustRightInd w:val="0"/>
                    <w:snapToGrid w:val="0"/>
                    <w:jc w:val="center"/>
                    <w:rPr>
                      <w:color w:val="auto"/>
                      <w:szCs w:val="18"/>
                    </w:rPr>
                  </w:pPr>
                  <w:r>
                    <w:rPr>
                      <w:color w:val="auto"/>
                      <w:szCs w:val="18"/>
                    </w:rPr>
                    <w:t>特性</w:t>
                  </w:r>
                </w:p>
              </w:tc>
              <w:tc>
                <w:tcPr>
                  <w:tcW w:w="859" w:type="dxa"/>
                  <w:noWrap w:val="0"/>
                  <w:vAlign w:val="center"/>
                </w:tcPr>
                <w:p w14:paraId="16784D8E">
                  <w:pPr>
                    <w:adjustRightInd w:val="0"/>
                    <w:snapToGrid w:val="0"/>
                    <w:jc w:val="center"/>
                    <w:rPr>
                      <w:color w:val="auto"/>
                      <w:szCs w:val="18"/>
                    </w:rPr>
                  </w:pPr>
                  <w:r>
                    <w:rPr>
                      <w:color w:val="auto"/>
                      <w:szCs w:val="18"/>
                    </w:rPr>
                    <w:t>产生量</w:t>
                  </w:r>
                </w:p>
                <w:p w14:paraId="01C801F4">
                  <w:pPr>
                    <w:adjustRightInd w:val="0"/>
                    <w:snapToGrid w:val="0"/>
                    <w:jc w:val="center"/>
                    <w:rPr>
                      <w:color w:val="auto"/>
                      <w:szCs w:val="18"/>
                    </w:rPr>
                  </w:pPr>
                  <w:r>
                    <w:rPr>
                      <w:rFonts w:hint="eastAsia"/>
                      <w:color w:val="auto"/>
                      <w:szCs w:val="18"/>
                    </w:rPr>
                    <w:t>（</w:t>
                  </w:r>
                  <w:r>
                    <w:rPr>
                      <w:color w:val="auto"/>
                      <w:szCs w:val="18"/>
                    </w:rPr>
                    <w:t>t/a</w:t>
                  </w:r>
                  <w:r>
                    <w:rPr>
                      <w:rFonts w:hint="eastAsia"/>
                      <w:color w:val="auto"/>
                      <w:szCs w:val="18"/>
                    </w:rPr>
                    <w:t>）</w:t>
                  </w:r>
                </w:p>
              </w:tc>
              <w:tc>
                <w:tcPr>
                  <w:tcW w:w="886" w:type="dxa"/>
                  <w:noWrap w:val="0"/>
                  <w:vAlign w:val="center"/>
                </w:tcPr>
                <w:p w14:paraId="352BA1AB">
                  <w:pPr>
                    <w:adjustRightInd w:val="0"/>
                    <w:snapToGrid w:val="0"/>
                    <w:jc w:val="center"/>
                    <w:rPr>
                      <w:color w:val="auto"/>
                      <w:szCs w:val="18"/>
                    </w:rPr>
                  </w:pPr>
                  <w:r>
                    <w:rPr>
                      <w:color w:val="auto"/>
                      <w:szCs w:val="18"/>
                    </w:rPr>
                    <w:t>利用量</w:t>
                  </w:r>
                </w:p>
                <w:p w14:paraId="10E00F98">
                  <w:pPr>
                    <w:pStyle w:val="18"/>
                    <w:spacing w:after="0"/>
                    <w:ind w:left="0" w:leftChars="0" w:firstLine="0" w:firstLineChars="0"/>
                    <w:jc w:val="center"/>
                    <w:rPr>
                      <w:color w:val="auto"/>
                      <w:sz w:val="21"/>
                      <w:szCs w:val="18"/>
                    </w:rPr>
                  </w:pPr>
                  <w:r>
                    <w:rPr>
                      <w:rFonts w:hint="eastAsia"/>
                      <w:color w:val="auto"/>
                      <w:sz w:val="21"/>
                      <w:szCs w:val="18"/>
                    </w:rPr>
                    <w:t>（</w:t>
                  </w:r>
                  <w:r>
                    <w:rPr>
                      <w:color w:val="auto"/>
                      <w:sz w:val="21"/>
                      <w:szCs w:val="18"/>
                    </w:rPr>
                    <w:t>t/a</w:t>
                  </w:r>
                  <w:r>
                    <w:rPr>
                      <w:rFonts w:hint="eastAsia"/>
                      <w:color w:val="auto"/>
                      <w:sz w:val="21"/>
                      <w:szCs w:val="18"/>
                    </w:rPr>
                    <w:t>）</w:t>
                  </w:r>
                </w:p>
              </w:tc>
              <w:tc>
                <w:tcPr>
                  <w:tcW w:w="900" w:type="dxa"/>
                  <w:noWrap w:val="0"/>
                  <w:vAlign w:val="center"/>
                </w:tcPr>
                <w:p w14:paraId="5E616724">
                  <w:pPr>
                    <w:adjustRightInd w:val="0"/>
                    <w:snapToGrid w:val="0"/>
                    <w:jc w:val="center"/>
                    <w:rPr>
                      <w:color w:val="auto"/>
                      <w:szCs w:val="18"/>
                    </w:rPr>
                  </w:pPr>
                  <w:r>
                    <w:rPr>
                      <w:color w:val="auto"/>
                      <w:szCs w:val="18"/>
                    </w:rPr>
                    <w:t>处置量</w:t>
                  </w:r>
                </w:p>
                <w:p w14:paraId="1A643CBD">
                  <w:pPr>
                    <w:pStyle w:val="18"/>
                    <w:spacing w:after="0"/>
                    <w:ind w:left="0" w:leftChars="0" w:firstLine="0" w:firstLineChars="0"/>
                    <w:jc w:val="center"/>
                    <w:rPr>
                      <w:color w:val="auto"/>
                      <w:sz w:val="21"/>
                      <w:szCs w:val="18"/>
                    </w:rPr>
                  </w:pPr>
                  <w:r>
                    <w:rPr>
                      <w:rFonts w:hint="eastAsia"/>
                      <w:color w:val="auto"/>
                      <w:sz w:val="21"/>
                      <w:szCs w:val="18"/>
                    </w:rPr>
                    <w:t>（</w:t>
                  </w:r>
                  <w:r>
                    <w:rPr>
                      <w:color w:val="auto"/>
                      <w:sz w:val="21"/>
                      <w:szCs w:val="18"/>
                    </w:rPr>
                    <w:t>t/a</w:t>
                  </w:r>
                  <w:r>
                    <w:rPr>
                      <w:rFonts w:hint="eastAsia"/>
                      <w:color w:val="auto"/>
                      <w:sz w:val="21"/>
                      <w:szCs w:val="18"/>
                    </w:rPr>
                    <w:t>）</w:t>
                  </w:r>
                </w:p>
              </w:tc>
              <w:tc>
                <w:tcPr>
                  <w:tcW w:w="1101" w:type="dxa"/>
                  <w:noWrap w:val="0"/>
                  <w:vAlign w:val="center"/>
                </w:tcPr>
                <w:p w14:paraId="1546675F">
                  <w:pPr>
                    <w:adjustRightInd w:val="0"/>
                    <w:snapToGrid w:val="0"/>
                    <w:jc w:val="center"/>
                    <w:rPr>
                      <w:color w:val="auto"/>
                      <w:szCs w:val="18"/>
                    </w:rPr>
                  </w:pPr>
                  <w:r>
                    <w:rPr>
                      <w:color w:val="auto"/>
                      <w:szCs w:val="18"/>
                    </w:rPr>
                    <w:t>贮存方式</w:t>
                  </w:r>
                </w:p>
              </w:tc>
              <w:tc>
                <w:tcPr>
                  <w:tcW w:w="2262" w:type="dxa"/>
                  <w:noWrap w:val="0"/>
                  <w:vAlign w:val="center"/>
                </w:tcPr>
                <w:p w14:paraId="1A57C691">
                  <w:pPr>
                    <w:adjustRightInd w:val="0"/>
                    <w:snapToGrid w:val="0"/>
                    <w:jc w:val="center"/>
                    <w:rPr>
                      <w:color w:val="auto"/>
                      <w:szCs w:val="18"/>
                    </w:rPr>
                  </w:pPr>
                  <w:r>
                    <w:rPr>
                      <w:color w:val="auto"/>
                      <w:szCs w:val="18"/>
                    </w:rPr>
                    <w:t>利用处置方式和去向</w:t>
                  </w:r>
                </w:p>
              </w:tc>
            </w:tr>
            <w:tr w14:paraId="5BAC1F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noWrap w:val="0"/>
                  <w:vAlign w:val="center"/>
                </w:tcPr>
                <w:p w14:paraId="1AA00F5B">
                  <w:pPr>
                    <w:numPr>
                      <w:ilvl w:val="0"/>
                      <w:numId w:val="9"/>
                    </w:numPr>
                    <w:adjustRightInd w:val="0"/>
                    <w:snapToGrid w:val="0"/>
                    <w:ind w:left="0" w:leftChars="0" w:firstLine="0" w:firstLineChars="0"/>
                    <w:jc w:val="center"/>
                    <w:rPr>
                      <w:color w:val="auto"/>
                      <w:szCs w:val="18"/>
                    </w:rPr>
                  </w:pPr>
                </w:p>
              </w:tc>
              <w:tc>
                <w:tcPr>
                  <w:tcW w:w="1153" w:type="dxa"/>
                  <w:noWrap w:val="0"/>
                  <w:vAlign w:val="center"/>
                </w:tcPr>
                <w:p w14:paraId="67C65AA4">
                  <w:pPr>
                    <w:pStyle w:val="19"/>
                    <w:spacing w:line="240" w:lineRule="auto"/>
                    <w:ind w:left="0" w:leftChars="0" w:firstLine="0" w:firstLineChars="0"/>
                    <w:jc w:val="center"/>
                    <w:rPr>
                      <w:rFonts w:ascii="Times New Roman" w:hAnsi="Times New Roman" w:cs="Times New Roman"/>
                      <w:b w:val="0"/>
                      <w:color w:val="auto"/>
                      <w:sz w:val="21"/>
                      <w:szCs w:val="18"/>
                    </w:rPr>
                  </w:pPr>
                  <w:r>
                    <w:rPr>
                      <w:rFonts w:hint="eastAsia" w:ascii="Times New Roman" w:hAnsi="Times New Roman" w:cs="Times New Roman"/>
                      <w:b w:val="0"/>
                      <w:color w:val="auto"/>
                      <w:sz w:val="21"/>
                      <w:szCs w:val="18"/>
                    </w:rPr>
                    <w:t>废包装袋</w:t>
                  </w:r>
                </w:p>
              </w:tc>
              <w:tc>
                <w:tcPr>
                  <w:tcW w:w="1337" w:type="dxa"/>
                  <w:noWrap w:val="0"/>
                  <w:vAlign w:val="center"/>
                </w:tcPr>
                <w:p w14:paraId="0416C61D">
                  <w:pPr>
                    <w:adjustRightInd w:val="0"/>
                    <w:snapToGrid w:val="0"/>
                    <w:jc w:val="center"/>
                    <w:rPr>
                      <w:color w:val="auto"/>
                      <w:szCs w:val="18"/>
                    </w:rPr>
                  </w:pPr>
                  <w:r>
                    <w:rPr>
                      <w:rFonts w:hint="eastAsia"/>
                      <w:color w:val="auto"/>
                      <w:szCs w:val="18"/>
                      <w:lang w:val="en-US" w:eastAsia="zh-CN"/>
                    </w:rPr>
                    <w:t>原辅料</w:t>
                  </w:r>
                  <w:r>
                    <w:rPr>
                      <w:rFonts w:hint="eastAsia"/>
                      <w:color w:val="auto"/>
                      <w:szCs w:val="18"/>
                    </w:rPr>
                    <w:t>包装</w:t>
                  </w:r>
                </w:p>
              </w:tc>
              <w:tc>
                <w:tcPr>
                  <w:tcW w:w="668" w:type="dxa"/>
                  <w:vMerge w:val="restart"/>
                  <w:noWrap w:val="0"/>
                  <w:vAlign w:val="center"/>
                </w:tcPr>
                <w:p w14:paraId="023D947B">
                  <w:pPr>
                    <w:adjustRightInd w:val="0"/>
                    <w:snapToGrid w:val="0"/>
                    <w:jc w:val="center"/>
                    <w:rPr>
                      <w:color w:val="auto"/>
                      <w:szCs w:val="18"/>
                    </w:rPr>
                  </w:pPr>
                  <w:r>
                    <w:rPr>
                      <w:rFonts w:hint="eastAsia"/>
                      <w:color w:val="auto"/>
                      <w:szCs w:val="18"/>
                    </w:rPr>
                    <w:t>一般固废</w:t>
                  </w:r>
                </w:p>
              </w:tc>
              <w:tc>
                <w:tcPr>
                  <w:tcW w:w="500" w:type="dxa"/>
                  <w:noWrap w:val="0"/>
                  <w:vAlign w:val="center"/>
                </w:tcPr>
                <w:p w14:paraId="6607FFD6">
                  <w:pPr>
                    <w:adjustRightInd w:val="0"/>
                    <w:snapToGrid w:val="0"/>
                    <w:jc w:val="center"/>
                    <w:rPr>
                      <w:color w:val="auto"/>
                      <w:szCs w:val="18"/>
                    </w:rPr>
                  </w:pPr>
                  <w:r>
                    <w:rPr>
                      <w:rFonts w:hint="eastAsia"/>
                      <w:color w:val="auto"/>
                      <w:szCs w:val="18"/>
                    </w:rPr>
                    <w:t>固</w:t>
                  </w:r>
                </w:p>
              </w:tc>
              <w:tc>
                <w:tcPr>
                  <w:tcW w:w="1636" w:type="dxa"/>
                  <w:noWrap w:val="0"/>
                  <w:vAlign w:val="center"/>
                </w:tcPr>
                <w:p w14:paraId="1B9B3C9D">
                  <w:pPr>
                    <w:adjustRightInd w:val="0"/>
                    <w:snapToGrid w:val="0"/>
                    <w:jc w:val="center"/>
                    <w:rPr>
                      <w:rFonts w:cs="宋体"/>
                      <w:color w:val="auto"/>
                      <w:szCs w:val="18"/>
                    </w:rPr>
                  </w:pPr>
                  <w:r>
                    <w:rPr>
                      <w:rFonts w:hint="eastAsia" w:cs="宋体"/>
                      <w:color w:val="auto"/>
                      <w:szCs w:val="18"/>
                    </w:rPr>
                    <w:t>/</w:t>
                  </w:r>
                </w:p>
              </w:tc>
              <w:tc>
                <w:tcPr>
                  <w:tcW w:w="819" w:type="dxa"/>
                  <w:noWrap w:val="0"/>
                  <w:vAlign w:val="center"/>
                </w:tcPr>
                <w:p w14:paraId="261FF485">
                  <w:pPr>
                    <w:adjustRightInd w:val="0"/>
                    <w:snapToGrid w:val="0"/>
                    <w:jc w:val="center"/>
                    <w:rPr>
                      <w:rFonts w:hint="default" w:ascii="Times New Roman" w:hAnsi="Times New Roman" w:eastAsia="宋体" w:cs="宋体"/>
                      <w:color w:val="auto"/>
                      <w:kern w:val="2"/>
                      <w:sz w:val="21"/>
                      <w:szCs w:val="18"/>
                      <w:lang w:val="en-US" w:eastAsia="zh-CN" w:bidi="ar-SA"/>
                    </w:rPr>
                  </w:pPr>
                  <w:r>
                    <w:rPr>
                      <w:rFonts w:hint="eastAsia" w:cs="宋体"/>
                      <w:color w:val="auto"/>
                      <w:szCs w:val="18"/>
                      <w:lang w:val="en-US" w:eastAsia="zh-CN"/>
                    </w:rPr>
                    <w:t>SW17</w:t>
                  </w:r>
                </w:p>
              </w:tc>
              <w:tc>
                <w:tcPr>
                  <w:tcW w:w="1377" w:type="dxa"/>
                  <w:noWrap w:val="0"/>
                  <w:vAlign w:val="center"/>
                </w:tcPr>
                <w:p w14:paraId="5FD63D7E">
                  <w:pPr>
                    <w:adjustRightInd w:val="0"/>
                    <w:snapToGrid w:val="0"/>
                    <w:jc w:val="center"/>
                    <w:rPr>
                      <w:rFonts w:hint="default" w:ascii="Times New Roman" w:hAnsi="Times New Roman" w:eastAsia="宋体" w:cs="宋体"/>
                      <w:color w:val="auto"/>
                      <w:kern w:val="2"/>
                      <w:sz w:val="21"/>
                      <w:szCs w:val="18"/>
                      <w:lang w:val="en-US" w:eastAsia="zh-CN" w:bidi="ar-SA"/>
                    </w:rPr>
                  </w:pPr>
                  <w:r>
                    <w:rPr>
                      <w:rFonts w:hint="eastAsia" w:cs="宋体"/>
                      <w:color w:val="auto"/>
                      <w:szCs w:val="18"/>
                      <w:lang w:val="en-US" w:eastAsia="zh-CN"/>
                    </w:rPr>
                    <w:t>900-003-S17</w:t>
                  </w:r>
                </w:p>
              </w:tc>
              <w:tc>
                <w:tcPr>
                  <w:tcW w:w="709" w:type="dxa"/>
                  <w:noWrap w:val="0"/>
                  <w:vAlign w:val="center"/>
                </w:tcPr>
                <w:p w14:paraId="6EC905EA">
                  <w:pPr>
                    <w:adjustRightInd w:val="0"/>
                    <w:snapToGrid w:val="0"/>
                    <w:jc w:val="center"/>
                    <w:rPr>
                      <w:rFonts w:cs="宋体"/>
                      <w:color w:val="auto"/>
                      <w:szCs w:val="18"/>
                    </w:rPr>
                  </w:pPr>
                  <w:r>
                    <w:rPr>
                      <w:rFonts w:hint="eastAsia" w:cs="宋体"/>
                      <w:color w:val="auto"/>
                      <w:szCs w:val="18"/>
                    </w:rPr>
                    <w:t>/</w:t>
                  </w:r>
                </w:p>
              </w:tc>
              <w:tc>
                <w:tcPr>
                  <w:tcW w:w="859" w:type="dxa"/>
                  <w:noWrap w:val="0"/>
                  <w:vAlign w:val="center"/>
                </w:tcPr>
                <w:p w14:paraId="11576301">
                  <w:pPr>
                    <w:adjustRightInd w:val="0"/>
                    <w:snapToGrid w:val="0"/>
                    <w:jc w:val="center"/>
                    <w:rPr>
                      <w:rFonts w:hint="default" w:eastAsia="宋体"/>
                      <w:color w:val="auto"/>
                      <w:szCs w:val="18"/>
                      <w:lang w:val="en-US" w:eastAsia="zh-CN"/>
                    </w:rPr>
                  </w:pPr>
                  <w:r>
                    <w:rPr>
                      <w:rFonts w:hint="eastAsia"/>
                      <w:color w:val="auto"/>
                      <w:szCs w:val="18"/>
                      <w:lang w:val="en-US" w:eastAsia="zh-CN"/>
                    </w:rPr>
                    <w:t>0.187</w:t>
                  </w:r>
                </w:p>
              </w:tc>
              <w:tc>
                <w:tcPr>
                  <w:tcW w:w="886" w:type="dxa"/>
                  <w:noWrap w:val="0"/>
                  <w:vAlign w:val="center"/>
                </w:tcPr>
                <w:p w14:paraId="38DFA434">
                  <w:pPr>
                    <w:adjustRightInd w:val="0"/>
                    <w:snapToGrid w:val="0"/>
                    <w:jc w:val="center"/>
                    <w:rPr>
                      <w:rFonts w:hint="default" w:eastAsia="宋体"/>
                      <w:color w:val="auto"/>
                      <w:kern w:val="2"/>
                      <w:sz w:val="21"/>
                      <w:szCs w:val="18"/>
                      <w:lang w:val="en-US" w:eastAsia="zh-CN" w:bidi="ar-SA"/>
                    </w:rPr>
                  </w:pPr>
                  <w:r>
                    <w:rPr>
                      <w:rFonts w:hint="eastAsia"/>
                      <w:color w:val="auto"/>
                      <w:szCs w:val="18"/>
                      <w:lang w:val="en-US" w:eastAsia="zh-CN"/>
                    </w:rPr>
                    <w:t>0.187</w:t>
                  </w:r>
                </w:p>
              </w:tc>
              <w:tc>
                <w:tcPr>
                  <w:tcW w:w="900" w:type="dxa"/>
                  <w:noWrap w:val="0"/>
                  <w:vAlign w:val="center"/>
                </w:tcPr>
                <w:p w14:paraId="3E4CB6A1">
                  <w:pPr>
                    <w:adjustRightInd w:val="0"/>
                    <w:snapToGrid w:val="0"/>
                    <w:jc w:val="center"/>
                    <w:rPr>
                      <w:color w:val="auto"/>
                      <w:szCs w:val="18"/>
                    </w:rPr>
                  </w:pPr>
                  <w:r>
                    <w:rPr>
                      <w:rFonts w:hint="eastAsia"/>
                      <w:color w:val="auto"/>
                      <w:szCs w:val="18"/>
                    </w:rPr>
                    <w:t>0</w:t>
                  </w:r>
                </w:p>
              </w:tc>
              <w:tc>
                <w:tcPr>
                  <w:tcW w:w="1101" w:type="dxa"/>
                  <w:noWrap w:val="0"/>
                  <w:vAlign w:val="center"/>
                </w:tcPr>
                <w:p w14:paraId="0C5CE6AD">
                  <w:pPr>
                    <w:adjustRightInd w:val="0"/>
                    <w:snapToGrid w:val="0"/>
                    <w:jc w:val="center"/>
                    <w:rPr>
                      <w:color w:val="auto"/>
                      <w:szCs w:val="18"/>
                    </w:rPr>
                  </w:pPr>
                  <w:r>
                    <w:rPr>
                      <w:rFonts w:hint="eastAsia"/>
                      <w:color w:val="auto"/>
                      <w:szCs w:val="18"/>
                    </w:rPr>
                    <w:t>无包装</w:t>
                  </w:r>
                </w:p>
              </w:tc>
              <w:tc>
                <w:tcPr>
                  <w:tcW w:w="2262" w:type="dxa"/>
                  <w:vMerge w:val="restart"/>
                  <w:noWrap w:val="0"/>
                  <w:vAlign w:val="center"/>
                </w:tcPr>
                <w:p w14:paraId="29651A08">
                  <w:pPr>
                    <w:adjustRightInd w:val="0"/>
                    <w:snapToGrid w:val="0"/>
                    <w:jc w:val="center"/>
                    <w:rPr>
                      <w:color w:val="auto"/>
                      <w:szCs w:val="18"/>
                    </w:rPr>
                  </w:pPr>
                  <w:r>
                    <w:rPr>
                      <w:rFonts w:hint="eastAsia"/>
                      <w:color w:val="auto"/>
                      <w:spacing w:val="-11"/>
                      <w:szCs w:val="18"/>
                    </w:rPr>
                    <w:t>外售给废旧资源回收公司</w:t>
                  </w:r>
                  <w:r>
                    <w:rPr>
                      <w:rFonts w:hint="eastAsia"/>
                      <w:color w:val="auto"/>
                      <w:szCs w:val="18"/>
                    </w:rPr>
                    <w:t>综合利用</w:t>
                  </w:r>
                </w:p>
              </w:tc>
            </w:tr>
            <w:tr w14:paraId="366E24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noWrap w:val="0"/>
                  <w:vAlign w:val="center"/>
                </w:tcPr>
                <w:p w14:paraId="692B429A">
                  <w:pPr>
                    <w:numPr>
                      <w:ilvl w:val="0"/>
                      <w:numId w:val="9"/>
                    </w:numPr>
                    <w:adjustRightInd w:val="0"/>
                    <w:snapToGrid w:val="0"/>
                    <w:ind w:left="0" w:leftChars="0" w:firstLine="0" w:firstLineChars="0"/>
                    <w:jc w:val="center"/>
                    <w:rPr>
                      <w:rFonts w:hint="eastAsia" w:eastAsia="宋体"/>
                      <w:color w:val="auto"/>
                      <w:szCs w:val="18"/>
                      <w:lang w:val="en-US" w:eastAsia="zh-CN"/>
                    </w:rPr>
                  </w:pPr>
                </w:p>
              </w:tc>
              <w:tc>
                <w:tcPr>
                  <w:tcW w:w="1153" w:type="dxa"/>
                  <w:noWrap w:val="0"/>
                  <w:vAlign w:val="center"/>
                </w:tcPr>
                <w:p w14:paraId="35D73E50">
                  <w:pPr>
                    <w:pStyle w:val="19"/>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边角料</w:t>
                  </w:r>
                </w:p>
              </w:tc>
              <w:tc>
                <w:tcPr>
                  <w:tcW w:w="1337" w:type="dxa"/>
                  <w:noWrap w:val="0"/>
                  <w:vAlign w:val="center"/>
                </w:tcPr>
                <w:p w14:paraId="0B502681">
                  <w:pPr>
                    <w:adjustRightInd w:val="0"/>
                    <w:snapToGrid w:val="0"/>
                    <w:jc w:val="center"/>
                    <w:rPr>
                      <w:rFonts w:hint="default" w:eastAsia="宋体"/>
                      <w:color w:val="auto"/>
                      <w:szCs w:val="18"/>
                      <w:lang w:val="en-US" w:eastAsia="zh-CN"/>
                    </w:rPr>
                  </w:pPr>
                  <w:r>
                    <w:rPr>
                      <w:rFonts w:hint="eastAsia"/>
                      <w:color w:val="auto"/>
                      <w:szCs w:val="18"/>
                      <w:lang w:val="en-US" w:eastAsia="zh-CN"/>
                    </w:rPr>
                    <w:t>切割、钻孔</w:t>
                  </w:r>
                </w:p>
              </w:tc>
              <w:tc>
                <w:tcPr>
                  <w:tcW w:w="668" w:type="dxa"/>
                  <w:vMerge w:val="continue"/>
                  <w:noWrap w:val="0"/>
                  <w:vAlign w:val="center"/>
                </w:tcPr>
                <w:p w14:paraId="28A12240">
                  <w:pPr>
                    <w:adjustRightInd w:val="0"/>
                    <w:snapToGrid w:val="0"/>
                    <w:jc w:val="center"/>
                    <w:rPr>
                      <w:rFonts w:hint="eastAsia"/>
                      <w:color w:val="auto"/>
                      <w:szCs w:val="18"/>
                    </w:rPr>
                  </w:pPr>
                </w:p>
              </w:tc>
              <w:tc>
                <w:tcPr>
                  <w:tcW w:w="500" w:type="dxa"/>
                  <w:noWrap w:val="0"/>
                  <w:vAlign w:val="center"/>
                </w:tcPr>
                <w:p w14:paraId="07020797">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636" w:type="dxa"/>
                  <w:noWrap w:val="0"/>
                  <w:vAlign w:val="center"/>
                </w:tcPr>
                <w:p w14:paraId="0353CE41">
                  <w:pPr>
                    <w:adjustRightInd w:val="0"/>
                    <w:snapToGrid w:val="0"/>
                    <w:jc w:val="center"/>
                    <w:rPr>
                      <w:rFonts w:hint="eastAsia" w:eastAsia="宋体" w:cs="宋体"/>
                      <w:color w:val="auto"/>
                      <w:szCs w:val="18"/>
                      <w:lang w:val="en-US" w:eastAsia="zh-CN"/>
                    </w:rPr>
                  </w:pPr>
                  <w:r>
                    <w:rPr>
                      <w:rFonts w:hint="eastAsia" w:cs="宋体"/>
                      <w:color w:val="auto"/>
                      <w:szCs w:val="18"/>
                      <w:lang w:val="en-US" w:eastAsia="zh-CN"/>
                    </w:rPr>
                    <w:t>/</w:t>
                  </w:r>
                </w:p>
              </w:tc>
              <w:tc>
                <w:tcPr>
                  <w:tcW w:w="819" w:type="dxa"/>
                  <w:noWrap w:val="0"/>
                  <w:vAlign w:val="center"/>
                </w:tcPr>
                <w:p w14:paraId="5BC6F56D">
                  <w:pPr>
                    <w:adjustRightInd w:val="0"/>
                    <w:snapToGrid w:val="0"/>
                    <w:jc w:val="center"/>
                    <w:rPr>
                      <w:rFonts w:hint="eastAsia" w:eastAsia="宋体" w:cs="宋体"/>
                      <w:color w:val="auto"/>
                      <w:szCs w:val="18"/>
                      <w:lang w:val="en-US" w:eastAsia="zh-CN"/>
                    </w:rPr>
                  </w:pPr>
                  <w:r>
                    <w:rPr>
                      <w:rFonts w:hint="eastAsia" w:cs="宋体"/>
                      <w:color w:val="auto"/>
                      <w:szCs w:val="18"/>
                      <w:lang w:val="en-US" w:eastAsia="zh-CN"/>
                    </w:rPr>
                    <w:t>SW17</w:t>
                  </w:r>
                </w:p>
              </w:tc>
              <w:tc>
                <w:tcPr>
                  <w:tcW w:w="1377" w:type="dxa"/>
                  <w:noWrap w:val="0"/>
                  <w:vAlign w:val="center"/>
                </w:tcPr>
                <w:p w14:paraId="0172DA0F">
                  <w:pPr>
                    <w:adjustRightInd w:val="0"/>
                    <w:snapToGrid w:val="0"/>
                    <w:jc w:val="center"/>
                    <w:rPr>
                      <w:rFonts w:hint="default" w:eastAsia="宋体" w:cs="宋体"/>
                      <w:color w:val="auto"/>
                      <w:szCs w:val="18"/>
                      <w:lang w:val="en-US" w:eastAsia="zh-CN"/>
                    </w:rPr>
                  </w:pPr>
                  <w:r>
                    <w:rPr>
                      <w:rFonts w:hint="eastAsia" w:cs="宋体"/>
                      <w:color w:val="auto"/>
                      <w:szCs w:val="18"/>
                      <w:lang w:val="en-US" w:eastAsia="zh-CN"/>
                    </w:rPr>
                    <w:t>900-003-S17</w:t>
                  </w:r>
                </w:p>
              </w:tc>
              <w:tc>
                <w:tcPr>
                  <w:tcW w:w="709" w:type="dxa"/>
                  <w:noWrap w:val="0"/>
                  <w:vAlign w:val="center"/>
                </w:tcPr>
                <w:p w14:paraId="1340B6B1">
                  <w:pPr>
                    <w:adjustRightInd w:val="0"/>
                    <w:snapToGrid w:val="0"/>
                    <w:jc w:val="center"/>
                    <w:rPr>
                      <w:rFonts w:hint="default" w:eastAsia="宋体" w:cs="宋体"/>
                      <w:color w:val="auto"/>
                      <w:szCs w:val="18"/>
                      <w:lang w:val="en-US" w:eastAsia="zh-CN"/>
                    </w:rPr>
                  </w:pPr>
                  <w:r>
                    <w:rPr>
                      <w:rFonts w:hint="eastAsia" w:cs="宋体"/>
                      <w:color w:val="auto"/>
                      <w:szCs w:val="18"/>
                      <w:lang w:val="en-US" w:eastAsia="zh-CN"/>
                    </w:rPr>
                    <w:t>/</w:t>
                  </w:r>
                </w:p>
              </w:tc>
              <w:tc>
                <w:tcPr>
                  <w:tcW w:w="859" w:type="dxa"/>
                  <w:noWrap w:val="0"/>
                  <w:vAlign w:val="center"/>
                </w:tcPr>
                <w:p w14:paraId="54EA931B">
                  <w:pPr>
                    <w:adjustRightInd w:val="0"/>
                    <w:snapToGrid w:val="0"/>
                    <w:jc w:val="center"/>
                    <w:rPr>
                      <w:rFonts w:hint="default"/>
                      <w:color w:val="auto"/>
                      <w:szCs w:val="18"/>
                      <w:lang w:val="en-US" w:eastAsia="zh-CN"/>
                    </w:rPr>
                  </w:pPr>
                  <w:r>
                    <w:rPr>
                      <w:rFonts w:hint="eastAsia"/>
                      <w:color w:val="auto"/>
                      <w:szCs w:val="18"/>
                      <w:lang w:val="en-US" w:eastAsia="zh-CN"/>
                    </w:rPr>
                    <w:t>1.8</w:t>
                  </w:r>
                </w:p>
              </w:tc>
              <w:tc>
                <w:tcPr>
                  <w:tcW w:w="886" w:type="dxa"/>
                  <w:noWrap w:val="0"/>
                  <w:vAlign w:val="center"/>
                </w:tcPr>
                <w:p w14:paraId="27E48808">
                  <w:pPr>
                    <w:adjustRightInd w:val="0"/>
                    <w:snapToGrid w:val="0"/>
                    <w:jc w:val="center"/>
                    <w:rPr>
                      <w:rFonts w:hint="default"/>
                      <w:color w:val="auto"/>
                      <w:szCs w:val="18"/>
                      <w:lang w:val="en-US" w:eastAsia="zh-CN"/>
                    </w:rPr>
                  </w:pPr>
                  <w:r>
                    <w:rPr>
                      <w:rFonts w:hint="eastAsia"/>
                      <w:color w:val="auto"/>
                      <w:szCs w:val="18"/>
                      <w:lang w:val="en-US" w:eastAsia="zh-CN"/>
                    </w:rPr>
                    <w:t>1.8</w:t>
                  </w:r>
                </w:p>
              </w:tc>
              <w:tc>
                <w:tcPr>
                  <w:tcW w:w="900" w:type="dxa"/>
                  <w:noWrap w:val="0"/>
                  <w:vAlign w:val="center"/>
                </w:tcPr>
                <w:p w14:paraId="23CB1DBF">
                  <w:pPr>
                    <w:adjustRightInd w:val="0"/>
                    <w:snapToGrid w:val="0"/>
                    <w:jc w:val="center"/>
                    <w:rPr>
                      <w:rFonts w:hint="eastAsia" w:eastAsia="宋体"/>
                      <w:color w:val="auto"/>
                      <w:szCs w:val="18"/>
                      <w:lang w:val="en-US" w:eastAsia="zh-CN"/>
                    </w:rPr>
                  </w:pPr>
                  <w:r>
                    <w:rPr>
                      <w:rFonts w:hint="eastAsia"/>
                      <w:color w:val="auto"/>
                      <w:szCs w:val="18"/>
                      <w:lang w:val="en-US" w:eastAsia="zh-CN"/>
                    </w:rPr>
                    <w:t>0</w:t>
                  </w:r>
                </w:p>
              </w:tc>
              <w:tc>
                <w:tcPr>
                  <w:tcW w:w="1101" w:type="dxa"/>
                  <w:noWrap w:val="0"/>
                  <w:vAlign w:val="center"/>
                </w:tcPr>
                <w:p w14:paraId="74F5365D">
                  <w:pPr>
                    <w:adjustRightInd w:val="0"/>
                    <w:snapToGrid w:val="0"/>
                    <w:jc w:val="center"/>
                    <w:rPr>
                      <w:rFonts w:hint="eastAsia" w:eastAsia="宋体"/>
                      <w:color w:val="auto"/>
                      <w:szCs w:val="18"/>
                      <w:lang w:val="en-US" w:eastAsia="zh-CN"/>
                    </w:rPr>
                  </w:pPr>
                  <w:r>
                    <w:rPr>
                      <w:rFonts w:hint="eastAsia"/>
                      <w:color w:val="auto"/>
                      <w:szCs w:val="18"/>
                      <w:lang w:val="en-US" w:eastAsia="zh-CN"/>
                    </w:rPr>
                    <w:t>无包装</w:t>
                  </w:r>
                </w:p>
              </w:tc>
              <w:tc>
                <w:tcPr>
                  <w:tcW w:w="2262" w:type="dxa"/>
                  <w:vMerge w:val="continue"/>
                  <w:noWrap w:val="0"/>
                  <w:vAlign w:val="center"/>
                </w:tcPr>
                <w:p w14:paraId="5A276EEC">
                  <w:pPr>
                    <w:adjustRightInd w:val="0"/>
                    <w:snapToGrid w:val="0"/>
                    <w:jc w:val="center"/>
                    <w:rPr>
                      <w:rFonts w:hint="default" w:eastAsia="宋体"/>
                      <w:color w:val="auto"/>
                      <w:spacing w:val="-11"/>
                      <w:szCs w:val="18"/>
                      <w:lang w:val="en-US" w:eastAsia="zh-CN"/>
                    </w:rPr>
                  </w:pPr>
                </w:p>
              </w:tc>
            </w:tr>
            <w:tr w14:paraId="39706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noWrap w:val="0"/>
                  <w:vAlign w:val="center"/>
                </w:tcPr>
                <w:p w14:paraId="36E0B5E9">
                  <w:pPr>
                    <w:numPr>
                      <w:ilvl w:val="0"/>
                      <w:numId w:val="9"/>
                    </w:numPr>
                    <w:adjustRightInd w:val="0"/>
                    <w:snapToGrid w:val="0"/>
                    <w:ind w:left="0" w:leftChars="0" w:firstLine="0" w:firstLineChars="0"/>
                    <w:jc w:val="center"/>
                    <w:rPr>
                      <w:rFonts w:hint="eastAsia"/>
                      <w:color w:val="auto"/>
                      <w:kern w:val="2"/>
                      <w:sz w:val="21"/>
                      <w:szCs w:val="18"/>
                      <w:lang w:val="en-US" w:eastAsia="zh-CN" w:bidi="ar-SA"/>
                    </w:rPr>
                  </w:pPr>
                </w:p>
              </w:tc>
              <w:tc>
                <w:tcPr>
                  <w:tcW w:w="1153" w:type="dxa"/>
                  <w:noWrap w:val="0"/>
                  <w:vAlign w:val="center"/>
                </w:tcPr>
                <w:p w14:paraId="7B507FE7">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eastAsia="zh-CN"/>
                    </w:rPr>
                  </w:pPr>
                  <w:r>
                    <w:rPr>
                      <w:rFonts w:hint="eastAsia" w:ascii="Times New Roman" w:hAnsi="Times New Roman" w:cs="Times New Roman"/>
                      <w:b w:val="0"/>
                      <w:color w:val="auto"/>
                      <w:sz w:val="21"/>
                      <w:szCs w:val="18"/>
                      <w:lang w:val="en-US" w:eastAsia="zh-CN"/>
                    </w:rPr>
                    <w:t>收集粉尘</w:t>
                  </w:r>
                </w:p>
              </w:tc>
              <w:tc>
                <w:tcPr>
                  <w:tcW w:w="1337" w:type="dxa"/>
                  <w:noWrap w:val="0"/>
                  <w:vAlign w:val="center"/>
                </w:tcPr>
                <w:p w14:paraId="74F79636">
                  <w:pPr>
                    <w:adjustRightInd w:val="0"/>
                    <w:snapToGrid w:val="0"/>
                    <w:jc w:val="center"/>
                    <w:rPr>
                      <w:color w:val="auto"/>
                      <w:szCs w:val="18"/>
                    </w:rPr>
                  </w:pPr>
                  <w:r>
                    <w:rPr>
                      <w:rFonts w:hint="eastAsia"/>
                      <w:color w:val="auto"/>
                      <w:szCs w:val="18"/>
                      <w:lang w:val="en-US" w:eastAsia="zh-CN"/>
                    </w:rPr>
                    <w:t>颗粒物</w:t>
                  </w:r>
                  <w:r>
                    <w:rPr>
                      <w:rFonts w:hint="eastAsia"/>
                      <w:color w:val="auto"/>
                      <w:szCs w:val="18"/>
                    </w:rPr>
                    <w:t>治理</w:t>
                  </w:r>
                </w:p>
              </w:tc>
              <w:tc>
                <w:tcPr>
                  <w:tcW w:w="668" w:type="dxa"/>
                  <w:vMerge w:val="continue"/>
                  <w:noWrap w:val="0"/>
                  <w:vAlign w:val="center"/>
                </w:tcPr>
                <w:p w14:paraId="77799985">
                  <w:pPr>
                    <w:adjustRightInd w:val="0"/>
                    <w:snapToGrid w:val="0"/>
                    <w:jc w:val="center"/>
                    <w:rPr>
                      <w:rFonts w:hint="default"/>
                      <w:color w:val="auto"/>
                      <w:szCs w:val="18"/>
                      <w:lang w:val="en-US" w:eastAsia="zh-CN"/>
                    </w:rPr>
                  </w:pPr>
                </w:p>
              </w:tc>
              <w:tc>
                <w:tcPr>
                  <w:tcW w:w="500" w:type="dxa"/>
                  <w:noWrap w:val="0"/>
                  <w:vAlign w:val="center"/>
                </w:tcPr>
                <w:p w14:paraId="12ED3FB4">
                  <w:pPr>
                    <w:adjustRightInd w:val="0"/>
                    <w:snapToGrid w:val="0"/>
                    <w:jc w:val="center"/>
                    <w:rPr>
                      <w:color w:val="auto"/>
                      <w:szCs w:val="18"/>
                    </w:rPr>
                  </w:pPr>
                  <w:r>
                    <w:rPr>
                      <w:rFonts w:hint="eastAsia"/>
                      <w:color w:val="auto"/>
                      <w:szCs w:val="18"/>
                    </w:rPr>
                    <w:t>固</w:t>
                  </w:r>
                </w:p>
              </w:tc>
              <w:tc>
                <w:tcPr>
                  <w:tcW w:w="1636" w:type="dxa"/>
                  <w:noWrap w:val="0"/>
                  <w:vAlign w:val="center"/>
                </w:tcPr>
                <w:p w14:paraId="683058B2">
                  <w:pPr>
                    <w:adjustRightInd w:val="0"/>
                    <w:snapToGrid w:val="0"/>
                    <w:jc w:val="center"/>
                    <w:rPr>
                      <w:rFonts w:hint="eastAsia" w:eastAsia="宋体"/>
                      <w:color w:val="auto"/>
                      <w:szCs w:val="18"/>
                      <w:lang w:eastAsia="zh-CN"/>
                    </w:rPr>
                  </w:pPr>
                  <w:r>
                    <w:rPr>
                      <w:rFonts w:hint="eastAsia"/>
                      <w:color w:val="auto"/>
                      <w:szCs w:val="18"/>
                      <w:lang w:val="en-US" w:eastAsia="zh-CN"/>
                    </w:rPr>
                    <w:t>/</w:t>
                  </w:r>
                </w:p>
              </w:tc>
              <w:tc>
                <w:tcPr>
                  <w:tcW w:w="819" w:type="dxa"/>
                  <w:noWrap w:val="0"/>
                  <w:vAlign w:val="center"/>
                </w:tcPr>
                <w:p w14:paraId="3123A43E">
                  <w:pPr>
                    <w:adjustRightInd w:val="0"/>
                    <w:snapToGrid w:val="0"/>
                    <w:jc w:val="center"/>
                    <w:rPr>
                      <w:rFonts w:hint="default" w:eastAsia="宋体"/>
                      <w:color w:val="auto"/>
                      <w:spacing w:val="-11"/>
                      <w:szCs w:val="18"/>
                      <w:lang w:val="en-US" w:eastAsia="zh-CN"/>
                    </w:rPr>
                  </w:pPr>
                  <w:r>
                    <w:rPr>
                      <w:rFonts w:hint="eastAsia"/>
                      <w:color w:val="auto"/>
                      <w:spacing w:val="-11"/>
                      <w:szCs w:val="18"/>
                      <w:lang w:val="en-US" w:eastAsia="zh-CN"/>
                    </w:rPr>
                    <w:t>SW59</w:t>
                  </w:r>
                </w:p>
              </w:tc>
              <w:tc>
                <w:tcPr>
                  <w:tcW w:w="1377" w:type="dxa"/>
                  <w:noWrap w:val="0"/>
                  <w:vAlign w:val="center"/>
                </w:tcPr>
                <w:p w14:paraId="2EB03788">
                  <w:pPr>
                    <w:adjustRightInd w:val="0"/>
                    <w:snapToGrid w:val="0"/>
                    <w:jc w:val="center"/>
                    <w:rPr>
                      <w:rFonts w:hint="default" w:eastAsia="宋体"/>
                      <w:color w:val="auto"/>
                      <w:spacing w:val="-11"/>
                      <w:szCs w:val="18"/>
                      <w:lang w:val="en-US" w:eastAsia="zh-CN"/>
                    </w:rPr>
                  </w:pPr>
                  <w:r>
                    <w:rPr>
                      <w:rFonts w:hint="eastAsia"/>
                      <w:color w:val="auto"/>
                      <w:spacing w:val="-11"/>
                      <w:szCs w:val="18"/>
                      <w:lang w:val="en-US" w:eastAsia="zh-CN"/>
                    </w:rPr>
                    <w:t>900-099-S59</w:t>
                  </w:r>
                </w:p>
              </w:tc>
              <w:tc>
                <w:tcPr>
                  <w:tcW w:w="709" w:type="dxa"/>
                  <w:noWrap w:val="0"/>
                  <w:vAlign w:val="center"/>
                </w:tcPr>
                <w:p w14:paraId="5DE45800">
                  <w:pPr>
                    <w:adjustRightInd w:val="0"/>
                    <w:snapToGrid w:val="0"/>
                    <w:jc w:val="center"/>
                    <w:rPr>
                      <w:rFonts w:hint="eastAsia" w:eastAsia="宋体"/>
                      <w:color w:val="auto"/>
                      <w:szCs w:val="18"/>
                      <w:lang w:val="en-US" w:eastAsia="zh-CN"/>
                    </w:rPr>
                  </w:pPr>
                  <w:r>
                    <w:rPr>
                      <w:rFonts w:hint="eastAsia"/>
                      <w:color w:val="auto"/>
                      <w:szCs w:val="18"/>
                      <w:lang w:val="en-US" w:eastAsia="zh-CN"/>
                    </w:rPr>
                    <w:t>/</w:t>
                  </w:r>
                </w:p>
              </w:tc>
              <w:tc>
                <w:tcPr>
                  <w:tcW w:w="859" w:type="dxa"/>
                  <w:noWrap w:val="0"/>
                  <w:vAlign w:val="center"/>
                </w:tcPr>
                <w:p w14:paraId="3EF144E5">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1.539</w:t>
                  </w:r>
                </w:p>
              </w:tc>
              <w:tc>
                <w:tcPr>
                  <w:tcW w:w="886" w:type="dxa"/>
                  <w:noWrap w:val="0"/>
                  <w:vAlign w:val="center"/>
                </w:tcPr>
                <w:p w14:paraId="389A60C9">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1.539</w:t>
                  </w:r>
                </w:p>
              </w:tc>
              <w:tc>
                <w:tcPr>
                  <w:tcW w:w="900" w:type="dxa"/>
                  <w:noWrap w:val="0"/>
                  <w:vAlign w:val="center"/>
                </w:tcPr>
                <w:p w14:paraId="310ADB5C">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1101" w:type="dxa"/>
                  <w:noWrap w:val="0"/>
                  <w:vAlign w:val="center"/>
                </w:tcPr>
                <w:p w14:paraId="4DB06E6B">
                  <w:pPr>
                    <w:adjustRightInd w:val="0"/>
                    <w:snapToGrid w:val="0"/>
                    <w:jc w:val="center"/>
                    <w:rPr>
                      <w:color w:val="auto"/>
                      <w:szCs w:val="18"/>
                    </w:rPr>
                  </w:pPr>
                  <w:r>
                    <w:rPr>
                      <w:rFonts w:hint="eastAsia"/>
                      <w:color w:val="auto"/>
                      <w:szCs w:val="18"/>
                    </w:rPr>
                    <w:t>袋装</w:t>
                  </w:r>
                </w:p>
              </w:tc>
              <w:tc>
                <w:tcPr>
                  <w:tcW w:w="2262" w:type="dxa"/>
                  <w:vMerge w:val="continue"/>
                  <w:noWrap w:val="0"/>
                  <w:vAlign w:val="center"/>
                </w:tcPr>
                <w:p w14:paraId="0A06BD1B">
                  <w:pPr>
                    <w:adjustRightInd w:val="0"/>
                    <w:snapToGrid w:val="0"/>
                    <w:jc w:val="center"/>
                    <w:rPr>
                      <w:color w:val="auto"/>
                      <w:szCs w:val="18"/>
                    </w:rPr>
                  </w:pPr>
                </w:p>
              </w:tc>
            </w:tr>
            <w:tr w14:paraId="00E9BE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noWrap w:val="0"/>
                  <w:vAlign w:val="center"/>
                </w:tcPr>
                <w:p w14:paraId="5DF57D86">
                  <w:pPr>
                    <w:numPr>
                      <w:ilvl w:val="0"/>
                      <w:numId w:val="9"/>
                    </w:numPr>
                    <w:adjustRightInd w:val="0"/>
                    <w:snapToGrid w:val="0"/>
                    <w:ind w:left="0" w:leftChars="0" w:firstLine="0" w:firstLineChars="0"/>
                    <w:jc w:val="center"/>
                    <w:rPr>
                      <w:rFonts w:hint="eastAsia"/>
                      <w:color w:val="auto"/>
                      <w:szCs w:val="18"/>
                      <w:lang w:val="en-US" w:eastAsia="zh-CN"/>
                    </w:rPr>
                  </w:pPr>
                </w:p>
              </w:tc>
              <w:tc>
                <w:tcPr>
                  <w:tcW w:w="1153" w:type="dxa"/>
                  <w:noWrap w:val="0"/>
                  <w:vAlign w:val="center"/>
                </w:tcPr>
                <w:p w14:paraId="0FB47EC5">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废活性炭</w:t>
                  </w:r>
                </w:p>
              </w:tc>
              <w:tc>
                <w:tcPr>
                  <w:tcW w:w="1337" w:type="dxa"/>
                  <w:noWrap w:val="0"/>
                  <w:vAlign w:val="center"/>
                </w:tcPr>
                <w:p w14:paraId="044DF356">
                  <w:pPr>
                    <w:adjustRightInd w:val="0"/>
                    <w:snapToGrid w:val="0"/>
                    <w:jc w:val="center"/>
                    <w:rPr>
                      <w:rFonts w:hint="default" w:eastAsia="宋体"/>
                      <w:color w:val="auto"/>
                      <w:szCs w:val="18"/>
                      <w:lang w:val="en-US" w:eastAsia="zh-CN"/>
                    </w:rPr>
                  </w:pPr>
                  <w:r>
                    <w:rPr>
                      <w:rFonts w:hint="eastAsia"/>
                      <w:color w:val="auto"/>
                      <w:szCs w:val="18"/>
                      <w:lang w:val="en-US" w:eastAsia="zh-CN"/>
                    </w:rPr>
                    <w:t>有机废气治理</w:t>
                  </w:r>
                </w:p>
              </w:tc>
              <w:tc>
                <w:tcPr>
                  <w:tcW w:w="668" w:type="dxa"/>
                  <w:vMerge w:val="restart"/>
                  <w:noWrap w:val="0"/>
                  <w:vAlign w:val="center"/>
                </w:tcPr>
                <w:p w14:paraId="1CA56FE6">
                  <w:pPr>
                    <w:adjustRightInd w:val="0"/>
                    <w:snapToGrid w:val="0"/>
                    <w:jc w:val="center"/>
                    <w:rPr>
                      <w:color w:val="auto"/>
                      <w:szCs w:val="18"/>
                    </w:rPr>
                  </w:pPr>
                  <w:r>
                    <w:rPr>
                      <w:rFonts w:hint="eastAsia"/>
                      <w:color w:val="auto"/>
                      <w:szCs w:val="18"/>
                    </w:rPr>
                    <w:t>危险</w:t>
                  </w:r>
                </w:p>
                <w:p w14:paraId="2D917F86">
                  <w:pPr>
                    <w:adjustRightInd w:val="0"/>
                    <w:snapToGrid w:val="0"/>
                    <w:jc w:val="center"/>
                    <w:rPr>
                      <w:rFonts w:hint="eastAsia"/>
                      <w:color w:val="auto"/>
                      <w:szCs w:val="18"/>
                    </w:rPr>
                  </w:pPr>
                  <w:r>
                    <w:rPr>
                      <w:rFonts w:hint="eastAsia"/>
                      <w:color w:val="auto"/>
                      <w:szCs w:val="18"/>
                    </w:rPr>
                    <w:t>废物</w:t>
                  </w:r>
                </w:p>
              </w:tc>
              <w:tc>
                <w:tcPr>
                  <w:tcW w:w="500" w:type="dxa"/>
                  <w:noWrap w:val="0"/>
                  <w:vAlign w:val="center"/>
                </w:tcPr>
                <w:p w14:paraId="75DC99EB">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636" w:type="dxa"/>
                  <w:noWrap w:val="0"/>
                  <w:vAlign w:val="center"/>
                </w:tcPr>
                <w:p w14:paraId="4E36E115">
                  <w:pPr>
                    <w:adjustRightInd w:val="0"/>
                    <w:snapToGrid w:val="0"/>
                    <w:jc w:val="center"/>
                    <w:rPr>
                      <w:rFonts w:hint="eastAsia" w:eastAsia="宋体"/>
                      <w:color w:val="auto"/>
                      <w:szCs w:val="18"/>
                      <w:lang w:val="en-US" w:eastAsia="zh-CN"/>
                    </w:rPr>
                  </w:pPr>
                  <w:r>
                    <w:rPr>
                      <w:rFonts w:hint="eastAsia"/>
                      <w:color w:val="auto"/>
                      <w:szCs w:val="18"/>
                      <w:lang w:val="en-US" w:eastAsia="zh-CN"/>
                    </w:rPr>
                    <w:t>有机废气</w:t>
                  </w:r>
                </w:p>
              </w:tc>
              <w:tc>
                <w:tcPr>
                  <w:tcW w:w="819" w:type="dxa"/>
                  <w:shd w:val="clear" w:color="auto" w:fill="auto"/>
                  <w:noWrap w:val="0"/>
                  <w:vAlign w:val="center"/>
                </w:tcPr>
                <w:p w14:paraId="3AB043C8">
                  <w:pPr>
                    <w:adjustRightInd w:val="0"/>
                    <w:snapToGrid w:val="0"/>
                    <w:jc w:val="center"/>
                    <w:rPr>
                      <w:rFonts w:hint="eastAsia" w:ascii="Times New Roman" w:hAnsi="Times New Roman" w:eastAsia="宋体" w:cs="Times New Roman"/>
                      <w:color w:val="auto"/>
                      <w:spacing w:val="-11"/>
                      <w:kern w:val="2"/>
                      <w:sz w:val="21"/>
                      <w:szCs w:val="18"/>
                      <w:lang w:val="en-US" w:eastAsia="zh-CN" w:bidi="ar-SA"/>
                    </w:rPr>
                  </w:pPr>
                  <w:r>
                    <w:rPr>
                      <w:rFonts w:hint="eastAsia"/>
                      <w:color w:val="auto"/>
                      <w:spacing w:val="-11"/>
                      <w:szCs w:val="18"/>
                    </w:rPr>
                    <w:t>HW49</w:t>
                  </w:r>
                </w:p>
              </w:tc>
              <w:tc>
                <w:tcPr>
                  <w:tcW w:w="1377" w:type="dxa"/>
                  <w:shd w:val="clear" w:color="auto" w:fill="auto"/>
                  <w:noWrap w:val="0"/>
                  <w:vAlign w:val="center"/>
                </w:tcPr>
                <w:p w14:paraId="084182E3">
                  <w:pPr>
                    <w:adjustRightInd w:val="0"/>
                    <w:snapToGrid w:val="0"/>
                    <w:jc w:val="center"/>
                    <w:rPr>
                      <w:rFonts w:hint="eastAsia" w:ascii="Times New Roman" w:hAnsi="Times New Roman" w:eastAsia="宋体" w:cs="Times New Roman"/>
                      <w:color w:val="auto"/>
                      <w:spacing w:val="-11"/>
                      <w:kern w:val="2"/>
                      <w:sz w:val="21"/>
                      <w:szCs w:val="18"/>
                      <w:lang w:val="en-US" w:eastAsia="zh-CN" w:bidi="ar-SA"/>
                    </w:rPr>
                  </w:pPr>
                  <w:r>
                    <w:rPr>
                      <w:rFonts w:hint="eastAsia"/>
                      <w:color w:val="auto"/>
                      <w:spacing w:val="-11"/>
                      <w:szCs w:val="18"/>
                    </w:rPr>
                    <w:t>900-039-49</w:t>
                  </w:r>
                </w:p>
              </w:tc>
              <w:tc>
                <w:tcPr>
                  <w:tcW w:w="709" w:type="dxa"/>
                  <w:shd w:val="clear" w:color="auto" w:fill="auto"/>
                  <w:noWrap w:val="0"/>
                  <w:vAlign w:val="center"/>
                </w:tcPr>
                <w:p w14:paraId="7C232A0B">
                  <w:pPr>
                    <w:adjustRightInd w:val="0"/>
                    <w:snapToGrid w:val="0"/>
                    <w:jc w:val="center"/>
                    <w:rPr>
                      <w:rFonts w:hint="eastAsia" w:ascii="Times New Roman" w:hAnsi="Times New Roman" w:eastAsia="宋体" w:cs="Times New Roman"/>
                      <w:color w:val="auto"/>
                      <w:kern w:val="2"/>
                      <w:sz w:val="21"/>
                      <w:szCs w:val="18"/>
                      <w:lang w:val="en-US" w:eastAsia="zh-CN" w:bidi="ar-SA"/>
                    </w:rPr>
                  </w:pPr>
                  <w:r>
                    <w:rPr>
                      <w:rFonts w:hint="eastAsia"/>
                      <w:color w:val="auto"/>
                      <w:szCs w:val="18"/>
                    </w:rPr>
                    <w:t>T</w:t>
                  </w:r>
                </w:p>
              </w:tc>
              <w:tc>
                <w:tcPr>
                  <w:tcW w:w="859" w:type="dxa"/>
                  <w:shd w:val="clear" w:color="auto" w:fill="auto"/>
                  <w:noWrap w:val="0"/>
                  <w:vAlign w:val="center"/>
                </w:tcPr>
                <w:p w14:paraId="0091C013">
                  <w:pPr>
                    <w:adjustRightInd w:val="0"/>
                    <w:snapToGrid w:val="0"/>
                    <w:jc w:val="center"/>
                    <w:rPr>
                      <w:rFonts w:hint="default" w:ascii="Times New Roman" w:hAnsi="Times New Roman" w:eastAsia="宋体" w:cs="Times New Roman"/>
                      <w:color w:val="auto"/>
                      <w:kern w:val="2"/>
                      <w:sz w:val="21"/>
                      <w:szCs w:val="18"/>
                      <w:lang w:val="en-US" w:eastAsia="zh-CN" w:bidi="ar-SA"/>
                    </w:rPr>
                  </w:pPr>
                  <w:r>
                    <w:rPr>
                      <w:rFonts w:hint="eastAsia" w:cs="Times New Roman"/>
                      <w:color w:val="auto"/>
                      <w:szCs w:val="18"/>
                      <w:lang w:val="en-US" w:eastAsia="zh-CN"/>
                    </w:rPr>
                    <w:t>33.286</w:t>
                  </w:r>
                </w:p>
              </w:tc>
              <w:tc>
                <w:tcPr>
                  <w:tcW w:w="886" w:type="dxa"/>
                  <w:shd w:val="clear" w:color="auto" w:fill="auto"/>
                  <w:noWrap w:val="0"/>
                  <w:vAlign w:val="center"/>
                </w:tcPr>
                <w:p w14:paraId="7669E883">
                  <w:pPr>
                    <w:adjustRightInd w:val="0"/>
                    <w:snapToGrid w:val="0"/>
                    <w:jc w:val="center"/>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szCs w:val="18"/>
                      <w:lang w:val="en-US" w:eastAsia="zh-CN"/>
                    </w:rPr>
                    <w:t>0</w:t>
                  </w:r>
                </w:p>
              </w:tc>
              <w:tc>
                <w:tcPr>
                  <w:tcW w:w="900" w:type="dxa"/>
                  <w:shd w:val="clear" w:color="auto" w:fill="auto"/>
                  <w:noWrap w:val="0"/>
                  <w:vAlign w:val="center"/>
                </w:tcPr>
                <w:p w14:paraId="53481AEB">
                  <w:pPr>
                    <w:adjustRightInd w:val="0"/>
                    <w:snapToGrid w:val="0"/>
                    <w:jc w:val="center"/>
                    <w:rPr>
                      <w:rFonts w:hint="eastAsia" w:ascii="Times New Roman" w:hAnsi="Times New Roman" w:eastAsia="宋体" w:cs="Times New Roman"/>
                      <w:color w:val="auto"/>
                      <w:kern w:val="2"/>
                      <w:sz w:val="21"/>
                      <w:szCs w:val="18"/>
                      <w:lang w:val="en-US" w:eastAsia="zh-CN" w:bidi="ar-SA"/>
                    </w:rPr>
                  </w:pPr>
                  <w:r>
                    <w:rPr>
                      <w:rFonts w:hint="eastAsia" w:cs="Times New Roman"/>
                      <w:color w:val="auto"/>
                      <w:szCs w:val="18"/>
                      <w:lang w:val="en-US" w:eastAsia="zh-CN"/>
                    </w:rPr>
                    <w:t>33.286</w:t>
                  </w:r>
                </w:p>
              </w:tc>
              <w:tc>
                <w:tcPr>
                  <w:tcW w:w="1101" w:type="dxa"/>
                  <w:noWrap w:val="0"/>
                  <w:vAlign w:val="center"/>
                </w:tcPr>
                <w:p w14:paraId="50D5ED9A">
                  <w:pPr>
                    <w:adjustRightInd w:val="0"/>
                    <w:snapToGrid w:val="0"/>
                    <w:jc w:val="center"/>
                    <w:rPr>
                      <w:rFonts w:hint="eastAsia" w:eastAsia="宋体"/>
                      <w:color w:val="auto"/>
                      <w:szCs w:val="18"/>
                      <w:lang w:val="en-US" w:eastAsia="zh-CN"/>
                    </w:rPr>
                  </w:pPr>
                  <w:r>
                    <w:rPr>
                      <w:rFonts w:hint="eastAsia"/>
                      <w:color w:val="auto"/>
                      <w:szCs w:val="18"/>
                      <w:lang w:val="en-US" w:eastAsia="zh-CN"/>
                    </w:rPr>
                    <w:t>袋装</w:t>
                  </w:r>
                </w:p>
              </w:tc>
              <w:tc>
                <w:tcPr>
                  <w:tcW w:w="2262" w:type="dxa"/>
                  <w:vMerge w:val="restart"/>
                  <w:noWrap w:val="0"/>
                  <w:vAlign w:val="center"/>
                </w:tcPr>
                <w:p w14:paraId="5235482F">
                  <w:pPr>
                    <w:adjustRightInd w:val="0"/>
                    <w:snapToGrid w:val="0"/>
                    <w:jc w:val="center"/>
                    <w:rPr>
                      <w:rFonts w:hint="eastAsia"/>
                      <w:color w:val="auto"/>
                      <w:szCs w:val="18"/>
                    </w:rPr>
                  </w:pPr>
                  <w:r>
                    <w:rPr>
                      <w:rFonts w:hint="eastAsia"/>
                      <w:color w:val="auto"/>
                      <w:szCs w:val="18"/>
                    </w:rPr>
                    <w:t>委托有危废处置资质单位处置</w:t>
                  </w:r>
                </w:p>
              </w:tc>
            </w:tr>
            <w:tr w14:paraId="176654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noWrap w:val="0"/>
                  <w:vAlign w:val="center"/>
                </w:tcPr>
                <w:p w14:paraId="7EBE72B2">
                  <w:pPr>
                    <w:numPr>
                      <w:ilvl w:val="0"/>
                      <w:numId w:val="9"/>
                    </w:numPr>
                    <w:adjustRightInd w:val="0"/>
                    <w:snapToGrid w:val="0"/>
                    <w:ind w:left="0" w:leftChars="0" w:firstLine="0" w:firstLineChars="0"/>
                    <w:jc w:val="center"/>
                    <w:rPr>
                      <w:rFonts w:hint="eastAsia"/>
                      <w:color w:val="auto"/>
                      <w:szCs w:val="18"/>
                      <w:lang w:val="en-US" w:eastAsia="zh-CN"/>
                    </w:rPr>
                  </w:pPr>
                </w:p>
              </w:tc>
              <w:tc>
                <w:tcPr>
                  <w:tcW w:w="1153" w:type="dxa"/>
                  <w:noWrap w:val="0"/>
                  <w:vAlign w:val="center"/>
                </w:tcPr>
                <w:p w14:paraId="33C6C228">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废液压油</w:t>
                  </w:r>
                </w:p>
              </w:tc>
              <w:tc>
                <w:tcPr>
                  <w:tcW w:w="1337" w:type="dxa"/>
                  <w:noWrap w:val="0"/>
                  <w:vAlign w:val="center"/>
                </w:tcPr>
                <w:p w14:paraId="4A3FFDAF">
                  <w:pPr>
                    <w:adjustRightInd w:val="0"/>
                    <w:snapToGrid w:val="0"/>
                    <w:jc w:val="center"/>
                    <w:rPr>
                      <w:rFonts w:hint="eastAsia" w:eastAsia="宋体"/>
                      <w:color w:val="auto"/>
                      <w:szCs w:val="18"/>
                      <w:lang w:val="en-US" w:eastAsia="zh-CN"/>
                    </w:rPr>
                  </w:pPr>
                  <w:r>
                    <w:rPr>
                      <w:rFonts w:hint="eastAsia"/>
                      <w:color w:val="auto"/>
                      <w:szCs w:val="18"/>
                      <w:lang w:val="en-US" w:eastAsia="zh-CN"/>
                    </w:rPr>
                    <w:t>设备维护</w:t>
                  </w:r>
                </w:p>
              </w:tc>
              <w:tc>
                <w:tcPr>
                  <w:tcW w:w="668" w:type="dxa"/>
                  <w:vMerge w:val="continue"/>
                  <w:noWrap w:val="0"/>
                  <w:vAlign w:val="center"/>
                </w:tcPr>
                <w:p w14:paraId="0C2F3574">
                  <w:pPr>
                    <w:adjustRightInd w:val="0"/>
                    <w:snapToGrid w:val="0"/>
                    <w:jc w:val="center"/>
                    <w:rPr>
                      <w:rFonts w:hint="eastAsia"/>
                      <w:color w:val="auto"/>
                      <w:szCs w:val="18"/>
                    </w:rPr>
                  </w:pPr>
                </w:p>
              </w:tc>
              <w:tc>
                <w:tcPr>
                  <w:tcW w:w="500" w:type="dxa"/>
                  <w:noWrap w:val="0"/>
                  <w:vAlign w:val="center"/>
                </w:tcPr>
                <w:p w14:paraId="7C29C891">
                  <w:pPr>
                    <w:adjustRightInd w:val="0"/>
                    <w:snapToGrid w:val="0"/>
                    <w:jc w:val="center"/>
                    <w:rPr>
                      <w:rFonts w:hint="eastAsia" w:eastAsia="宋体"/>
                      <w:color w:val="auto"/>
                      <w:szCs w:val="18"/>
                      <w:lang w:val="en-US" w:eastAsia="zh-CN"/>
                    </w:rPr>
                  </w:pPr>
                  <w:r>
                    <w:rPr>
                      <w:rFonts w:hint="eastAsia"/>
                      <w:color w:val="auto"/>
                      <w:szCs w:val="18"/>
                      <w:lang w:val="en-US" w:eastAsia="zh-CN"/>
                    </w:rPr>
                    <w:t>液</w:t>
                  </w:r>
                </w:p>
              </w:tc>
              <w:tc>
                <w:tcPr>
                  <w:tcW w:w="1636" w:type="dxa"/>
                  <w:noWrap w:val="0"/>
                  <w:vAlign w:val="center"/>
                </w:tcPr>
                <w:p w14:paraId="69775BB0">
                  <w:pPr>
                    <w:adjustRightInd w:val="0"/>
                    <w:snapToGrid w:val="0"/>
                    <w:jc w:val="center"/>
                    <w:rPr>
                      <w:rFonts w:hint="eastAsia"/>
                      <w:color w:val="auto"/>
                      <w:szCs w:val="18"/>
                    </w:rPr>
                  </w:pPr>
                  <w:r>
                    <w:rPr>
                      <w:rFonts w:hint="eastAsia"/>
                      <w:color w:val="auto"/>
                      <w:szCs w:val="18"/>
                      <w:lang w:val="en-US" w:eastAsia="zh-CN"/>
                    </w:rPr>
                    <w:t>液压油</w:t>
                  </w:r>
                </w:p>
              </w:tc>
              <w:tc>
                <w:tcPr>
                  <w:tcW w:w="819" w:type="dxa"/>
                  <w:noWrap w:val="0"/>
                  <w:vAlign w:val="center"/>
                </w:tcPr>
                <w:p w14:paraId="5D1ED908">
                  <w:pPr>
                    <w:adjustRightInd w:val="0"/>
                    <w:snapToGrid w:val="0"/>
                    <w:jc w:val="center"/>
                    <w:rPr>
                      <w:rFonts w:hint="eastAsia"/>
                      <w:color w:val="auto"/>
                      <w:spacing w:val="-11"/>
                      <w:szCs w:val="18"/>
                    </w:rPr>
                  </w:pPr>
                  <w:r>
                    <w:rPr>
                      <w:rFonts w:hint="eastAsia"/>
                      <w:color w:val="auto"/>
                      <w:spacing w:val="-11"/>
                      <w:szCs w:val="18"/>
                      <w:lang w:val="en-US" w:eastAsia="zh-CN"/>
                    </w:rPr>
                    <w:t>HW08</w:t>
                  </w:r>
                </w:p>
              </w:tc>
              <w:tc>
                <w:tcPr>
                  <w:tcW w:w="1377" w:type="dxa"/>
                  <w:noWrap w:val="0"/>
                  <w:vAlign w:val="center"/>
                </w:tcPr>
                <w:p w14:paraId="5B4D0EB4">
                  <w:pPr>
                    <w:adjustRightInd w:val="0"/>
                    <w:snapToGrid w:val="0"/>
                    <w:jc w:val="center"/>
                    <w:rPr>
                      <w:rFonts w:hint="eastAsia"/>
                      <w:color w:val="auto"/>
                      <w:spacing w:val="-11"/>
                      <w:szCs w:val="18"/>
                    </w:rPr>
                  </w:pPr>
                  <w:r>
                    <w:rPr>
                      <w:rFonts w:hint="eastAsia" w:ascii="Times New Roman" w:hAnsi="Times New Roman" w:eastAsia="宋体" w:cs="宋体"/>
                      <w:color w:val="auto"/>
                      <w:szCs w:val="18"/>
                    </w:rPr>
                    <w:t>900-249-08</w:t>
                  </w:r>
                </w:p>
              </w:tc>
              <w:tc>
                <w:tcPr>
                  <w:tcW w:w="709" w:type="dxa"/>
                  <w:noWrap w:val="0"/>
                  <w:vAlign w:val="center"/>
                </w:tcPr>
                <w:p w14:paraId="7470B62B">
                  <w:pPr>
                    <w:adjustRightInd w:val="0"/>
                    <w:snapToGrid w:val="0"/>
                    <w:jc w:val="center"/>
                    <w:rPr>
                      <w:rFonts w:hint="eastAsia"/>
                      <w:color w:val="auto"/>
                      <w:szCs w:val="18"/>
                    </w:rPr>
                  </w:pPr>
                  <w:r>
                    <w:rPr>
                      <w:rFonts w:hint="eastAsia"/>
                      <w:color w:val="auto"/>
                      <w:szCs w:val="18"/>
                      <w:lang w:val="en-US" w:eastAsia="zh-CN"/>
                    </w:rPr>
                    <w:t>T，I</w:t>
                  </w:r>
                </w:p>
              </w:tc>
              <w:tc>
                <w:tcPr>
                  <w:tcW w:w="859" w:type="dxa"/>
                  <w:noWrap w:val="0"/>
                  <w:vAlign w:val="center"/>
                </w:tcPr>
                <w:p w14:paraId="52F2A052">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0.075</w:t>
                  </w:r>
                </w:p>
              </w:tc>
              <w:tc>
                <w:tcPr>
                  <w:tcW w:w="886" w:type="dxa"/>
                  <w:noWrap w:val="0"/>
                  <w:vAlign w:val="center"/>
                </w:tcPr>
                <w:p w14:paraId="2C5FDA72">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900" w:type="dxa"/>
                  <w:noWrap w:val="0"/>
                  <w:vAlign w:val="center"/>
                </w:tcPr>
                <w:p w14:paraId="05633388">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0.075</w:t>
                  </w:r>
                </w:p>
              </w:tc>
              <w:tc>
                <w:tcPr>
                  <w:tcW w:w="1101" w:type="dxa"/>
                  <w:noWrap w:val="0"/>
                  <w:vAlign w:val="center"/>
                </w:tcPr>
                <w:p w14:paraId="622E4482">
                  <w:pPr>
                    <w:adjustRightInd w:val="0"/>
                    <w:snapToGrid w:val="0"/>
                    <w:jc w:val="center"/>
                    <w:rPr>
                      <w:rFonts w:hint="eastAsia" w:eastAsia="宋体"/>
                      <w:color w:val="auto"/>
                      <w:szCs w:val="18"/>
                      <w:lang w:val="en-US" w:eastAsia="zh-CN"/>
                    </w:rPr>
                  </w:pPr>
                  <w:r>
                    <w:rPr>
                      <w:rFonts w:hint="eastAsia"/>
                      <w:color w:val="auto"/>
                      <w:szCs w:val="18"/>
                      <w:lang w:val="en-US" w:eastAsia="zh-CN"/>
                    </w:rPr>
                    <w:t>桶装</w:t>
                  </w:r>
                </w:p>
              </w:tc>
              <w:tc>
                <w:tcPr>
                  <w:tcW w:w="2262" w:type="dxa"/>
                  <w:vMerge w:val="continue"/>
                  <w:noWrap w:val="0"/>
                  <w:vAlign w:val="center"/>
                </w:tcPr>
                <w:p w14:paraId="2C3B74B8">
                  <w:pPr>
                    <w:adjustRightInd w:val="0"/>
                    <w:snapToGrid w:val="0"/>
                    <w:jc w:val="center"/>
                    <w:rPr>
                      <w:rFonts w:hint="eastAsia"/>
                      <w:color w:val="auto"/>
                      <w:szCs w:val="18"/>
                    </w:rPr>
                  </w:pPr>
                </w:p>
              </w:tc>
            </w:tr>
            <w:tr w14:paraId="4F1BBC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426" w:type="dxa"/>
                  <w:noWrap w:val="0"/>
                  <w:vAlign w:val="center"/>
                </w:tcPr>
                <w:p w14:paraId="468B9EC3">
                  <w:pPr>
                    <w:numPr>
                      <w:ilvl w:val="0"/>
                      <w:numId w:val="9"/>
                    </w:numPr>
                    <w:adjustRightInd w:val="0"/>
                    <w:snapToGrid w:val="0"/>
                    <w:ind w:left="0" w:leftChars="0" w:firstLine="0" w:firstLineChars="0"/>
                    <w:jc w:val="center"/>
                    <w:rPr>
                      <w:rFonts w:hint="eastAsia"/>
                      <w:color w:val="auto"/>
                      <w:szCs w:val="18"/>
                      <w:lang w:val="en-US" w:eastAsia="zh-CN"/>
                    </w:rPr>
                  </w:pPr>
                </w:p>
              </w:tc>
              <w:tc>
                <w:tcPr>
                  <w:tcW w:w="1153" w:type="dxa"/>
                  <w:noWrap w:val="0"/>
                  <w:vAlign w:val="center"/>
                </w:tcPr>
                <w:p w14:paraId="00EAE890">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废包装桶</w:t>
                  </w:r>
                </w:p>
              </w:tc>
              <w:tc>
                <w:tcPr>
                  <w:tcW w:w="1337" w:type="dxa"/>
                  <w:noWrap w:val="0"/>
                  <w:vAlign w:val="center"/>
                </w:tcPr>
                <w:p w14:paraId="539E38AF">
                  <w:pPr>
                    <w:adjustRightInd w:val="0"/>
                    <w:snapToGrid w:val="0"/>
                    <w:jc w:val="center"/>
                    <w:rPr>
                      <w:rFonts w:hint="eastAsia" w:eastAsia="宋体"/>
                      <w:color w:val="auto"/>
                      <w:szCs w:val="18"/>
                      <w:lang w:val="en-US" w:eastAsia="zh-CN"/>
                    </w:rPr>
                  </w:pPr>
                  <w:r>
                    <w:rPr>
                      <w:rFonts w:hint="eastAsia"/>
                      <w:color w:val="auto"/>
                      <w:szCs w:val="18"/>
                      <w:lang w:val="en-US" w:eastAsia="zh-CN"/>
                    </w:rPr>
                    <w:t>原辅料包装</w:t>
                  </w:r>
                </w:p>
              </w:tc>
              <w:tc>
                <w:tcPr>
                  <w:tcW w:w="668" w:type="dxa"/>
                  <w:vMerge w:val="continue"/>
                  <w:noWrap w:val="0"/>
                  <w:vAlign w:val="center"/>
                </w:tcPr>
                <w:p w14:paraId="2823D118">
                  <w:pPr>
                    <w:adjustRightInd w:val="0"/>
                    <w:snapToGrid w:val="0"/>
                    <w:jc w:val="center"/>
                    <w:rPr>
                      <w:rFonts w:hint="eastAsia"/>
                      <w:color w:val="auto"/>
                      <w:szCs w:val="18"/>
                    </w:rPr>
                  </w:pPr>
                </w:p>
              </w:tc>
              <w:tc>
                <w:tcPr>
                  <w:tcW w:w="500" w:type="dxa"/>
                  <w:noWrap w:val="0"/>
                  <w:vAlign w:val="center"/>
                </w:tcPr>
                <w:p w14:paraId="5B652E70">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636" w:type="dxa"/>
                  <w:noWrap w:val="0"/>
                  <w:vAlign w:val="center"/>
                </w:tcPr>
                <w:p w14:paraId="39B3A7B9">
                  <w:pPr>
                    <w:adjustRightInd w:val="0"/>
                    <w:snapToGrid w:val="0"/>
                    <w:jc w:val="center"/>
                    <w:rPr>
                      <w:rFonts w:hint="eastAsia"/>
                      <w:color w:val="auto"/>
                      <w:szCs w:val="18"/>
                    </w:rPr>
                  </w:pPr>
                  <w:r>
                    <w:rPr>
                      <w:rFonts w:hint="eastAsia"/>
                      <w:color w:val="auto"/>
                      <w:szCs w:val="18"/>
                      <w:lang w:val="en-US" w:eastAsia="zh-CN"/>
                    </w:rPr>
                    <w:t>不饱和聚酯树脂、固化剂、液压油</w:t>
                  </w:r>
                </w:p>
              </w:tc>
              <w:tc>
                <w:tcPr>
                  <w:tcW w:w="819" w:type="dxa"/>
                  <w:noWrap w:val="0"/>
                  <w:vAlign w:val="center"/>
                </w:tcPr>
                <w:p w14:paraId="5F3CAFDF">
                  <w:pPr>
                    <w:adjustRightInd w:val="0"/>
                    <w:snapToGrid w:val="0"/>
                    <w:spacing w:line="240" w:lineRule="auto"/>
                    <w:ind w:firstLine="0" w:firstLineChars="0"/>
                    <w:jc w:val="center"/>
                    <w:rPr>
                      <w:rFonts w:hint="eastAsia"/>
                      <w:color w:val="auto"/>
                      <w:spacing w:val="-11"/>
                      <w:szCs w:val="18"/>
                    </w:rPr>
                  </w:pPr>
                  <w:r>
                    <w:rPr>
                      <w:rFonts w:hint="eastAsia"/>
                      <w:color w:val="auto"/>
                      <w:spacing w:val="-11"/>
                      <w:sz w:val="21"/>
                      <w:szCs w:val="21"/>
                    </w:rPr>
                    <w:t>HW49</w:t>
                  </w:r>
                </w:p>
              </w:tc>
              <w:tc>
                <w:tcPr>
                  <w:tcW w:w="1377" w:type="dxa"/>
                  <w:noWrap w:val="0"/>
                  <w:vAlign w:val="center"/>
                </w:tcPr>
                <w:p w14:paraId="63FBAE52">
                  <w:pPr>
                    <w:adjustRightInd w:val="0"/>
                    <w:snapToGrid w:val="0"/>
                    <w:spacing w:line="240" w:lineRule="auto"/>
                    <w:ind w:firstLine="0" w:firstLineChars="0"/>
                    <w:jc w:val="center"/>
                    <w:rPr>
                      <w:rFonts w:hint="eastAsia"/>
                      <w:color w:val="auto"/>
                      <w:spacing w:val="-11"/>
                      <w:szCs w:val="18"/>
                    </w:rPr>
                  </w:pPr>
                  <w:r>
                    <w:rPr>
                      <w:rFonts w:hint="eastAsia"/>
                      <w:color w:val="auto"/>
                      <w:spacing w:val="-11"/>
                      <w:sz w:val="21"/>
                      <w:szCs w:val="21"/>
                    </w:rPr>
                    <w:t>900-041-49</w:t>
                  </w:r>
                </w:p>
              </w:tc>
              <w:tc>
                <w:tcPr>
                  <w:tcW w:w="709" w:type="dxa"/>
                  <w:noWrap w:val="0"/>
                  <w:vAlign w:val="center"/>
                </w:tcPr>
                <w:p w14:paraId="28FD0AF7">
                  <w:pPr>
                    <w:adjustRightInd w:val="0"/>
                    <w:snapToGrid w:val="0"/>
                    <w:spacing w:line="240" w:lineRule="auto"/>
                    <w:ind w:firstLine="0" w:firstLineChars="0"/>
                    <w:jc w:val="center"/>
                    <w:rPr>
                      <w:rFonts w:hint="eastAsia"/>
                      <w:color w:val="auto"/>
                      <w:szCs w:val="18"/>
                    </w:rPr>
                  </w:pPr>
                  <w:r>
                    <w:rPr>
                      <w:rFonts w:hint="eastAsia"/>
                      <w:color w:val="auto"/>
                      <w:sz w:val="21"/>
                      <w:szCs w:val="21"/>
                    </w:rPr>
                    <w:t>T/In</w:t>
                  </w:r>
                </w:p>
              </w:tc>
              <w:tc>
                <w:tcPr>
                  <w:tcW w:w="859" w:type="dxa"/>
                  <w:noWrap w:val="0"/>
                  <w:vAlign w:val="center"/>
                </w:tcPr>
                <w:p w14:paraId="2370CE0A">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0.4</w:t>
                  </w:r>
                </w:p>
              </w:tc>
              <w:tc>
                <w:tcPr>
                  <w:tcW w:w="886" w:type="dxa"/>
                  <w:noWrap w:val="0"/>
                  <w:vAlign w:val="center"/>
                </w:tcPr>
                <w:p w14:paraId="41DC61E6">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900" w:type="dxa"/>
                  <w:noWrap w:val="0"/>
                  <w:vAlign w:val="center"/>
                </w:tcPr>
                <w:p w14:paraId="24B7534A">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0.4</w:t>
                  </w:r>
                </w:p>
              </w:tc>
              <w:tc>
                <w:tcPr>
                  <w:tcW w:w="1101" w:type="dxa"/>
                  <w:noWrap w:val="0"/>
                  <w:vAlign w:val="center"/>
                </w:tcPr>
                <w:p w14:paraId="1AB694D8">
                  <w:pPr>
                    <w:adjustRightInd w:val="0"/>
                    <w:snapToGrid w:val="0"/>
                    <w:jc w:val="center"/>
                    <w:rPr>
                      <w:rFonts w:hint="eastAsia" w:eastAsia="宋体"/>
                      <w:color w:val="auto"/>
                      <w:szCs w:val="18"/>
                      <w:lang w:val="en-US" w:eastAsia="zh-CN"/>
                    </w:rPr>
                  </w:pPr>
                  <w:r>
                    <w:rPr>
                      <w:rFonts w:hint="eastAsia"/>
                      <w:color w:val="auto"/>
                      <w:szCs w:val="18"/>
                      <w:lang w:val="en-US" w:eastAsia="zh-CN"/>
                    </w:rPr>
                    <w:t>无包装</w:t>
                  </w:r>
                </w:p>
              </w:tc>
              <w:tc>
                <w:tcPr>
                  <w:tcW w:w="2262" w:type="dxa"/>
                  <w:vMerge w:val="continue"/>
                  <w:noWrap w:val="0"/>
                  <w:vAlign w:val="center"/>
                </w:tcPr>
                <w:p w14:paraId="731060AF">
                  <w:pPr>
                    <w:adjustRightInd w:val="0"/>
                    <w:snapToGrid w:val="0"/>
                    <w:jc w:val="center"/>
                    <w:rPr>
                      <w:rFonts w:hint="eastAsia"/>
                      <w:color w:val="auto"/>
                      <w:szCs w:val="18"/>
                    </w:rPr>
                  </w:pPr>
                </w:p>
              </w:tc>
            </w:tr>
            <w:tr w14:paraId="71DF26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6" w:type="dxa"/>
                  <w:noWrap w:val="0"/>
                  <w:vAlign w:val="center"/>
                </w:tcPr>
                <w:p w14:paraId="517A1D05">
                  <w:pPr>
                    <w:numPr>
                      <w:ilvl w:val="0"/>
                      <w:numId w:val="9"/>
                    </w:numPr>
                    <w:adjustRightInd w:val="0"/>
                    <w:snapToGrid w:val="0"/>
                    <w:ind w:left="0" w:leftChars="0" w:firstLine="0" w:firstLineChars="0"/>
                    <w:jc w:val="center"/>
                    <w:rPr>
                      <w:rFonts w:hint="eastAsia"/>
                      <w:color w:val="auto"/>
                      <w:szCs w:val="18"/>
                      <w:lang w:val="en-US" w:eastAsia="zh-CN"/>
                    </w:rPr>
                  </w:pPr>
                </w:p>
              </w:tc>
              <w:tc>
                <w:tcPr>
                  <w:tcW w:w="1153" w:type="dxa"/>
                  <w:noWrap w:val="0"/>
                  <w:vAlign w:val="center"/>
                </w:tcPr>
                <w:p w14:paraId="318FEF1C">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废劳保用品</w:t>
                  </w:r>
                </w:p>
              </w:tc>
              <w:tc>
                <w:tcPr>
                  <w:tcW w:w="1337" w:type="dxa"/>
                  <w:noWrap w:val="0"/>
                  <w:vAlign w:val="center"/>
                </w:tcPr>
                <w:p w14:paraId="1D5857DA">
                  <w:pPr>
                    <w:adjustRightInd w:val="0"/>
                    <w:snapToGrid w:val="0"/>
                    <w:jc w:val="center"/>
                    <w:rPr>
                      <w:rFonts w:hint="eastAsia" w:eastAsia="宋体"/>
                      <w:color w:val="auto"/>
                      <w:szCs w:val="18"/>
                      <w:lang w:val="en-US" w:eastAsia="zh-CN"/>
                    </w:rPr>
                  </w:pPr>
                  <w:r>
                    <w:rPr>
                      <w:rFonts w:hint="eastAsia"/>
                      <w:color w:val="auto"/>
                      <w:szCs w:val="18"/>
                      <w:lang w:val="en-US" w:eastAsia="zh-CN"/>
                    </w:rPr>
                    <w:t>设备维护</w:t>
                  </w:r>
                </w:p>
              </w:tc>
              <w:tc>
                <w:tcPr>
                  <w:tcW w:w="668" w:type="dxa"/>
                  <w:vMerge w:val="continue"/>
                  <w:noWrap w:val="0"/>
                  <w:vAlign w:val="center"/>
                </w:tcPr>
                <w:p w14:paraId="42FB85A3">
                  <w:pPr>
                    <w:adjustRightInd w:val="0"/>
                    <w:snapToGrid w:val="0"/>
                    <w:jc w:val="center"/>
                    <w:rPr>
                      <w:rFonts w:hint="eastAsia"/>
                      <w:color w:val="auto"/>
                      <w:szCs w:val="18"/>
                    </w:rPr>
                  </w:pPr>
                </w:p>
              </w:tc>
              <w:tc>
                <w:tcPr>
                  <w:tcW w:w="500" w:type="dxa"/>
                  <w:noWrap w:val="0"/>
                  <w:vAlign w:val="center"/>
                </w:tcPr>
                <w:p w14:paraId="69FBAB70">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636" w:type="dxa"/>
                  <w:noWrap w:val="0"/>
                  <w:vAlign w:val="center"/>
                </w:tcPr>
                <w:p w14:paraId="0DAE9967">
                  <w:pPr>
                    <w:adjustRightInd w:val="0"/>
                    <w:snapToGrid w:val="0"/>
                    <w:jc w:val="center"/>
                    <w:rPr>
                      <w:rFonts w:hint="default"/>
                      <w:color w:val="auto"/>
                      <w:szCs w:val="18"/>
                      <w:lang w:val="en-US"/>
                    </w:rPr>
                  </w:pPr>
                  <w:r>
                    <w:rPr>
                      <w:rFonts w:hint="eastAsia"/>
                      <w:color w:val="auto"/>
                      <w:szCs w:val="18"/>
                      <w:lang w:val="en-US" w:eastAsia="zh-CN"/>
                    </w:rPr>
                    <w:t>液压油</w:t>
                  </w:r>
                </w:p>
              </w:tc>
              <w:tc>
                <w:tcPr>
                  <w:tcW w:w="819" w:type="dxa"/>
                  <w:noWrap w:val="0"/>
                  <w:vAlign w:val="center"/>
                </w:tcPr>
                <w:p w14:paraId="55E52098">
                  <w:pPr>
                    <w:adjustRightInd w:val="0"/>
                    <w:snapToGrid w:val="0"/>
                    <w:spacing w:line="240" w:lineRule="auto"/>
                    <w:ind w:firstLine="0" w:firstLineChars="0"/>
                    <w:jc w:val="center"/>
                    <w:rPr>
                      <w:rFonts w:hint="eastAsia"/>
                      <w:color w:val="auto"/>
                      <w:spacing w:val="-11"/>
                      <w:szCs w:val="18"/>
                    </w:rPr>
                  </w:pPr>
                  <w:r>
                    <w:rPr>
                      <w:rFonts w:hint="eastAsia"/>
                      <w:color w:val="auto"/>
                      <w:spacing w:val="-11"/>
                      <w:sz w:val="21"/>
                      <w:szCs w:val="21"/>
                    </w:rPr>
                    <w:t>HW49</w:t>
                  </w:r>
                </w:p>
              </w:tc>
              <w:tc>
                <w:tcPr>
                  <w:tcW w:w="1377" w:type="dxa"/>
                  <w:noWrap w:val="0"/>
                  <w:vAlign w:val="center"/>
                </w:tcPr>
                <w:p w14:paraId="53633326">
                  <w:pPr>
                    <w:adjustRightInd w:val="0"/>
                    <w:snapToGrid w:val="0"/>
                    <w:spacing w:line="240" w:lineRule="auto"/>
                    <w:ind w:firstLine="0" w:firstLineChars="0"/>
                    <w:jc w:val="center"/>
                    <w:rPr>
                      <w:rFonts w:hint="eastAsia"/>
                      <w:color w:val="auto"/>
                      <w:spacing w:val="-11"/>
                      <w:szCs w:val="18"/>
                    </w:rPr>
                  </w:pPr>
                  <w:r>
                    <w:rPr>
                      <w:rFonts w:hint="eastAsia"/>
                      <w:color w:val="auto"/>
                      <w:spacing w:val="-11"/>
                      <w:sz w:val="21"/>
                      <w:szCs w:val="21"/>
                    </w:rPr>
                    <w:t>900-041-49</w:t>
                  </w:r>
                </w:p>
              </w:tc>
              <w:tc>
                <w:tcPr>
                  <w:tcW w:w="709" w:type="dxa"/>
                  <w:noWrap w:val="0"/>
                  <w:vAlign w:val="center"/>
                </w:tcPr>
                <w:p w14:paraId="6644B892">
                  <w:pPr>
                    <w:adjustRightInd w:val="0"/>
                    <w:snapToGrid w:val="0"/>
                    <w:spacing w:line="240" w:lineRule="auto"/>
                    <w:ind w:firstLine="0" w:firstLineChars="0"/>
                    <w:jc w:val="center"/>
                    <w:rPr>
                      <w:rFonts w:hint="eastAsia"/>
                      <w:color w:val="auto"/>
                      <w:szCs w:val="18"/>
                    </w:rPr>
                  </w:pPr>
                  <w:r>
                    <w:rPr>
                      <w:rFonts w:hint="eastAsia"/>
                      <w:color w:val="auto"/>
                      <w:sz w:val="21"/>
                      <w:szCs w:val="21"/>
                    </w:rPr>
                    <w:t>T/In</w:t>
                  </w:r>
                </w:p>
              </w:tc>
              <w:tc>
                <w:tcPr>
                  <w:tcW w:w="859" w:type="dxa"/>
                  <w:noWrap w:val="0"/>
                  <w:vAlign w:val="center"/>
                </w:tcPr>
                <w:p w14:paraId="782C1F1A">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0.01</w:t>
                  </w:r>
                </w:p>
              </w:tc>
              <w:tc>
                <w:tcPr>
                  <w:tcW w:w="886" w:type="dxa"/>
                  <w:noWrap w:val="0"/>
                  <w:vAlign w:val="center"/>
                </w:tcPr>
                <w:p w14:paraId="6A65D09A">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900" w:type="dxa"/>
                  <w:noWrap w:val="0"/>
                  <w:vAlign w:val="center"/>
                </w:tcPr>
                <w:p w14:paraId="36CFCE55">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0.01</w:t>
                  </w:r>
                </w:p>
              </w:tc>
              <w:tc>
                <w:tcPr>
                  <w:tcW w:w="1101" w:type="dxa"/>
                  <w:noWrap w:val="0"/>
                  <w:vAlign w:val="center"/>
                </w:tcPr>
                <w:p w14:paraId="479AC0AD">
                  <w:pPr>
                    <w:adjustRightInd w:val="0"/>
                    <w:snapToGrid w:val="0"/>
                    <w:jc w:val="center"/>
                    <w:rPr>
                      <w:rFonts w:hint="eastAsia" w:eastAsia="宋体"/>
                      <w:color w:val="auto"/>
                      <w:szCs w:val="18"/>
                      <w:lang w:val="en-US" w:eastAsia="zh-CN"/>
                    </w:rPr>
                  </w:pPr>
                  <w:r>
                    <w:rPr>
                      <w:rFonts w:hint="eastAsia"/>
                      <w:color w:val="auto"/>
                      <w:szCs w:val="18"/>
                      <w:lang w:val="en-US" w:eastAsia="zh-CN"/>
                    </w:rPr>
                    <w:t>袋装</w:t>
                  </w:r>
                </w:p>
              </w:tc>
              <w:tc>
                <w:tcPr>
                  <w:tcW w:w="2262" w:type="dxa"/>
                  <w:vMerge w:val="continue"/>
                  <w:noWrap w:val="0"/>
                  <w:vAlign w:val="center"/>
                </w:tcPr>
                <w:p w14:paraId="36610EB5">
                  <w:pPr>
                    <w:adjustRightInd w:val="0"/>
                    <w:snapToGrid w:val="0"/>
                    <w:jc w:val="center"/>
                    <w:rPr>
                      <w:rFonts w:hint="eastAsia"/>
                      <w:color w:val="auto"/>
                      <w:szCs w:val="18"/>
                    </w:rPr>
                  </w:pPr>
                </w:p>
              </w:tc>
            </w:tr>
            <w:tr w14:paraId="7C4C82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noWrap w:val="0"/>
                  <w:vAlign w:val="center"/>
                </w:tcPr>
                <w:p w14:paraId="50183CA4">
                  <w:pPr>
                    <w:numPr>
                      <w:ilvl w:val="0"/>
                      <w:numId w:val="9"/>
                    </w:numPr>
                    <w:adjustRightInd w:val="0"/>
                    <w:snapToGrid w:val="0"/>
                    <w:ind w:left="0" w:leftChars="0" w:firstLine="0" w:firstLineChars="0"/>
                    <w:jc w:val="center"/>
                    <w:rPr>
                      <w:rFonts w:hint="eastAsia"/>
                      <w:color w:val="auto"/>
                      <w:szCs w:val="18"/>
                      <w:lang w:val="en-US" w:eastAsia="zh-CN"/>
                    </w:rPr>
                  </w:pPr>
                </w:p>
              </w:tc>
              <w:tc>
                <w:tcPr>
                  <w:tcW w:w="1153" w:type="dxa"/>
                  <w:noWrap w:val="0"/>
                  <w:vAlign w:val="center"/>
                </w:tcPr>
                <w:p w14:paraId="18042883">
                  <w:pPr>
                    <w:pStyle w:val="19"/>
                    <w:spacing w:line="240" w:lineRule="auto"/>
                    <w:ind w:left="0" w:leftChars="0" w:firstLine="0" w:firstLineChars="0"/>
                    <w:jc w:val="center"/>
                    <w:rPr>
                      <w:rFonts w:hint="eastAsia" w:ascii="Times New Roman" w:hAnsi="Times New Roman" w:cs="Times New Roman"/>
                      <w:b w:val="0"/>
                      <w:color w:val="auto"/>
                      <w:sz w:val="21"/>
                      <w:szCs w:val="18"/>
                    </w:rPr>
                  </w:pPr>
                  <w:r>
                    <w:rPr>
                      <w:rFonts w:hint="eastAsia" w:ascii="Times New Roman" w:hAnsi="Times New Roman" w:cs="Times New Roman"/>
                      <w:b w:val="0"/>
                      <w:color w:val="auto"/>
                      <w:sz w:val="21"/>
                      <w:szCs w:val="18"/>
                    </w:rPr>
                    <w:t>生活垃圾</w:t>
                  </w:r>
                </w:p>
              </w:tc>
              <w:tc>
                <w:tcPr>
                  <w:tcW w:w="1337" w:type="dxa"/>
                  <w:noWrap w:val="0"/>
                  <w:vAlign w:val="center"/>
                </w:tcPr>
                <w:p w14:paraId="1C7D0E89">
                  <w:pPr>
                    <w:adjustRightInd w:val="0"/>
                    <w:snapToGrid w:val="0"/>
                    <w:jc w:val="center"/>
                    <w:rPr>
                      <w:rFonts w:hint="eastAsia"/>
                      <w:color w:val="auto"/>
                      <w:szCs w:val="18"/>
                    </w:rPr>
                  </w:pPr>
                  <w:r>
                    <w:rPr>
                      <w:rFonts w:hint="eastAsia"/>
                      <w:color w:val="auto"/>
                      <w:szCs w:val="18"/>
                    </w:rPr>
                    <w:t>员工工作、生活</w:t>
                  </w:r>
                </w:p>
              </w:tc>
              <w:tc>
                <w:tcPr>
                  <w:tcW w:w="668" w:type="dxa"/>
                  <w:noWrap w:val="0"/>
                  <w:vAlign w:val="center"/>
                </w:tcPr>
                <w:p w14:paraId="4FB4F84D">
                  <w:pPr>
                    <w:adjustRightInd w:val="0"/>
                    <w:snapToGrid w:val="0"/>
                    <w:jc w:val="center"/>
                    <w:rPr>
                      <w:rFonts w:hint="eastAsia" w:eastAsia="宋体"/>
                      <w:color w:val="auto"/>
                      <w:szCs w:val="18"/>
                      <w:lang w:val="en-US" w:eastAsia="zh-CN"/>
                    </w:rPr>
                  </w:pPr>
                  <w:r>
                    <w:rPr>
                      <w:rFonts w:hint="eastAsia"/>
                      <w:color w:val="auto"/>
                      <w:szCs w:val="18"/>
                      <w:lang w:val="en-US" w:eastAsia="zh-CN"/>
                    </w:rPr>
                    <w:t>生活固废</w:t>
                  </w:r>
                </w:p>
              </w:tc>
              <w:tc>
                <w:tcPr>
                  <w:tcW w:w="500" w:type="dxa"/>
                  <w:noWrap w:val="0"/>
                  <w:vAlign w:val="center"/>
                </w:tcPr>
                <w:p w14:paraId="3E387BD6">
                  <w:pPr>
                    <w:adjustRightInd w:val="0"/>
                    <w:snapToGrid w:val="0"/>
                    <w:jc w:val="center"/>
                    <w:rPr>
                      <w:rFonts w:hint="eastAsia"/>
                      <w:color w:val="auto"/>
                      <w:szCs w:val="18"/>
                    </w:rPr>
                  </w:pPr>
                  <w:r>
                    <w:rPr>
                      <w:rFonts w:hint="eastAsia"/>
                      <w:color w:val="auto"/>
                      <w:szCs w:val="18"/>
                    </w:rPr>
                    <w:t>固</w:t>
                  </w:r>
                </w:p>
              </w:tc>
              <w:tc>
                <w:tcPr>
                  <w:tcW w:w="1636" w:type="dxa"/>
                  <w:noWrap w:val="0"/>
                  <w:vAlign w:val="center"/>
                </w:tcPr>
                <w:p w14:paraId="5F94B91C">
                  <w:pPr>
                    <w:adjustRightInd w:val="0"/>
                    <w:snapToGrid w:val="0"/>
                    <w:jc w:val="center"/>
                    <w:rPr>
                      <w:rFonts w:hint="eastAsia"/>
                      <w:color w:val="auto"/>
                      <w:szCs w:val="18"/>
                    </w:rPr>
                  </w:pPr>
                  <w:r>
                    <w:rPr>
                      <w:rFonts w:hint="eastAsia"/>
                      <w:color w:val="auto"/>
                      <w:szCs w:val="18"/>
                    </w:rPr>
                    <w:t>/</w:t>
                  </w:r>
                </w:p>
              </w:tc>
              <w:tc>
                <w:tcPr>
                  <w:tcW w:w="819" w:type="dxa"/>
                  <w:noWrap w:val="0"/>
                  <w:vAlign w:val="center"/>
                </w:tcPr>
                <w:p w14:paraId="796A4F7E">
                  <w:pPr>
                    <w:adjustRightInd w:val="0"/>
                    <w:snapToGrid w:val="0"/>
                    <w:jc w:val="center"/>
                    <w:rPr>
                      <w:rFonts w:hint="eastAsia"/>
                      <w:color w:val="auto"/>
                      <w:spacing w:val="-11"/>
                      <w:szCs w:val="18"/>
                    </w:rPr>
                  </w:pPr>
                  <w:r>
                    <w:rPr>
                      <w:rFonts w:hint="eastAsia"/>
                      <w:color w:val="auto"/>
                      <w:spacing w:val="-11"/>
                      <w:szCs w:val="18"/>
                    </w:rPr>
                    <w:t>/</w:t>
                  </w:r>
                </w:p>
              </w:tc>
              <w:tc>
                <w:tcPr>
                  <w:tcW w:w="1377" w:type="dxa"/>
                  <w:noWrap w:val="0"/>
                  <w:vAlign w:val="center"/>
                </w:tcPr>
                <w:p w14:paraId="6F3FB448">
                  <w:pPr>
                    <w:adjustRightInd w:val="0"/>
                    <w:snapToGrid w:val="0"/>
                    <w:jc w:val="center"/>
                    <w:rPr>
                      <w:rFonts w:hint="eastAsia"/>
                      <w:color w:val="auto"/>
                      <w:spacing w:val="-11"/>
                      <w:szCs w:val="18"/>
                    </w:rPr>
                  </w:pPr>
                  <w:r>
                    <w:rPr>
                      <w:rFonts w:hint="eastAsia"/>
                      <w:color w:val="auto"/>
                      <w:spacing w:val="-11"/>
                      <w:szCs w:val="18"/>
                    </w:rPr>
                    <w:t>/</w:t>
                  </w:r>
                </w:p>
              </w:tc>
              <w:tc>
                <w:tcPr>
                  <w:tcW w:w="709" w:type="dxa"/>
                  <w:noWrap w:val="0"/>
                  <w:vAlign w:val="center"/>
                </w:tcPr>
                <w:p w14:paraId="4AA312CA">
                  <w:pPr>
                    <w:adjustRightInd w:val="0"/>
                    <w:snapToGrid w:val="0"/>
                    <w:jc w:val="center"/>
                    <w:rPr>
                      <w:rFonts w:hint="eastAsia"/>
                      <w:color w:val="auto"/>
                      <w:szCs w:val="18"/>
                    </w:rPr>
                  </w:pPr>
                  <w:r>
                    <w:rPr>
                      <w:rFonts w:hint="eastAsia"/>
                      <w:color w:val="auto"/>
                      <w:szCs w:val="18"/>
                    </w:rPr>
                    <w:t>/</w:t>
                  </w:r>
                </w:p>
              </w:tc>
              <w:tc>
                <w:tcPr>
                  <w:tcW w:w="859" w:type="dxa"/>
                  <w:noWrap w:val="0"/>
                  <w:vAlign w:val="center"/>
                </w:tcPr>
                <w:p w14:paraId="3CB4B693">
                  <w:pPr>
                    <w:adjustRightInd w:val="0"/>
                    <w:snapToGrid w:val="0"/>
                    <w:jc w:val="center"/>
                    <w:rPr>
                      <w:rFonts w:hint="default"/>
                      <w:color w:val="auto"/>
                      <w:szCs w:val="18"/>
                      <w:lang w:val="en-US" w:eastAsia="zh-CN"/>
                    </w:rPr>
                  </w:pPr>
                  <w:r>
                    <w:rPr>
                      <w:rFonts w:hint="eastAsia"/>
                      <w:color w:val="auto"/>
                      <w:szCs w:val="18"/>
                      <w:lang w:val="en-US" w:eastAsia="zh-CN"/>
                    </w:rPr>
                    <w:t>2.4</w:t>
                  </w:r>
                </w:p>
              </w:tc>
              <w:tc>
                <w:tcPr>
                  <w:tcW w:w="886" w:type="dxa"/>
                  <w:noWrap w:val="0"/>
                  <w:vAlign w:val="center"/>
                </w:tcPr>
                <w:p w14:paraId="25D0CFF7">
                  <w:pPr>
                    <w:adjustRightInd w:val="0"/>
                    <w:snapToGrid w:val="0"/>
                    <w:jc w:val="center"/>
                    <w:rPr>
                      <w:rFonts w:hint="eastAsia"/>
                      <w:color w:val="auto"/>
                      <w:szCs w:val="18"/>
                    </w:rPr>
                  </w:pPr>
                  <w:r>
                    <w:rPr>
                      <w:rFonts w:hint="eastAsia"/>
                      <w:color w:val="auto"/>
                      <w:szCs w:val="18"/>
                    </w:rPr>
                    <w:t>0</w:t>
                  </w:r>
                </w:p>
              </w:tc>
              <w:tc>
                <w:tcPr>
                  <w:tcW w:w="900" w:type="dxa"/>
                  <w:noWrap w:val="0"/>
                  <w:vAlign w:val="center"/>
                </w:tcPr>
                <w:p w14:paraId="506AA58A">
                  <w:pPr>
                    <w:adjustRightInd w:val="0"/>
                    <w:snapToGrid w:val="0"/>
                    <w:jc w:val="center"/>
                    <w:rPr>
                      <w:rFonts w:hint="default"/>
                      <w:color w:val="auto"/>
                      <w:szCs w:val="18"/>
                      <w:lang w:val="en-US" w:eastAsia="zh-CN"/>
                    </w:rPr>
                  </w:pPr>
                  <w:r>
                    <w:rPr>
                      <w:rFonts w:hint="eastAsia"/>
                      <w:color w:val="auto"/>
                      <w:szCs w:val="18"/>
                      <w:lang w:val="en-US" w:eastAsia="zh-CN"/>
                    </w:rPr>
                    <w:t>2.4</w:t>
                  </w:r>
                </w:p>
              </w:tc>
              <w:tc>
                <w:tcPr>
                  <w:tcW w:w="1101" w:type="dxa"/>
                  <w:noWrap w:val="0"/>
                  <w:vAlign w:val="center"/>
                </w:tcPr>
                <w:p w14:paraId="41B79D43">
                  <w:pPr>
                    <w:adjustRightInd w:val="0"/>
                    <w:snapToGrid w:val="0"/>
                    <w:jc w:val="center"/>
                    <w:rPr>
                      <w:rFonts w:hint="eastAsia"/>
                      <w:color w:val="auto"/>
                      <w:szCs w:val="18"/>
                    </w:rPr>
                  </w:pPr>
                  <w:r>
                    <w:rPr>
                      <w:rFonts w:hint="eastAsia"/>
                      <w:color w:val="auto"/>
                      <w:szCs w:val="18"/>
                    </w:rPr>
                    <w:t>无包装</w:t>
                  </w:r>
                </w:p>
              </w:tc>
              <w:tc>
                <w:tcPr>
                  <w:tcW w:w="2262" w:type="dxa"/>
                  <w:noWrap w:val="0"/>
                  <w:vAlign w:val="center"/>
                </w:tcPr>
                <w:p w14:paraId="69BC9E11">
                  <w:pPr>
                    <w:adjustRightInd w:val="0"/>
                    <w:snapToGrid w:val="0"/>
                    <w:jc w:val="center"/>
                    <w:rPr>
                      <w:rFonts w:hint="default" w:eastAsia="宋体"/>
                      <w:color w:val="auto"/>
                      <w:szCs w:val="18"/>
                      <w:lang w:val="en-US" w:eastAsia="zh-CN"/>
                    </w:rPr>
                  </w:pPr>
                  <w:r>
                    <w:rPr>
                      <w:rFonts w:hint="eastAsia"/>
                      <w:color w:val="auto"/>
                      <w:szCs w:val="18"/>
                    </w:rPr>
                    <w:t>委托环卫人员统一清运</w:t>
                  </w:r>
                </w:p>
              </w:tc>
            </w:tr>
          </w:tbl>
          <w:p w14:paraId="1ABEA1AF">
            <w:pPr>
              <w:pStyle w:val="18"/>
              <w:spacing w:after="0" w:line="500" w:lineRule="exact"/>
              <w:ind w:left="0" w:leftChars="0" w:firstLine="480"/>
              <w:rPr>
                <w:rFonts w:ascii="宋体" w:hAnsi="宋体" w:cs="宋体"/>
                <w:color w:val="auto"/>
                <w:spacing w:val="-11"/>
                <w:sz w:val="21"/>
                <w:szCs w:val="21"/>
              </w:rPr>
            </w:pPr>
            <w:r>
              <w:rPr>
                <w:rFonts w:hint="eastAsia"/>
                <w:color w:val="auto"/>
              </w:rPr>
              <w:t>综上分析，本项目产生的各类固体废物均得到妥善处置，不会产生二次污染，可以实现零排放，不会对周围环境造成明显影响。</w:t>
            </w:r>
          </w:p>
        </w:tc>
      </w:tr>
    </w:tbl>
    <w:p w14:paraId="3E1B986C">
      <w:pPr>
        <w:adjustRightInd w:val="0"/>
        <w:snapToGrid w:val="0"/>
        <w:jc w:val="center"/>
        <w:rPr>
          <w:rFonts w:ascii="宋体" w:hAnsi="宋体" w:cs="宋体"/>
          <w:color w:val="auto"/>
          <w:szCs w:val="21"/>
        </w:rPr>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pPr>
    </w:p>
    <w:tbl>
      <w:tblPr>
        <w:tblStyle w:val="23"/>
        <w:tblW w:w="85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54"/>
      </w:tblGrid>
      <w:tr w14:paraId="08E0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2" w:hRule="atLeast"/>
        </w:trPr>
        <w:tc>
          <w:tcPr>
            <w:tcW w:w="521" w:type="dxa"/>
            <w:noWrap w:val="0"/>
            <w:vAlign w:val="top"/>
          </w:tcPr>
          <w:p w14:paraId="122D9A6D">
            <w:pPr>
              <w:pStyle w:val="16"/>
              <w:spacing w:before="0" w:beforeAutospacing="0" w:after="0" w:afterAutospacing="0"/>
              <w:jc w:val="center"/>
              <w:outlineLvl w:val="0"/>
              <w:rPr>
                <w:rFonts w:cs="宋体"/>
                <w:snapToGrid w:val="0"/>
                <w:color w:val="auto"/>
                <w:sz w:val="21"/>
                <w:szCs w:val="21"/>
              </w:rPr>
            </w:pPr>
          </w:p>
        </w:tc>
        <w:tc>
          <w:tcPr>
            <w:tcW w:w="8054" w:type="dxa"/>
            <w:noWrap w:val="0"/>
            <w:vAlign w:val="top"/>
          </w:tcPr>
          <w:p w14:paraId="75F618B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b w:val="0"/>
                <w:bCs w:val="0"/>
                <w:snapToGrid w:val="0"/>
                <w:color w:val="auto"/>
                <w:szCs w:val="24"/>
              </w:rPr>
            </w:pPr>
            <w:r>
              <w:rPr>
                <w:rFonts w:ascii="Times New Roman" w:hAnsi="Times New Roman"/>
                <w:b w:val="0"/>
                <w:bCs w:val="0"/>
                <w:snapToGrid w:val="0"/>
                <w:color w:val="auto"/>
                <w:szCs w:val="24"/>
              </w:rPr>
              <w:t>2、固废管理要求</w:t>
            </w:r>
          </w:p>
          <w:p w14:paraId="58F926E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（1）一般固废管理要求</w:t>
            </w:r>
          </w:p>
          <w:p w14:paraId="0231925E">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本项目产生的一般工业固废</w:t>
            </w:r>
            <w:r>
              <w:rPr>
                <w:rFonts w:hint="default" w:ascii="Times New Roman" w:hAnsi="Times New Roman" w:cs="Times New Roman"/>
                <w:color w:val="auto"/>
                <w:sz w:val="24"/>
                <w:szCs w:val="24"/>
                <w:lang w:val="en-US" w:eastAsia="zh-CN"/>
              </w:rPr>
              <w:t>为</w:t>
            </w:r>
            <w:r>
              <w:rPr>
                <w:rFonts w:hint="default" w:ascii="Times New Roman" w:hAnsi="Times New Roman" w:cs="Times New Roman"/>
                <w:color w:val="auto"/>
                <w:sz w:val="24"/>
                <w:szCs w:val="24"/>
              </w:rPr>
              <w:t>废包装袋</w:t>
            </w: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边角料</w:t>
            </w:r>
            <w:r>
              <w:rPr>
                <w:rFonts w:hint="default" w:ascii="Times New Roman" w:hAnsi="Times New Roman" w:cs="Times New Roman"/>
                <w:color w:val="auto"/>
                <w:sz w:val="24"/>
                <w:szCs w:val="24"/>
                <w:lang w:val="en-US" w:eastAsia="zh-CN"/>
              </w:rPr>
              <w:t>和</w:t>
            </w:r>
            <w:r>
              <w:rPr>
                <w:rFonts w:hint="eastAsia" w:cs="Times New Roman"/>
                <w:color w:val="auto"/>
                <w:sz w:val="24"/>
                <w:szCs w:val="24"/>
                <w:lang w:val="en-US" w:eastAsia="zh-CN"/>
              </w:rPr>
              <w:t>收集粉尘</w:t>
            </w:r>
            <w:r>
              <w:rPr>
                <w:rFonts w:hint="default" w:ascii="Times New Roman" w:hAnsi="Times New Roman" w:cs="Times New Roman"/>
                <w:color w:val="auto"/>
                <w:sz w:val="24"/>
                <w:szCs w:val="24"/>
              </w:rPr>
              <w:t>，收集后外售给废旧资源回收公司综合利用。一般工业固废收集后暂存于</w:t>
            </w:r>
            <w:r>
              <w:rPr>
                <w:rFonts w:hint="default" w:ascii="Times New Roman" w:hAnsi="Times New Roman" w:cs="Times New Roman"/>
                <w:color w:val="auto"/>
                <w:sz w:val="24"/>
                <w:szCs w:val="24"/>
                <w:lang w:val="en-US" w:eastAsia="zh-CN"/>
              </w:rPr>
              <w:t>生产</w:t>
            </w:r>
            <w:r>
              <w:rPr>
                <w:rFonts w:hint="default" w:ascii="Times New Roman" w:hAnsi="Times New Roman" w:cs="Times New Roman"/>
                <w:color w:val="auto"/>
                <w:sz w:val="24"/>
                <w:szCs w:val="24"/>
              </w:rPr>
              <w:t>厂房内设置的一般固废暂存区，一般固废暂存区面积</w:t>
            </w:r>
            <w:r>
              <w:rPr>
                <w:rFonts w:hint="default"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。一般固废暂存区应按《一般工业固体废物贮存和填埋污染控制标准》（GB18599-2020）要求设置，具体如下：</w:t>
            </w:r>
          </w:p>
          <w:p w14:paraId="34C57526">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①必须与将要暂存的一般工业固废的类别相一致。</w:t>
            </w:r>
          </w:p>
          <w:p w14:paraId="6BDD4550">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②暂存区应做到防风、防雨、防扬散。</w:t>
            </w:r>
          </w:p>
          <w:p w14:paraId="3DC48A88">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color w:val="auto"/>
                <w:kern w:val="2"/>
                <w:szCs w:val="24"/>
              </w:rPr>
              <w:t>③</w:t>
            </w:r>
            <w:r>
              <w:rPr>
                <w:rFonts w:hint="default" w:ascii="Times New Roman" w:hAnsi="Times New Roman" w:cs="Times New Roman"/>
                <w:color w:val="auto"/>
              </w:rPr>
              <w:t>应加强监督管理，禁止危险废物和生活垃圾混入一般固废暂存场所。</w:t>
            </w:r>
          </w:p>
          <w:p w14:paraId="38C57965">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（2）危险废物管理要求</w:t>
            </w:r>
          </w:p>
          <w:p w14:paraId="54CDE271">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本项目产生的危险废物为废活性炭</w:t>
            </w:r>
            <w:r>
              <w:rPr>
                <w:rFonts w:hint="eastAsia" w:ascii="Times New Roman" w:hAnsi="Times New Roman" w:cs="Times New Roman"/>
                <w:snapToGrid w:val="0"/>
                <w:color w:val="auto"/>
                <w:szCs w:val="24"/>
                <w:lang w:eastAsia="zh-CN"/>
              </w:rPr>
              <w:t>、</w:t>
            </w:r>
            <w:r>
              <w:rPr>
                <w:rFonts w:hint="eastAsia" w:ascii="Times New Roman" w:hAnsi="Times New Roman" w:cs="Times New Roman"/>
                <w:snapToGrid w:val="0"/>
                <w:color w:val="auto"/>
                <w:szCs w:val="24"/>
                <w:lang w:val="en-US" w:eastAsia="zh-CN"/>
              </w:rPr>
              <w:t>废液压油、废液压油桶、废劳保用品</w:t>
            </w:r>
            <w:r>
              <w:rPr>
                <w:rFonts w:hint="default" w:ascii="Times New Roman" w:hAnsi="Times New Roman" w:cs="Times New Roman"/>
                <w:snapToGrid w:val="0"/>
                <w:color w:val="auto"/>
                <w:szCs w:val="24"/>
              </w:rPr>
              <w:t>，对危险废物应按相关要求进行分类收集，根据各类危险废物的相容性、反应性以及包装材料的相容性，选择合适的包装材料进行分类收集，避免危险废物与一般工业固废、生活垃圾等混合，从而避免收集过程的二次污染。</w:t>
            </w:r>
          </w:p>
          <w:p w14:paraId="4234DE40">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color w:val="auto"/>
                <w:kern w:val="2"/>
                <w:szCs w:val="24"/>
              </w:rPr>
              <w:t>①</w:t>
            </w:r>
            <w:r>
              <w:rPr>
                <w:rFonts w:hint="default" w:ascii="Times New Roman" w:hAnsi="Times New Roman" w:cs="Times New Roman"/>
                <w:snapToGrid w:val="0"/>
                <w:color w:val="auto"/>
                <w:szCs w:val="24"/>
              </w:rPr>
              <w:t>选址可行性</w:t>
            </w:r>
          </w:p>
          <w:p w14:paraId="74AC07F0">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default" w:ascii="Times New Roman" w:hAnsi="Times New Roman" w:cs="Times New Roman"/>
                <w:snapToGrid w:val="0"/>
                <w:color w:val="auto"/>
                <w:szCs w:val="24"/>
              </w:rPr>
              <w:t>本项目设置1个</w:t>
            </w:r>
            <w:r>
              <w:rPr>
                <w:rFonts w:hint="eastAsia" w:ascii="Times New Roman" w:hAnsi="Times New Roman" w:cs="Times New Roman"/>
                <w:snapToGrid w:val="0"/>
                <w:color w:val="auto"/>
                <w:szCs w:val="24"/>
                <w:lang w:eastAsia="zh-CN"/>
              </w:rPr>
              <w:t>危废贮存库</w:t>
            </w:r>
            <w:r>
              <w:rPr>
                <w:rFonts w:hint="default" w:ascii="Times New Roman" w:hAnsi="Times New Roman" w:cs="Times New Roman"/>
                <w:snapToGrid w:val="0"/>
                <w:color w:val="auto"/>
                <w:szCs w:val="24"/>
              </w:rPr>
              <w:t>，面积为</w:t>
            </w:r>
            <w:r>
              <w:rPr>
                <w:rFonts w:hint="eastAsia" w:ascii="Times New Roman" w:hAnsi="Times New Roman" w:cs="Times New Roman"/>
                <w:snapToGrid w:val="0"/>
                <w:color w:val="auto"/>
                <w:szCs w:val="24"/>
                <w:lang w:val="en-US" w:eastAsia="zh-CN"/>
              </w:rPr>
              <w:t>45</w:t>
            </w:r>
            <w:r>
              <w:rPr>
                <w:rFonts w:hint="default" w:ascii="Times New Roman" w:hAnsi="Times New Roman" w:cs="Times New Roman"/>
                <w:snapToGrid w:val="0"/>
                <w:color w:val="auto"/>
                <w:szCs w:val="24"/>
              </w:rPr>
              <w:t>m</w:t>
            </w:r>
            <w:r>
              <w:rPr>
                <w:rFonts w:hint="default" w:ascii="Times New Roman" w:hAnsi="Times New Roman" w:cs="Times New Roman"/>
                <w:snapToGrid w:val="0"/>
                <w:color w:val="auto"/>
                <w:szCs w:val="24"/>
                <w:vertAlign w:val="superscript"/>
              </w:rPr>
              <w:t>2</w:t>
            </w:r>
            <w:r>
              <w:rPr>
                <w:rFonts w:hint="default" w:ascii="Times New Roman" w:hAnsi="Times New Roman" w:cs="Times New Roman"/>
                <w:snapToGrid w:val="0"/>
                <w:color w:val="auto"/>
                <w:szCs w:val="24"/>
              </w:rPr>
              <w:t>。危废</w:t>
            </w:r>
            <w:r>
              <w:rPr>
                <w:rFonts w:hint="eastAsia" w:ascii="Times New Roman" w:hAnsi="Times New Roman" w:cs="Times New Roman"/>
                <w:snapToGrid w:val="0"/>
                <w:color w:val="auto"/>
                <w:szCs w:val="24"/>
                <w:lang w:val="en-US" w:eastAsia="zh-CN"/>
              </w:rPr>
              <w:t>贮存</w:t>
            </w:r>
            <w:r>
              <w:rPr>
                <w:rFonts w:hint="default" w:ascii="Times New Roman" w:hAnsi="Times New Roman" w:cs="Times New Roman"/>
                <w:snapToGrid w:val="0"/>
                <w:color w:val="auto"/>
                <w:szCs w:val="24"/>
              </w:rPr>
              <w:t>库设置在</w:t>
            </w:r>
            <w:r>
              <w:rPr>
                <w:rFonts w:hint="eastAsia" w:ascii="Times New Roman" w:hAnsi="Times New Roman" w:cs="Times New Roman"/>
                <w:snapToGrid w:val="0"/>
                <w:color w:val="auto"/>
                <w:szCs w:val="24"/>
                <w:lang w:val="en-US" w:eastAsia="zh-CN"/>
              </w:rPr>
              <w:t>原料区</w:t>
            </w:r>
            <w:r>
              <w:rPr>
                <w:rFonts w:hint="default" w:ascii="Times New Roman" w:hAnsi="Times New Roman" w:cs="Times New Roman"/>
                <w:snapToGrid w:val="0"/>
                <w:color w:val="auto"/>
                <w:szCs w:val="24"/>
              </w:rPr>
              <w:t>内。</w:t>
            </w:r>
            <w:r>
              <w:rPr>
                <w:rFonts w:hint="default" w:ascii="Times New Roman" w:hAnsi="Times New Roman" w:eastAsia="宋体" w:cs="Times New Roman"/>
                <w:snapToGrid w:val="0"/>
                <w:color w:val="auto"/>
                <w:szCs w:val="24"/>
              </w:rPr>
              <w:t>对照《危险废物贮存污染控制标准》（GB18597-20</w:t>
            </w:r>
            <w:r>
              <w:rPr>
                <w:rFonts w:hint="default" w:ascii="Times New Roman" w:hAnsi="Times New Roman" w:eastAsia="宋体" w:cs="Times New Roman"/>
                <w:snapToGrid w:val="0"/>
                <w:color w:val="auto"/>
                <w:szCs w:val="24"/>
                <w:lang w:val="en-US" w:eastAsia="zh-CN"/>
              </w:rPr>
              <w:t>23</w:t>
            </w:r>
            <w:r>
              <w:rPr>
                <w:rFonts w:hint="default" w:ascii="Times New Roman" w:hAnsi="Times New Roman" w:eastAsia="宋体" w:cs="Times New Roman"/>
                <w:snapToGrid w:val="0"/>
                <w:color w:val="auto"/>
                <w:szCs w:val="24"/>
              </w:rPr>
              <w:t>）</w:t>
            </w:r>
            <w:r>
              <w:rPr>
                <w:rFonts w:hint="default" w:ascii="Times New Roman" w:hAnsi="Times New Roman" w:cs="Times New Roman"/>
                <w:snapToGrid w:val="0"/>
                <w:color w:val="auto"/>
                <w:szCs w:val="24"/>
              </w:rPr>
              <w:t>，涟水县区域内无活动性断裂，历史上也未曾发生过强烈的破坏性地震，区域稳定性较好。根据《中国地震烈度区划图》（2001），本区地震烈度为7度，符合要求。枯水期调查区潜水位一般在1.7m</w:t>
            </w:r>
            <w:r>
              <w:rPr>
                <w:rFonts w:ascii="Times New Roman" w:hAnsi="Times New Roman"/>
                <w:snapToGrid w:val="0"/>
                <w:color w:val="auto"/>
                <w:szCs w:val="24"/>
              </w:rPr>
              <w:t>～2.9m之间。项目场平标高约为3.5</w:t>
            </w:r>
            <w:r>
              <w:rPr>
                <w:rFonts w:hint="eastAsia" w:ascii="Times New Roman" w:hAnsi="Times New Roman"/>
                <w:snapToGrid w:val="0"/>
                <w:color w:val="auto"/>
                <w:szCs w:val="24"/>
              </w:rPr>
              <w:t>m</w:t>
            </w:r>
            <w:r>
              <w:rPr>
                <w:rFonts w:ascii="Times New Roman" w:hAnsi="Times New Roman"/>
                <w:snapToGrid w:val="0"/>
                <w:color w:val="auto"/>
                <w:szCs w:val="24"/>
              </w:rPr>
              <w:t>～5.0</w:t>
            </w:r>
            <w:r>
              <w:rPr>
                <w:rFonts w:hint="eastAsia" w:ascii="Times New Roman" w:hAnsi="Times New Roman"/>
                <w:snapToGrid w:val="0"/>
                <w:color w:val="auto"/>
                <w:szCs w:val="24"/>
              </w:rPr>
              <w:t>m</w:t>
            </w:r>
            <w:r>
              <w:rPr>
                <w:rFonts w:ascii="Times New Roman" w:hAnsi="Times New Roman"/>
                <w:snapToGrid w:val="0"/>
                <w:color w:val="auto"/>
                <w:szCs w:val="24"/>
              </w:rPr>
              <w:t>，高于区域地下水最高水位，符合要求。危废暂存库按照苏环办〔2019〕327号</w:t>
            </w:r>
            <w:r>
              <w:rPr>
                <w:rFonts w:hint="eastAsia" w:ascii="Times New Roman" w:hAnsi="Times New Roman"/>
                <w:snapToGrid w:val="0"/>
                <w:color w:val="auto"/>
                <w:szCs w:val="24"/>
              </w:rPr>
              <w:t>文件</w:t>
            </w:r>
            <w:r>
              <w:rPr>
                <w:rFonts w:ascii="Times New Roman" w:hAnsi="Times New Roman"/>
                <w:snapToGrid w:val="0"/>
                <w:color w:val="auto"/>
                <w:szCs w:val="24"/>
              </w:rPr>
              <w:t>&lt;省生态环境厅关于进一步加强危险废物污染防治工作的实施意见&gt;</w:t>
            </w:r>
            <w:r>
              <w:rPr>
                <w:rFonts w:hint="eastAsia" w:ascii="Times New Roman" w:hAnsi="Times New Roman"/>
                <w:snapToGrid w:val="0"/>
                <w:color w:val="auto"/>
                <w:szCs w:val="24"/>
              </w:rPr>
              <w:t>中</w:t>
            </w:r>
            <w:r>
              <w:rPr>
                <w:rFonts w:ascii="Times New Roman" w:hAnsi="Times New Roman"/>
                <w:snapToGrid w:val="0"/>
                <w:color w:val="auto"/>
                <w:szCs w:val="24"/>
              </w:rPr>
              <w:t>的</w:t>
            </w:r>
            <w:r>
              <w:rPr>
                <w:rFonts w:hint="eastAsia" w:ascii="Times New Roman" w:hAnsi="Times New Roman"/>
                <w:snapToGrid w:val="0"/>
                <w:color w:val="auto"/>
                <w:szCs w:val="24"/>
              </w:rPr>
              <w:t>要求</w:t>
            </w:r>
            <w:r>
              <w:rPr>
                <w:rFonts w:ascii="Times New Roman" w:hAnsi="Times New Roman"/>
                <w:snapToGrid w:val="0"/>
                <w:color w:val="auto"/>
                <w:szCs w:val="24"/>
              </w:rPr>
              <w:t>进行设计。</w:t>
            </w:r>
          </w:p>
          <w:p w14:paraId="69B494B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ascii="Times New Roman" w:hAnsi="Times New Roman"/>
                <w:snapToGrid w:val="0"/>
                <w:color w:val="auto"/>
                <w:szCs w:val="24"/>
              </w:rPr>
              <w:t>因此</w:t>
            </w:r>
            <w:r>
              <w:rPr>
                <w:rFonts w:ascii="Times New Roman" w:hAnsi="Times New Roman"/>
                <w:snapToGrid w:val="0"/>
                <w:color w:val="auto"/>
                <w:szCs w:val="24"/>
              </w:rPr>
              <w:t>，本项目危险废物暂存场所选址是可行的。</w:t>
            </w:r>
          </w:p>
          <w:p w14:paraId="45BA93E1">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ascii="Times New Roman" w:hAnsi="Times New Roman"/>
                <w:color w:val="auto"/>
                <w:kern w:val="2"/>
                <w:szCs w:val="24"/>
              </w:rPr>
              <w:t>②</w:t>
            </w:r>
            <w:r>
              <w:rPr>
                <w:rFonts w:ascii="Times New Roman" w:hAnsi="Times New Roman"/>
                <w:snapToGrid w:val="0"/>
                <w:color w:val="auto"/>
                <w:szCs w:val="24"/>
              </w:rPr>
              <w:t>危废暂存场所能力分析</w:t>
            </w:r>
          </w:p>
          <w:p w14:paraId="50D1CAEA">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cs="宋体"/>
                <w:snapToGrid w:val="0"/>
                <w:color w:val="auto"/>
                <w:szCs w:val="24"/>
              </w:rPr>
              <w:t>本项目</w:t>
            </w:r>
            <w:r>
              <w:rPr>
                <w:rFonts w:ascii="Times New Roman" w:hAnsi="Times New Roman"/>
                <w:snapToGrid w:val="0"/>
                <w:color w:val="auto"/>
                <w:szCs w:val="24"/>
              </w:rPr>
              <w:t>危废</w:t>
            </w:r>
            <w:r>
              <w:rPr>
                <w:rFonts w:hint="eastAsia" w:ascii="Times New Roman" w:hAnsi="Times New Roman"/>
                <w:snapToGrid w:val="0"/>
                <w:color w:val="auto"/>
                <w:szCs w:val="24"/>
                <w:lang w:val="en-US" w:eastAsia="zh-CN"/>
              </w:rPr>
              <w:t>贮存</w:t>
            </w:r>
            <w:r>
              <w:rPr>
                <w:rFonts w:hint="eastAsia" w:ascii="Times New Roman" w:hAnsi="Times New Roman"/>
                <w:snapToGrid w:val="0"/>
                <w:color w:val="auto"/>
                <w:szCs w:val="24"/>
              </w:rPr>
              <w:t>库</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45</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w:t>
            </w:r>
            <w:r>
              <w:rPr>
                <w:rFonts w:hint="eastAsia" w:ascii="Times New Roman" w:hAnsi="Times New Roman"/>
                <w:snapToGrid w:val="0"/>
                <w:color w:val="auto"/>
                <w:szCs w:val="24"/>
              </w:rPr>
              <w:t>建设项目危险废物</w:t>
            </w:r>
            <w:r>
              <w:rPr>
                <w:rFonts w:hint="eastAsia" w:ascii="Times New Roman" w:hAnsi="Times New Roman"/>
                <w:snapToGrid w:val="0"/>
                <w:color w:val="auto"/>
                <w:szCs w:val="24"/>
                <w:lang w:val="en-US" w:eastAsia="zh-CN"/>
              </w:rPr>
              <w:t>暂存</w:t>
            </w:r>
            <w:r>
              <w:rPr>
                <w:rFonts w:hint="eastAsia" w:ascii="Times New Roman" w:hAnsi="Times New Roman"/>
                <w:snapToGrid w:val="0"/>
                <w:color w:val="auto"/>
                <w:szCs w:val="24"/>
              </w:rPr>
              <w:t>场所基本情况见</w:t>
            </w:r>
            <w:r>
              <w:rPr>
                <w:rFonts w:hint="eastAsia" w:ascii="Times New Roman" w:hAnsi="Times New Roman"/>
                <w:snapToGrid w:val="0"/>
                <w:color w:val="auto"/>
                <w:szCs w:val="24"/>
                <w:lang w:val="en-US" w:eastAsia="zh-CN"/>
              </w:rPr>
              <w:t>下表</w:t>
            </w:r>
            <w:r>
              <w:rPr>
                <w:rFonts w:hint="eastAsia" w:ascii="Times New Roman" w:hAnsi="Times New Roman"/>
                <w:snapToGrid w:val="0"/>
                <w:color w:val="auto"/>
                <w:szCs w:val="24"/>
              </w:rPr>
              <w:t>。</w:t>
            </w:r>
          </w:p>
          <w:p w14:paraId="2C5C9917">
            <w:pPr>
              <w:pStyle w:val="16"/>
              <w:spacing w:before="0" w:beforeAutospacing="0" w:after="0" w:afterAutospacing="0" w:line="240" w:lineRule="auto"/>
              <w:ind w:firstLine="422" w:firstLineChars="200"/>
              <w:jc w:val="center"/>
              <w:outlineLvl w:val="0"/>
              <w:rPr>
                <w:rFonts w:ascii="Times New Roman" w:hAnsi="Times New Roman"/>
                <w:b/>
                <w:bCs/>
                <w:snapToGrid w:val="0"/>
                <w:color w:val="auto"/>
                <w:sz w:val="21"/>
                <w:szCs w:val="21"/>
              </w:rPr>
            </w:pPr>
            <w:r>
              <w:rPr>
                <w:rFonts w:hint="eastAsia" w:ascii="Times New Roman" w:hAnsi="Times New Roman"/>
                <w:b/>
                <w:bCs/>
                <w:snapToGrid w:val="0"/>
                <w:color w:val="auto"/>
                <w:sz w:val="21"/>
                <w:szCs w:val="21"/>
              </w:rPr>
              <w:t>表4-</w:t>
            </w:r>
            <w:r>
              <w:rPr>
                <w:rFonts w:hint="eastAsia" w:ascii="Times New Roman" w:hAnsi="Times New Roman"/>
                <w:b/>
                <w:bCs/>
                <w:snapToGrid w:val="0"/>
                <w:color w:val="auto"/>
                <w:sz w:val="21"/>
                <w:szCs w:val="21"/>
                <w:lang w:val="en-US" w:eastAsia="zh-CN"/>
              </w:rPr>
              <w:t xml:space="preserve">20 </w:t>
            </w:r>
            <w:r>
              <w:rPr>
                <w:rFonts w:hint="eastAsia" w:ascii="Times New Roman" w:hAnsi="Times New Roman"/>
                <w:b/>
                <w:bCs/>
                <w:snapToGrid w:val="0"/>
                <w:color w:val="auto"/>
                <w:sz w:val="21"/>
                <w:szCs w:val="21"/>
              </w:rPr>
              <w:t>建设项目危险废物贮存场所基本情况</w:t>
            </w:r>
          </w:p>
          <w:tbl>
            <w:tblPr>
              <w:tblStyle w:val="23"/>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2"/>
              <w:gridCol w:w="1275"/>
              <w:gridCol w:w="776"/>
              <w:gridCol w:w="1196"/>
              <w:gridCol w:w="854"/>
              <w:gridCol w:w="613"/>
              <w:gridCol w:w="822"/>
              <w:gridCol w:w="869"/>
              <w:gridCol w:w="590"/>
            </w:tblGrid>
            <w:tr w14:paraId="5C7777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45DE8027">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序</w:t>
                  </w:r>
                </w:p>
                <w:p w14:paraId="349A2F38">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号</w:t>
                  </w:r>
                </w:p>
              </w:tc>
              <w:tc>
                <w:tcPr>
                  <w:tcW w:w="452" w:type="dxa"/>
                  <w:noWrap w:val="0"/>
                  <w:vAlign w:val="center"/>
                </w:tcPr>
                <w:p w14:paraId="3F01664C">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1275" w:type="dxa"/>
                  <w:noWrap w:val="0"/>
                  <w:vAlign w:val="center"/>
                </w:tcPr>
                <w:p w14:paraId="7657DD6A">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44DCF079">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776" w:type="dxa"/>
                  <w:noWrap w:val="0"/>
                  <w:vAlign w:val="center"/>
                </w:tcPr>
                <w:p w14:paraId="29BEC0D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w:t>
                  </w:r>
                </w:p>
                <w:p w14:paraId="25BB4A80">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废物</w:t>
                  </w:r>
                </w:p>
                <w:p w14:paraId="6E89E43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类别</w:t>
                  </w:r>
                </w:p>
              </w:tc>
              <w:tc>
                <w:tcPr>
                  <w:tcW w:w="1196" w:type="dxa"/>
                  <w:noWrap w:val="0"/>
                  <w:vAlign w:val="center"/>
                </w:tcPr>
                <w:p w14:paraId="035AEA3C">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0E7E3E73">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代码</w:t>
                  </w:r>
                </w:p>
              </w:tc>
              <w:tc>
                <w:tcPr>
                  <w:tcW w:w="854" w:type="dxa"/>
                  <w:noWrap w:val="0"/>
                  <w:vAlign w:val="center"/>
                </w:tcPr>
                <w:p w14:paraId="667C5304">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3A2FFAD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方式</w:t>
                  </w:r>
                </w:p>
              </w:tc>
              <w:tc>
                <w:tcPr>
                  <w:tcW w:w="613" w:type="dxa"/>
                  <w:noWrap w:val="0"/>
                  <w:vAlign w:val="center"/>
                </w:tcPr>
                <w:p w14:paraId="3B5FB7E0">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66B18CD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能力</w:t>
                  </w:r>
                </w:p>
              </w:tc>
              <w:tc>
                <w:tcPr>
                  <w:tcW w:w="822" w:type="dxa"/>
                  <w:noWrap w:val="0"/>
                  <w:vAlign w:val="center"/>
                </w:tcPr>
                <w:p w14:paraId="2B8DE62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占地</w:t>
                  </w:r>
                </w:p>
                <w:p w14:paraId="2188C1F8">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面积</w:t>
                  </w:r>
                </w:p>
              </w:tc>
              <w:tc>
                <w:tcPr>
                  <w:tcW w:w="869" w:type="dxa"/>
                  <w:noWrap w:val="0"/>
                  <w:vAlign w:val="center"/>
                </w:tcPr>
                <w:p w14:paraId="52ABDDAC">
                  <w:pPr>
                    <w:pStyle w:val="16"/>
                    <w:spacing w:before="0" w:beforeAutospacing="0" w:after="0" w:afterAutospacing="0"/>
                    <w:jc w:val="center"/>
                    <w:outlineLvl w:val="0"/>
                    <w:rPr>
                      <w:rFonts w:hint="eastAsia" w:ascii="Times New Roman" w:hAnsi="Times New Roman"/>
                      <w:snapToGrid w:val="0"/>
                      <w:color w:val="auto"/>
                      <w:sz w:val="21"/>
                      <w:szCs w:val="24"/>
                    </w:rPr>
                  </w:pPr>
                  <w:r>
                    <w:rPr>
                      <w:rFonts w:hint="eastAsia" w:ascii="Times New Roman" w:hAnsi="Times New Roman"/>
                      <w:snapToGrid w:val="0"/>
                      <w:color w:val="auto"/>
                      <w:sz w:val="21"/>
                      <w:szCs w:val="24"/>
                    </w:rPr>
                    <w:t>位置</w:t>
                  </w:r>
                </w:p>
              </w:tc>
              <w:tc>
                <w:tcPr>
                  <w:tcW w:w="590" w:type="dxa"/>
                  <w:noWrap w:val="0"/>
                  <w:vAlign w:val="center"/>
                </w:tcPr>
                <w:p w14:paraId="7DDCAB9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贮存周期</w:t>
                  </w:r>
                </w:p>
              </w:tc>
            </w:tr>
            <w:tr w14:paraId="60336A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426" w:type="dxa"/>
                  <w:noWrap w:val="0"/>
                  <w:vAlign w:val="center"/>
                </w:tcPr>
                <w:p w14:paraId="65E3916D">
                  <w:pPr>
                    <w:pStyle w:val="16"/>
                    <w:numPr>
                      <w:ilvl w:val="0"/>
                      <w:numId w:val="10"/>
                    </w:numPr>
                    <w:spacing w:before="0" w:beforeAutospacing="0" w:after="0" w:afterAutospacing="0"/>
                    <w:ind w:left="0" w:leftChars="0" w:firstLine="0" w:firstLineChars="0"/>
                    <w:jc w:val="center"/>
                    <w:outlineLvl w:val="0"/>
                    <w:rPr>
                      <w:rFonts w:ascii="Times New Roman" w:hAnsi="Times New Roman"/>
                      <w:snapToGrid w:val="0"/>
                      <w:color w:val="auto"/>
                      <w:sz w:val="21"/>
                      <w:szCs w:val="24"/>
                    </w:rPr>
                  </w:pPr>
                </w:p>
              </w:tc>
              <w:tc>
                <w:tcPr>
                  <w:tcW w:w="452" w:type="dxa"/>
                  <w:vMerge w:val="restart"/>
                  <w:noWrap w:val="0"/>
                  <w:vAlign w:val="center"/>
                </w:tcPr>
                <w:p w14:paraId="523350F7">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危废</w:t>
                  </w:r>
                </w:p>
                <w:p w14:paraId="5700B302">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贮存</w:t>
                  </w:r>
                  <w:r>
                    <w:rPr>
                      <w:rFonts w:hint="eastAsia" w:ascii="Times New Roman" w:hAnsi="Times New Roman"/>
                      <w:snapToGrid w:val="0"/>
                      <w:color w:val="auto"/>
                      <w:sz w:val="21"/>
                      <w:szCs w:val="24"/>
                    </w:rPr>
                    <w:t>库</w:t>
                  </w:r>
                </w:p>
              </w:tc>
              <w:tc>
                <w:tcPr>
                  <w:tcW w:w="1275" w:type="dxa"/>
                  <w:noWrap w:val="0"/>
                  <w:vAlign w:val="center"/>
                </w:tcPr>
                <w:p w14:paraId="05F801F0">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废活性炭</w:t>
                  </w:r>
                </w:p>
              </w:tc>
              <w:tc>
                <w:tcPr>
                  <w:tcW w:w="776" w:type="dxa"/>
                  <w:noWrap w:val="0"/>
                  <w:vAlign w:val="center"/>
                </w:tcPr>
                <w:p w14:paraId="3CC84B9C">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HW49</w:t>
                  </w:r>
                </w:p>
              </w:tc>
              <w:tc>
                <w:tcPr>
                  <w:tcW w:w="1196" w:type="dxa"/>
                  <w:noWrap w:val="0"/>
                  <w:vAlign w:val="center"/>
                </w:tcPr>
                <w:p w14:paraId="532FFB13">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900-039-49</w:t>
                  </w:r>
                </w:p>
              </w:tc>
              <w:tc>
                <w:tcPr>
                  <w:tcW w:w="854" w:type="dxa"/>
                  <w:noWrap w:val="0"/>
                  <w:vAlign w:val="center"/>
                </w:tcPr>
                <w:p w14:paraId="6179A61B">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袋装</w:t>
                  </w:r>
                </w:p>
              </w:tc>
              <w:tc>
                <w:tcPr>
                  <w:tcW w:w="613" w:type="dxa"/>
                  <w:vMerge w:val="restart"/>
                  <w:noWrap w:val="0"/>
                  <w:vAlign w:val="center"/>
                </w:tcPr>
                <w:p w14:paraId="501798D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45</w:t>
                  </w:r>
                  <w:r>
                    <w:rPr>
                      <w:rFonts w:hint="eastAsia" w:ascii="Times New Roman" w:hAnsi="Times New Roman"/>
                      <w:snapToGrid w:val="0"/>
                      <w:color w:val="auto"/>
                      <w:sz w:val="21"/>
                      <w:szCs w:val="24"/>
                    </w:rPr>
                    <w:t>t</w:t>
                  </w:r>
                </w:p>
              </w:tc>
              <w:tc>
                <w:tcPr>
                  <w:tcW w:w="822" w:type="dxa"/>
                  <w:vMerge w:val="restart"/>
                  <w:noWrap w:val="0"/>
                  <w:vAlign w:val="center"/>
                </w:tcPr>
                <w:p w14:paraId="3868746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45</w:t>
                  </w:r>
                  <w:r>
                    <w:rPr>
                      <w:rFonts w:hint="eastAsia" w:ascii="Times New Roman" w:hAnsi="Times New Roman"/>
                      <w:snapToGrid w:val="0"/>
                      <w:color w:val="auto"/>
                      <w:sz w:val="21"/>
                      <w:szCs w:val="24"/>
                    </w:rPr>
                    <w:t>m</w:t>
                  </w:r>
                  <w:r>
                    <w:rPr>
                      <w:rFonts w:hint="eastAsia" w:ascii="Times New Roman" w:hAnsi="Times New Roman"/>
                      <w:snapToGrid w:val="0"/>
                      <w:color w:val="auto"/>
                      <w:sz w:val="21"/>
                      <w:szCs w:val="24"/>
                      <w:vertAlign w:val="superscript"/>
                    </w:rPr>
                    <w:t>2</w:t>
                  </w:r>
                </w:p>
              </w:tc>
              <w:tc>
                <w:tcPr>
                  <w:tcW w:w="869" w:type="dxa"/>
                  <w:vMerge w:val="restart"/>
                  <w:noWrap w:val="0"/>
                  <w:vAlign w:val="center"/>
                </w:tcPr>
                <w:p w14:paraId="2E5EACFC">
                  <w:pPr>
                    <w:pStyle w:val="16"/>
                    <w:spacing w:before="0" w:beforeAutospacing="0" w:after="0" w:afterAutospacing="0"/>
                    <w:jc w:val="center"/>
                    <w:outlineLvl w:val="0"/>
                    <w:rPr>
                      <w:rFonts w:hint="eastAsia" w:ascii="Times New Roman" w:hAnsi="Times New Roman" w:eastAsia="宋体"/>
                      <w:snapToGrid w:val="0"/>
                      <w:color w:val="auto"/>
                      <w:sz w:val="21"/>
                      <w:szCs w:val="24"/>
                      <w:lang w:eastAsia="zh-CN"/>
                    </w:rPr>
                  </w:pPr>
                  <w:r>
                    <w:rPr>
                      <w:rFonts w:hint="eastAsia" w:ascii="Times New Roman" w:hAnsi="Times New Roman"/>
                      <w:snapToGrid w:val="0"/>
                      <w:color w:val="auto"/>
                      <w:sz w:val="21"/>
                      <w:szCs w:val="24"/>
                    </w:rPr>
                    <w:t>位于</w:t>
                  </w:r>
                  <w:r>
                    <w:rPr>
                      <w:rFonts w:hint="eastAsia" w:ascii="Times New Roman" w:hAnsi="Times New Roman"/>
                      <w:snapToGrid w:val="0"/>
                      <w:color w:val="auto"/>
                      <w:sz w:val="21"/>
                      <w:szCs w:val="24"/>
                      <w:lang w:val="en-US" w:eastAsia="zh-CN"/>
                    </w:rPr>
                    <w:t>原料区</w:t>
                  </w:r>
                </w:p>
              </w:tc>
              <w:tc>
                <w:tcPr>
                  <w:tcW w:w="590" w:type="dxa"/>
                  <w:vMerge w:val="restart"/>
                  <w:noWrap w:val="0"/>
                  <w:vAlign w:val="center"/>
                </w:tcPr>
                <w:p w14:paraId="30D41AE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1年</w:t>
                  </w:r>
                </w:p>
              </w:tc>
            </w:tr>
            <w:tr w14:paraId="7D9F64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2EFFED39">
                  <w:pPr>
                    <w:pStyle w:val="16"/>
                    <w:numPr>
                      <w:ilvl w:val="0"/>
                      <w:numId w:val="10"/>
                    </w:numPr>
                    <w:spacing w:before="0" w:beforeAutospacing="0" w:after="0" w:afterAutospacing="0"/>
                    <w:ind w:left="0" w:leftChars="0" w:firstLine="0" w:firstLineChars="0"/>
                    <w:jc w:val="center"/>
                    <w:outlineLvl w:val="0"/>
                    <w:rPr>
                      <w:rFonts w:hint="eastAsia" w:ascii="Times New Roman" w:hAnsi="Times New Roman"/>
                      <w:snapToGrid w:val="0"/>
                      <w:color w:val="auto"/>
                      <w:sz w:val="21"/>
                      <w:szCs w:val="24"/>
                    </w:rPr>
                  </w:pPr>
                </w:p>
              </w:tc>
              <w:tc>
                <w:tcPr>
                  <w:tcW w:w="452" w:type="dxa"/>
                  <w:vMerge w:val="continue"/>
                  <w:noWrap w:val="0"/>
                  <w:vAlign w:val="center"/>
                </w:tcPr>
                <w:p w14:paraId="56FC8E1D">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19CAC73F">
                  <w:pPr>
                    <w:pStyle w:val="19"/>
                    <w:spacing w:line="240" w:lineRule="auto"/>
                    <w:ind w:left="0" w:leftChars="0" w:firstLine="0" w:firstLineChars="0"/>
                    <w:jc w:val="center"/>
                    <w:rPr>
                      <w:rFonts w:hint="eastAsia" w:ascii="Times New Roman" w:hAnsi="Times New Roman"/>
                      <w:snapToGrid w:val="0"/>
                      <w:color w:val="auto"/>
                      <w:sz w:val="21"/>
                      <w:szCs w:val="24"/>
                    </w:rPr>
                  </w:pPr>
                  <w:r>
                    <w:rPr>
                      <w:rFonts w:hint="eastAsia" w:ascii="Times New Roman" w:hAnsi="Times New Roman" w:cs="Times New Roman"/>
                      <w:b w:val="0"/>
                      <w:color w:val="auto"/>
                      <w:sz w:val="21"/>
                      <w:szCs w:val="18"/>
                      <w:lang w:val="en-US" w:eastAsia="zh-CN"/>
                    </w:rPr>
                    <w:t>废液压油</w:t>
                  </w:r>
                </w:p>
              </w:tc>
              <w:tc>
                <w:tcPr>
                  <w:tcW w:w="776" w:type="dxa"/>
                  <w:noWrap w:val="0"/>
                  <w:vAlign w:val="center"/>
                </w:tcPr>
                <w:p w14:paraId="6B5CB54D">
                  <w:pPr>
                    <w:adjustRightInd w:val="0"/>
                    <w:snapToGrid w:val="0"/>
                    <w:jc w:val="center"/>
                    <w:rPr>
                      <w:rFonts w:hint="eastAsia" w:ascii="Times New Roman" w:hAnsi="Times New Roman"/>
                      <w:snapToGrid w:val="0"/>
                      <w:color w:val="auto"/>
                      <w:sz w:val="21"/>
                      <w:szCs w:val="24"/>
                    </w:rPr>
                  </w:pPr>
                  <w:r>
                    <w:rPr>
                      <w:rFonts w:hint="eastAsia"/>
                      <w:color w:val="auto"/>
                      <w:spacing w:val="-11"/>
                      <w:szCs w:val="18"/>
                      <w:lang w:val="en-US" w:eastAsia="zh-CN"/>
                    </w:rPr>
                    <w:t>HW08</w:t>
                  </w:r>
                </w:p>
              </w:tc>
              <w:tc>
                <w:tcPr>
                  <w:tcW w:w="1196" w:type="dxa"/>
                  <w:noWrap w:val="0"/>
                  <w:vAlign w:val="center"/>
                </w:tcPr>
                <w:p w14:paraId="69CB165C">
                  <w:pPr>
                    <w:adjustRightInd w:val="0"/>
                    <w:snapToGrid w:val="0"/>
                    <w:jc w:val="center"/>
                    <w:rPr>
                      <w:rFonts w:hint="eastAsia" w:ascii="Times New Roman" w:hAnsi="Times New Roman"/>
                      <w:snapToGrid w:val="0"/>
                      <w:color w:val="auto"/>
                      <w:sz w:val="21"/>
                      <w:szCs w:val="24"/>
                    </w:rPr>
                  </w:pPr>
                  <w:r>
                    <w:rPr>
                      <w:rFonts w:hint="eastAsia" w:ascii="Times New Roman" w:hAnsi="Times New Roman" w:eastAsia="宋体" w:cs="宋体"/>
                      <w:color w:val="auto"/>
                      <w:szCs w:val="18"/>
                    </w:rPr>
                    <w:t>900-249-08</w:t>
                  </w:r>
                </w:p>
              </w:tc>
              <w:tc>
                <w:tcPr>
                  <w:tcW w:w="854" w:type="dxa"/>
                  <w:noWrap w:val="0"/>
                  <w:vAlign w:val="center"/>
                </w:tcPr>
                <w:p w14:paraId="53007437">
                  <w:pPr>
                    <w:adjustRightInd w:val="0"/>
                    <w:snapToGrid w:val="0"/>
                    <w:jc w:val="center"/>
                    <w:rPr>
                      <w:rFonts w:hint="eastAsia" w:ascii="Times New Roman" w:hAnsi="Times New Roman" w:eastAsia="宋体"/>
                      <w:snapToGrid w:val="0"/>
                      <w:color w:val="auto"/>
                      <w:sz w:val="21"/>
                      <w:szCs w:val="24"/>
                      <w:lang w:val="en-US" w:eastAsia="zh-CN"/>
                    </w:rPr>
                  </w:pPr>
                  <w:r>
                    <w:rPr>
                      <w:rFonts w:hint="eastAsia"/>
                      <w:snapToGrid w:val="0"/>
                      <w:color w:val="auto"/>
                      <w:sz w:val="21"/>
                      <w:szCs w:val="24"/>
                      <w:lang w:val="en-US" w:eastAsia="zh-CN"/>
                    </w:rPr>
                    <w:t>桶装</w:t>
                  </w:r>
                </w:p>
              </w:tc>
              <w:tc>
                <w:tcPr>
                  <w:tcW w:w="613" w:type="dxa"/>
                  <w:vMerge w:val="continue"/>
                  <w:noWrap w:val="0"/>
                  <w:vAlign w:val="center"/>
                </w:tcPr>
                <w:p w14:paraId="291EB092">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52A3CEE8">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19B63580">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71435B81">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r w14:paraId="4B7892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70245425">
                  <w:pPr>
                    <w:pStyle w:val="16"/>
                    <w:numPr>
                      <w:ilvl w:val="0"/>
                      <w:numId w:val="10"/>
                    </w:numPr>
                    <w:spacing w:before="0" w:beforeAutospacing="0" w:after="0" w:afterAutospacing="0"/>
                    <w:ind w:left="0" w:leftChars="0" w:firstLine="0" w:firstLineChars="0"/>
                    <w:jc w:val="center"/>
                    <w:outlineLvl w:val="0"/>
                    <w:rPr>
                      <w:rFonts w:hint="eastAsia" w:ascii="Times New Roman" w:hAnsi="Times New Roman"/>
                      <w:snapToGrid w:val="0"/>
                      <w:color w:val="auto"/>
                      <w:sz w:val="21"/>
                      <w:szCs w:val="24"/>
                    </w:rPr>
                  </w:pPr>
                </w:p>
              </w:tc>
              <w:tc>
                <w:tcPr>
                  <w:tcW w:w="452" w:type="dxa"/>
                  <w:vMerge w:val="continue"/>
                  <w:noWrap w:val="0"/>
                  <w:vAlign w:val="center"/>
                </w:tcPr>
                <w:p w14:paraId="576CD36F">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29E94DBE">
                  <w:pPr>
                    <w:pStyle w:val="19"/>
                    <w:spacing w:line="240" w:lineRule="auto"/>
                    <w:ind w:left="0" w:leftChars="0" w:firstLine="0" w:firstLineChars="0"/>
                    <w:jc w:val="center"/>
                    <w:rPr>
                      <w:rFonts w:hint="eastAsia" w:ascii="Times New Roman" w:hAnsi="Times New Roman"/>
                      <w:snapToGrid w:val="0"/>
                      <w:color w:val="auto"/>
                      <w:sz w:val="21"/>
                      <w:szCs w:val="24"/>
                    </w:rPr>
                  </w:pPr>
                  <w:r>
                    <w:rPr>
                      <w:rFonts w:hint="eastAsia" w:ascii="Times New Roman" w:hAnsi="Times New Roman" w:cs="Times New Roman"/>
                      <w:b w:val="0"/>
                      <w:color w:val="auto"/>
                      <w:sz w:val="21"/>
                      <w:szCs w:val="18"/>
                      <w:lang w:val="en-US" w:eastAsia="zh-CN"/>
                    </w:rPr>
                    <w:t>废包装桶</w:t>
                  </w:r>
                </w:p>
              </w:tc>
              <w:tc>
                <w:tcPr>
                  <w:tcW w:w="776" w:type="dxa"/>
                  <w:noWrap w:val="0"/>
                  <w:vAlign w:val="center"/>
                </w:tcPr>
                <w:p w14:paraId="483E3CEE">
                  <w:pPr>
                    <w:adjustRightInd w:val="0"/>
                    <w:snapToGrid w:val="0"/>
                    <w:spacing w:line="240" w:lineRule="auto"/>
                    <w:ind w:firstLine="0" w:firstLineChars="0"/>
                    <w:jc w:val="center"/>
                    <w:rPr>
                      <w:rFonts w:hint="eastAsia" w:ascii="Times New Roman" w:hAnsi="Times New Roman"/>
                      <w:snapToGrid w:val="0"/>
                      <w:color w:val="auto"/>
                      <w:sz w:val="21"/>
                      <w:szCs w:val="24"/>
                    </w:rPr>
                  </w:pPr>
                  <w:r>
                    <w:rPr>
                      <w:rFonts w:hint="eastAsia"/>
                      <w:color w:val="auto"/>
                      <w:spacing w:val="-11"/>
                      <w:sz w:val="21"/>
                      <w:szCs w:val="21"/>
                    </w:rPr>
                    <w:t>HW49</w:t>
                  </w:r>
                </w:p>
              </w:tc>
              <w:tc>
                <w:tcPr>
                  <w:tcW w:w="1196" w:type="dxa"/>
                  <w:noWrap w:val="0"/>
                  <w:vAlign w:val="center"/>
                </w:tcPr>
                <w:p w14:paraId="35D631B4">
                  <w:pPr>
                    <w:adjustRightInd w:val="0"/>
                    <w:snapToGrid w:val="0"/>
                    <w:spacing w:line="240" w:lineRule="auto"/>
                    <w:ind w:firstLine="0" w:firstLineChars="0"/>
                    <w:jc w:val="center"/>
                    <w:rPr>
                      <w:rFonts w:hint="eastAsia" w:ascii="Times New Roman" w:hAnsi="Times New Roman"/>
                      <w:snapToGrid w:val="0"/>
                      <w:color w:val="auto"/>
                      <w:sz w:val="21"/>
                      <w:szCs w:val="24"/>
                    </w:rPr>
                  </w:pPr>
                  <w:r>
                    <w:rPr>
                      <w:rFonts w:hint="eastAsia"/>
                      <w:color w:val="auto"/>
                      <w:spacing w:val="-11"/>
                      <w:sz w:val="21"/>
                      <w:szCs w:val="21"/>
                    </w:rPr>
                    <w:t>900-041-49</w:t>
                  </w:r>
                </w:p>
              </w:tc>
              <w:tc>
                <w:tcPr>
                  <w:tcW w:w="854" w:type="dxa"/>
                  <w:noWrap w:val="0"/>
                  <w:vAlign w:val="center"/>
                </w:tcPr>
                <w:p w14:paraId="510A5890">
                  <w:pPr>
                    <w:adjustRightInd w:val="0"/>
                    <w:snapToGrid w:val="0"/>
                    <w:jc w:val="center"/>
                    <w:rPr>
                      <w:rFonts w:hint="eastAsia" w:ascii="Times New Roman" w:hAnsi="Times New Roman" w:eastAsia="宋体"/>
                      <w:snapToGrid w:val="0"/>
                      <w:color w:val="auto"/>
                      <w:sz w:val="21"/>
                      <w:szCs w:val="24"/>
                      <w:lang w:val="en-US" w:eastAsia="zh-CN"/>
                    </w:rPr>
                  </w:pPr>
                  <w:r>
                    <w:rPr>
                      <w:rFonts w:hint="eastAsia"/>
                      <w:snapToGrid w:val="0"/>
                      <w:color w:val="auto"/>
                      <w:sz w:val="21"/>
                      <w:szCs w:val="24"/>
                      <w:lang w:val="en-US" w:eastAsia="zh-CN"/>
                    </w:rPr>
                    <w:t>无包装</w:t>
                  </w:r>
                </w:p>
              </w:tc>
              <w:tc>
                <w:tcPr>
                  <w:tcW w:w="613" w:type="dxa"/>
                  <w:vMerge w:val="continue"/>
                  <w:noWrap w:val="0"/>
                  <w:vAlign w:val="center"/>
                </w:tcPr>
                <w:p w14:paraId="0AE3D6FA">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1C12689C">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3B57F02A">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785A4212">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r w14:paraId="561961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598E494E">
                  <w:pPr>
                    <w:pStyle w:val="16"/>
                    <w:numPr>
                      <w:ilvl w:val="0"/>
                      <w:numId w:val="10"/>
                    </w:numPr>
                    <w:spacing w:before="0" w:beforeAutospacing="0" w:after="0" w:afterAutospacing="0"/>
                    <w:ind w:left="0" w:leftChars="0" w:firstLine="0" w:firstLineChars="0"/>
                    <w:jc w:val="center"/>
                    <w:outlineLvl w:val="0"/>
                    <w:rPr>
                      <w:rFonts w:hint="eastAsia" w:ascii="Times New Roman" w:hAnsi="Times New Roman"/>
                      <w:snapToGrid w:val="0"/>
                      <w:color w:val="auto"/>
                      <w:sz w:val="21"/>
                      <w:szCs w:val="24"/>
                    </w:rPr>
                  </w:pPr>
                </w:p>
              </w:tc>
              <w:tc>
                <w:tcPr>
                  <w:tcW w:w="452" w:type="dxa"/>
                  <w:vMerge w:val="continue"/>
                  <w:noWrap w:val="0"/>
                  <w:vAlign w:val="center"/>
                </w:tcPr>
                <w:p w14:paraId="3C04B5E4">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4FCA7EA3">
                  <w:pPr>
                    <w:pStyle w:val="19"/>
                    <w:spacing w:line="240" w:lineRule="auto"/>
                    <w:ind w:left="0" w:leftChars="0" w:firstLine="0" w:firstLineChars="0"/>
                    <w:jc w:val="center"/>
                    <w:rPr>
                      <w:rFonts w:hint="eastAsia" w:ascii="Times New Roman" w:hAnsi="Times New Roman"/>
                      <w:snapToGrid w:val="0"/>
                      <w:color w:val="auto"/>
                      <w:sz w:val="21"/>
                      <w:szCs w:val="24"/>
                    </w:rPr>
                  </w:pPr>
                  <w:r>
                    <w:rPr>
                      <w:rFonts w:hint="eastAsia" w:ascii="Times New Roman" w:hAnsi="Times New Roman" w:cs="Times New Roman"/>
                      <w:b w:val="0"/>
                      <w:color w:val="auto"/>
                      <w:sz w:val="21"/>
                      <w:szCs w:val="18"/>
                      <w:lang w:val="en-US" w:eastAsia="zh-CN"/>
                    </w:rPr>
                    <w:t>废劳保用品</w:t>
                  </w:r>
                </w:p>
              </w:tc>
              <w:tc>
                <w:tcPr>
                  <w:tcW w:w="776" w:type="dxa"/>
                  <w:noWrap w:val="0"/>
                  <w:vAlign w:val="center"/>
                </w:tcPr>
                <w:p w14:paraId="70671421">
                  <w:pPr>
                    <w:adjustRightInd w:val="0"/>
                    <w:snapToGrid w:val="0"/>
                    <w:spacing w:line="240" w:lineRule="auto"/>
                    <w:ind w:firstLine="0" w:firstLineChars="0"/>
                    <w:jc w:val="center"/>
                    <w:rPr>
                      <w:rFonts w:hint="eastAsia" w:ascii="Times New Roman" w:hAnsi="Times New Roman"/>
                      <w:snapToGrid w:val="0"/>
                      <w:color w:val="auto"/>
                      <w:sz w:val="21"/>
                      <w:szCs w:val="24"/>
                    </w:rPr>
                  </w:pPr>
                  <w:r>
                    <w:rPr>
                      <w:rFonts w:hint="eastAsia"/>
                      <w:color w:val="auto"/>
                      <w:spacing w:val="-11"/>
                      <w:sz w:val="21"/>
                      <w:szCs w:val="21"/>
                    </w:rPr>
                    <w:t>HW49</w:t>
                  </w:r>
                </w:p>
              </w:tc>
              <w:tc>
                <w:tcPr>
                  <w:tcW w:w="1196" w:type="dxa"/>
                  <w:noWrap w:val="0"/>
                  <w:vAlign w:val="center"/>
                </w:tcPr>
                <w:p w14:paraId="2EDAFA22">
                  <w:pPr>
                    <w:adjustRightInd w:val="0"/>
                    <w:snapToGrid w:val="0"/>
                    <w:spacing w:line="240" w:lineRule="auto"/>
                    <w:ind w:firstLine="0" w:firstLineChars="0"/>
                    <w:jc w:val="center"/>
                    <w:rPr>
                      <w:rFonts w:hint="eastAsia" w:ascii="Times New Roman" w:hAnsi="Times New Roman"/>
                      <w:snapToGrid w:val="0"/>
                      <w:color w:val="auto"/>
                      <w:sz w:val="21"/>
                      <w:szCs w:val="24"/>
                    </w:rPr>
                  </w:pPr>
                  <w:r>
                    <w:rPr>
                      <w:rFonts w:hint="eastAsia"/>
                      <w:color w:val="auto"/>
                      <w:spacing w:val="-11"/>
                      <w:sz w:val="21"/>
                      <w:szCs w:val="21"/>
                    </w:rPr>
                    <w:t>900-041-49</w:t>
                  </w:r>
                </w:p>
              </w:tc>
              <w:tc>
                <w:tcPr>
                  <w:tcW w:w="854" w:type="dxa"/>
                  <w:noWrap w:val="0"/>
                  <w:vAlign w:val="center"/>
                </w:tcPr>
                <w:p w14:paraId="023B0544">
                  <w:pPr>
                    <w:adjustRightInd w:val="0"/>
                    <w:snapToGrid w:val="0"/>
                    <w:spacing w:line="240" w:lineRule="auto"/>
                    <w:ind w:firstLine="0" w:firstLineChars="0"/>
                    <w:jc w:val="center"/>
                    <w:rPr>
                      <w:rFonts w:hint="eastAsia" w:ascii="Times New Roman" w:hAnsi="Times New Roman" w:eastAsia="宋体"/>
                      <w:snapToGrid w:val="0"/>
                      <w:color w:val="auto"/>
                      <w:sz w:val="21"/>
                      <w:szCs w:val="24"/>
                      <w:lang w:val="en-US" w:eastAsia="zh-CN"/>
                    </w:rPr>
                  </w:pPr>
                  <w:r>
                    <w:rPr>
                      <w:rFonts w:hint="eastAsia"/>
                      <w:snapToGrid w:val="0"/>
                      <w:color w:val="auto"/>
                      <w:sz w:val="21"/>
                      <w:szCs w:val="24"/>
                      <w:lang w:val="en-US" w:eastAsia="zh-CN"/>
                    </w:rPr>
                    <w:t>袋装</w:t>
                  </w:r>
                </w:p>
              </w:tc>
              <w:tc>
                <w:tcPr>
                  <w:tcW w:w="613" w:type="dxa"/>
                  <w:vMerge w:val="continue"/>
                  <w:noWrap w:val="0"/>
                  <w:vAlign w:val="center"/>
                </w:tcPr>
                <w:p w14:paraId="6EC0950F">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6669E9AA">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206C7AD3">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6F43A692">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bl>
          <w:p w14:paraId="1347048D">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hint="eastAsia" w:ascii="Times New Roman" w:hAnsi="Times New Roman" w:eastAsia="宋体" w:cs="宋体"/>
                <w:color w:val="auto"/>
                <w:kern w:val="2"/>
                <w:szCs w:val="24"/>
                <w:lang w:val="en-US" w:eastAsia="zh-CN"/>
              </w:rPr>
            </w:pPr>
            <w:r>
              <w:rPr>
                <w:rFonts w:ascii="Times New Roman" w:hAnsi="Times New Roman"/>
                <w:snapToGrid w:val="0"/>
                <w:color w:val="auto"/>
                <w:szCs w:val="24"/>
              </w:rPr>
              <w:t>本项目危废</w:t>
            </w:r>
            <w:r>
              <w:rPr>
                <w:rFonts w:hint="eastAsia" w:ascii="Times New Roman" w:hAnsi="Times New Roman"/>
                <w:snapToGrid w:val="0"/>
                <w:color w:val="auto"/>
                <w:szCs w:val="24"/>
                <w:lang w:val="en-US" w:eastAsia="zh-CN"/>
              </w:rPr>
              <w:t>贮存</w:t>
            </w:r>
            <w:r>
              <w:rPr>
                <w:rFonts w:ascii="Times New Roman" w:hAnsi="Times New Roman"/>
                <w:snapToGrid w:val="0"/>
                <w:color w:val="auto"/>
                <w:szCs w:val="24"/>
              </w:rPr>
              <w:t>库面积为</w:t>
            </w:r>
            <w:r>
              <w:rPr>
                <w:rFonts w:hint="eastAsia" w:ascii="Times New Roman" w:hAnsi="Times New Roman"/>
                <w:snapToGrid w:val="0"/>
                <w:color w:val="auto"/>
                <w:szCs w:val="24"/>
                <w:lang w:val="en-US" w:eastAsia="zh-CN"/>
              </w:rPr>
              <w:t>45</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，设计危险废物的最大堆放高度取1.0m，所堆放危险废物的平均密度取1.0g/cm</w:t>
            </w:r>
            <w:r>
              <w:rPr>
                <w:rFonts w:ascii="Times New Roman" w:hAnsi="Times New Roman"/>
                <w:snapToGrid w:val="0"/>
                <w:color w:val="auto"/>
                <w:szCs w:val="24"/>
                <w:vertAlign w:val="superscript"/>
              </w:rPr>
              <w:t>3</w:t>
            </w:r>
            <w:r>
              <w:rPr>
                <w:rFonts w:ascii="Times New Roman" w:hAnsi="Times New Roman"/>
                <w:snapToGrid w:val="0"/>
                <w:color w:val="auto"/>
                <w:szCs w:val="24"/>
              </w:rPr>
              <w:t>，经计算，本项目危废</w:t>
            </w:r>
            <w:r>
              <w:rPr>
                <w:rFonts w:hint="eastAsia" w:ascii="Times New Roman" w:hAnsi="Times New Roman"/>
                <w:snapToGrid w:val="0"/>
                <w:color w:val="auto"/>
                <w:szCs w:val="24"/>
                <w:lang w:val="en-US" w:eastAsia="zh-CN"/>
              </w:rPr>
              <w:t>贮存</w:t>
            </w:r>
            <w:r>
              <w:rPr>
                <w:rFonts w:ascii="Times New Roman" w:hAnsi="Times New Roman"/>
                <w:snapToGrid w:val="0"/>
                <w:color w:val="auto"/>
                <w:szCs w:val="24"/>
              </w:rPr>
              <w:t>库最大储存量为</w:t>
            </w:r>
            <w:r>
              <w:rPr>
                <w:rFonts w:hint="eastAsia" w:ascii="Times New Roman" w:hAnsi="Times New Roman"/>
                <w:snapToGrid w:val="0"/>
                <w:color w:val="auto"/>
                <w:szCs w:val="24"/>
                <w:lang w:val="en-US" w:eastAsia="zh-CN"/>
              </w:rPr>
              <w:t>45</w:t>
            </w:r>
            <w:r>
              <w:rPr>
                <w:rFonts w:ascii="Times New Roman" w:hAnsi="Times New Roman"/>
                <w:snapToGrid w:val="0"/>
                <w:color w:val="auto"/>
                <w:szCs w:val="24"/>
              </w:rPr>
              <w:t>t，本项目危废最大</w:t>
            </w:r>
            <w:r>
              <w:rPr>
                <w:rFonts w:hint="eastAsia" w:ascii="Times New Roman" w:hAnsi="Times New Roman" w:eastAsia="宋体" w:cs="宋体"/>
                <w:color w:val="auto"/>
                <w:kern w:val="2"/>
                <w:szCs w:val="24"/>
                <w:lang w:val="en-US" w:eastAsia="zh-CN"/>
              </w:rPr>
              <w:t>产生量约为</w:t>
            </w:r>
            <w:r>
              <w:rPr>
                <w:rFonts w:hint="eastAsia" w:ascii="Times New Roman" w:hAnsi="Times New Roman" w:cs="宋体"/>
                <w:color w:val="auto"/>
                <w:kern w:val="2"/>
                <w:szCs w:val="24"/>
                <w:lang w:val="en-US" w:eastAsia="zh-CN"/>
              </w:rPr>
              <w:t>33.771</w:t>
            </w:r>
            <w:r>
              <w:rPr>
                <w:rFonts w:hint="eastAsia" w:ascii="Times New Roman" w:hAnsi="Times New Roman" w:eastAsia="宋体" w:cs="宋体"/>
                <w:color w:val="auto"/>
                <w:kern w:val="2"/>
                <w:szCs w:val="24"/>
                <w:lang w:val="en-US" w:eastAsia="zh-CN"/>
              </w:rPr>
              <w:t>t/a，贮存周期为</w:t>
            </w:r>
            <w:r>
              <w:rPr>
                <w:rFonts w:hint="eastAsia" w:ascii="Times New Roman" w:hAnsi="Times New Roman" w:cs="宋体"/>
                <w:color w:val="auto"/>
                <w:kern w:val="2"/>
                <w:szCs w:val="24"/>
                <w:lang w:val="en-US" w:eastAsia="zh-CN"/>
              </w:rPr>
              <w:t>1年</w:t>
            </w:r>
            <w:r>
              <w:rPr>
                <w:rFonts w:hint="eastAsia" w:ascii="Times New Roman" w:hAnsi="Times New Roman" w:eastAsia="宋体" w:cs="宋体"/>
                <w:color w:val="auto"/>
                <w:kern w:val="2"/>
                <w:szCs w:val="24"/>
                <w:lang w:val="en-US" w:eastAsia="zh-CN"/>
              </w:rPr>
              <w:t>，危废最大暂存量为</w:t>
            </w:r>
            <w:r>
              <w:rPr>
                <w:rFonts w:hint="eastAsia" w:ascii="Times New Roman" w:hAnsi="Times New Roman" w:cs="宋体"/>
                <w:color w:val="auto"/>
                <w:kern w:val="2"/>
                <w:szCs w:val="24"/>
                <w:lang w:val="en-US" w:eastAsia="zh-CN"/>
              </w:rPr>
              <w:t>33.771</w:t>
            </w:r>
            <w:r>
              <w:rPr>
                <w:rFonts w:hint="eastAsia" w:ascii="Times New Roman" w:hAnsi="Times New Roman" w:eastAsia="宋体" w:cs="宋体"/>
                <w:color w:val="auto"/>
                <w:kern w:val="2"/>
                <w:szCs w:val="24"/>
                <w:lang w:val="en-US" w:eastAsia="zh-CN"/>
              </w:rPr>
              <w:t>t/a，可满足本项目贮存要求。</w:t>
            </w:r>
          </w:p>
          <w:p w14:paraId="7DF678BA">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可满足本项目贮存要求。</w:t>
            </w:r>
          </w:p>
          <w:p w14:paraId="20B5669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cs="宋体"/>
                <w:snapToGrid w:val="0"/>
                <w:color w:val="auto"/>
                <w:szCs w:val="24"/>
              </w:rPr>
            </w:pPr>
            <w:r>
              <w:rPr>
                <w:rFonts w:ascii="Times New Roman" w:hAnsi="Times New Roman"/>
                <w:color w:val="auto"/>
                <w:kern w:val="2"/>
                <w:szCs w:val="24"/>
              </w:rPr>
              <w:t>③</w:t>
            </w:r>
            <w:r>
              <w:rPr>
                <w:rFonts w:hint="eastAsia" w:ascii="Times New Roman" w:hAnsi="Times New Roman" w:cs="宋体"/>
                <w:snapToGrid w:val="0"/>
                <w:color w:val="auto"/>
                <w:szCs w:val="24"/>
              </w:rPr>
              <w:t>危废</w:t>
            </w:r>
            <w:r>
              <w:rPr>
                <w:rFonts w:hint="eastAsia" w:ascii="Times New Roman" w:hAnsi="Times New Roman" w:cs="宋体"/>
                <w:snapToGrid w:val="0"/>
                <w:color w:val="auto"/>
                <w:szCs w:val="24"/>
                <w:lang w:val="en-US" w:eastAsia="zh-CN"/>
              </w:rPr>
              <w:t>贮存</w:t>
            </w:r>
            <w:r>
              <w:rPr>
                <w:rFonts w:hint="eastAsia" w:ascii="Times New Roman" w:hAnsi="Times New Roman" w:cs="宋体"/>
                <w:snapToGrid w:val="0"/>
                <w:color w:val="auto"/>
                <w:szCs w:val="24"/>
              </w:rPr>
              <w:t>库要求</w:t>
            </w:r>
          </w:p>
          <w:p w14:paraId="08D62BAA">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◆危废</w:t>
            </w:r>
            <w:r>
              <w:rPr>
                <w:rFonts w:hint="eastAsia" w:ascii="Times New Roman" w:hAnsi="Times New Roman"/>
                <w:snapToGrid w:val="0"/>
                <w:color w:val="auto"/>
                <w:szCs w:val="24"/>
                <w:lang w:val="en-US" w:eastAsia="zh-CN"/>
              </w:rPr>
              <w:t>贮存</w:t>
            </w:r>
            <w:r>
              <w:rPr>
                <w:rFonts w:ascii="Times New Roman" w:hAnsi="Times New Roman"/>
                <w:snapToGrid w:val="0"/>
                <w:color w:val="auto"/>
                <w:szCs w:val="24"/>
              </w:rPr>
              <w:t>库的建设要满足《省生态环境厅关于进一步加强危险废物污染防治工作的实施意见》（苏环办〔2019〕327号）</w:t>
            </w:r>
            <w:r>
              <w:rPr>
                <w:rFonts w:hint="eastAsia" w:ascii="Times New Roman" w:hAnsi="Times New Roman"/>
                <w:snapToGrid w:val="0"/>
                <w:color w:val="auto"/>
                <w:szCs w:val="24"/>
              </w:rPr>
              <w:t>中</w:t>
            </w:r>
            <w:r>
              <w:rPr>
                <w:rFonts w:ascii="Times New Roman" w:hAnsi="Times New Roman"/>
                <w:snapToGrid w:val="0"/>
                <w:color w:val="auto"/>
                <w:szCs w:val="24"/>
              </w:rPr>
              <w:t>规定要求</w:t>
            </w:r>
            <w:r>
              <w:rPr>
                <w:rFonts w:hint="eastAsia" w:ascii="Times New Roman" w:hAnsi="Times New Roman"/>
                <w:snapToGrid w:val="0"/>
                <w:color w:val="auto"/>
                <w:szCs w:val="24"/>
              </w:rPr>
              <w:t>，危废</w:t>
            </w:r>
            <w:r>
              <w:rPr>
                <w:rFonts w:hint="eastAsia" w:ascii="Times New Roman" w:hAnsi="Times New Roman"/>
                <w:snapToGrid w:val="0"/>
                <w:color w:val="auto"/>
                <w:szCs w:val="24"/>
                <w:lang w:val="en-US" w:eastAsia="zh-CN"/>
              </w:rPr>
              <w:t>贮存</w:t>
            </w:r>
            <w:r>
              <w:rPr>
                <w:rFonts w:hint="eastAsia" w:ascii="Times New Roman" w:hAnsi="Times New Roman"/>
                <w:snapToGrid w:val="0"/>
                <w:color w:val="auto"/>
                <w:szCs w:val="24"/>
              </w:rPr>
              <w:t>库内要做到防风、防雨、防渗漏，要设置照明设施、监控设施、导流槽、收集井等</w:t>
            </w:r>
            <w:r>
              <w:rPr>
                <w:rFonts w:ascii="Times New Roman" w:hAnsi="Times New Roman"/>
                <w:snapToGrid w:val="0"/>
                <w:color w:val="auto"/>
                <w:szCs w:val="24"/>
              </w:rPr>
              <w:t>。</w:t>
            </w:r>
          </w:p>
          <w:p w14:paraId="2DF2EAF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危废</w:t>
            </w:r>
            <w:r>
              <w:rPr>
                <w:rFonts w:hint="eastAsia" w:cs="宋体"/>
                <w:snapToGrid w:val="0"/>
                <w:color w:val="auto"/>
                <w:szCs w:val="24"/>
                <w:lang w:val="en-US" w:eastAsia="zh-CN"/>
              </w:rPr>
              <w:t>贮存</w:t>
            </w:r>
            <w:r>
              <w:rPr>
                <w:rFonts w:hint="eastAsia" w:cs="宋体"/>
                <w:snapToGrid w:val="0"/>
                <w:color w:val="auto"/>
                <w:szCs w:val="24"/>
              </w:rPr>
              <w:t>库内危废要分区存放，禁止将不相容（相互反应）的危险废物存放在同一容器内。无法装入常用容器的危险废物可用防漏胶袋等盛装。</w:t>
            </w:r>
          </w:p>
          <w:p w14:paraId="410544E4">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贮存容器应当使用符合标准的容器盛装危险废物，装载危险废物的容器及材质要满足相应的强度要求，装载危险废物的容器必须完好无损。盛装危险废物的容器材质和衬里要与危险废物相容（不相互反应）。</w:t>
            </w:r>
          </w:p>
          <w:p w14:paraId="03A7003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④危险废物运输要求</w:t>
            </w:r>
          </w:p>
          <w:p w14:paraId="6D1B58F0">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本项目危险废物转移时，要委托有危废运输资质的运输单位进行运输，危险废物运输中要做到以下几点：</w:t>
            </w:r>
          </w:p>
          <w:p w14:paraId="3B97E476">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危险废物的运输车辆须经主管单位检查，并持有有关单位签发的许可证，负责运输的司机应通过培训，持有证明文件。</w:t>
            </w:r>
          </w:p>
          <w:p w14:paraId="21091524">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承载危险废物的车辆须有明显的标志或适当的危险符号，以引起注意。</w:t>
            </w:r>
          </w:p>
          <w:p w14:paraId="152709D1">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载有危险废物的车辆在公路上行驶时，需持有运输许可证，其上应注明废物来源、性质和运往地点。</w:t>
            </w:r>
          </w:p>
          <w:p w14:paraId="27B715FD">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组织危险废物的运输单位，在事先需</w:t>
            </w:r>
            <w:r>
              <w:rPr>
                <w:rFonts w:hint="eastAsia" w:cs="宋体"/>
                <w:snapToGrid w:val="0"/>
                <w:color w:val="auto"/>
                <w:szCs w:val="24"/>
                <w:lang w:eastAsia="zh-CN"/>
              </w:rPr>
              <w:t>做出</w:t>
            </w:r>
            <w:r>
              <w:rPr>
                <w:rFonts w:hint="eastAsia" w:cs="宋体"/>
                <w:snapToGrid w:val="0"/>
                <w:color w:val="auto"/>
                <w:szCs w:val="24"/>
              </w:rPr>
              <w:t>周密的运输计划和行驶路线，其中包括有效的废物</w:t>
            </w:r>
            <w:r>
              <w:rPr>
                <w:rFonts w:hint="eastAsia" w:cs="宋体"/>
                <w:snapToGrid w:val="0"/>
                <w:color w:val="auto"/>
                <w:szCs w:val="24"/>
                <w:lang w:eastAsia="zh-CN"/>
              </w:rPr>
              <w:t>泄漏</w:t>
            </w:r>
            <w:r>
              <w:rPr>
                <w:rFonts w:hint="eastAsia" w:cs="宋体"/>
                <w:snapToGrid w:val="0"/>
                <w:color w:val="auto"/>
                <w:szCs w:val="24"/>
              </w:rPr>
              <w:t>情况下的应急措施。</w:t>
            </w:r>
          </w:p>
          <w:p w14:paraId="3607950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⑤危险废物其他管理要求</w:t>
            </w:r>
          </w:p>
          <w:p w14:paraId="4A23A22D">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对于本项目危险废物的环境管理，还应做到以下几点：</w:t>
            </w:r>
          </w:p>
          <w:p w14:paraId="02591550">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建设单位应通过“江苏省固体废物管理信息系统”（江苏省生态环境厅网站）进行危险废物申报登记。将危险废物的实际产生、贮存、利用、处置等情况纳入生产记录，建立危险废物管理台账。</w:t>
            </w:r>
          </w:p>
          <w:p w14:paraId="4632A547">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必须明确企业为固体废物污染防治的责任主体，要求企业建立危废转移联单管理制度。</w:t>
            </w:r>
          </w:p>
          <w:p w14:paraId="38B7308F">
            <w:pPr>
              <w:pStyle w:val="49"/>
              <w:keepNext w:val="0"/>
              <w:keepLines w:val="0"/>
              <w:pageBreakBefore w:val="0"/>
              <w:kinsoku/>
              <w:wordWrap/>
              <w:overflowPunct/>
              <w:topLinePunct w:val="0"/>
              <w:autoSpaceDE/>
              <w:autoSpaceDN/>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五、地下水及土壤</w:t>
            </w:r>
          </w:p>
          <w:p w14:paraId="7B6A346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本项目地面已做硬化处理，不存在地下水及土壤的污染途径，故本次评价仅提出防控措施。</w:t>
            </w:r>
          </w:p>
          <w:p w14:paraId="41011537">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b/>
                <w:color w:val="auto"/>
                <w:sz w:val="21"/>
                <w:szCs w:val="21"/>
              </w:rPr>
            </w:pPr>
            <w:r>
              <w:rPr>
                <w:rFonts w:ascii="Times New Roman" w:hAnsi="Times New Roman"/>
                <w:snapToGrid w:val="0"/>
                <w:color w:val="auto"/>
                <w:szCs w:val="24"/>
              </w:rPr>
              <w:t>根据《环境影响评价技术导则地下水环境》（HJ610-2016）中的有关规定，将地下水污染防渗分区分为重点防渗区、一般防渗区和简单防渗区。防渗分区参照表及防渗分区划分表见下表。</w:t>
            </w:r>
          </w:p>
          <w:p w14:paraId="34A15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b/>
                <w:color w:val="auto"/>
                <w:sz w:val="21"/>
                <w:szCs w:val="21"/>
              </w:rPr>
              <w:t>表4-</w:t>
            </w:r>
            <w:r>
              <w:rPr>
                <w:rFonts w:hint="eastAsia"/>
                <w:b/>
                <w:color w:val="auto"/>
                <w:sz w:val="21"/>
                <w:szCs w:val="21"/>
                <w:lang w:val="en-US" w:eastAsia="zh-CN"/>
              </w:rPr>
              <w:t xml:space="preserve">21 </w:t>
            </w:r>
            <w:r>
              <w:rPr>
                <w:b/>
                <w:color w:val="auto"/>
                <w:sz w:val="21"/>
                <w:szCs w:val="21"/>
              </w:rPr>
              <w:t>污染控制难易程度分级参照表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5921"/>
            </w:tblGrid>
            <w:tr w14:paraId="69CFF5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77CC0BA">
                  <w:pPr>
                    <w:jc w:val="center"/>
                    <w:rPr>
                      <w:color w:val="auto"/>
                    </w:rPr>
                  </w:pPr>
                  <w:r>
                    <w:rPr>
                      <w:rFonts w:hint="eastAsia"/>
                      <w:color w:val="auto"/>
                    </w:rPr>
                    <w:t>污染控制难易程度</w:t>
                  </w:r>
                </w:p>
              </w:tc>
              <w:tc>
                <w:tcPr>
                  <w:tcW w:w="5921" w:type="dxa"/>
                  <w:noWrap w:val="0"/>
                  <w:vAlign w:val="center"/>
                </w:tcPr>
                <w:p w14:paraId="723AF94B">
                  <w:pPr>
                    <w:jc w:val="center"/>
                    <w:rPr>
                      <w:color w:val="auto"/>
                    </w:rPr>
                  </w:pPr>
                  <w:r>
                    <w:rPr>
                      <w:rFonts w:hint="eastAsia"/>
                      <w:color w:val="auto"/>
                    </w:rPr>
                    <w:t>主要特征</w:t>
                  </w:r>
                </w:p>
              </w:tc>
            </w:tr>
            <w:tr w14:paraId="078967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23745C">
                  <w:pPr>
                    <w:jc w:val="center"/>
                    <w:rPr>
                      <w:color w:val="auto"/>
                    </w:rPr>
                  </w:pPr>
                  <w:r>
                    <w:rPr>
                      <w:rFonts w:hint="eastAsia"/>
                      <w:color w:val="auto"/>
                    </w:rPr>
                    <w:t>难</w:t>
                  </w:r>
                </w:p>
              </w:tc>
              <w:tc>
                <w:tcPr>
                  <w:tcW w:w="5921" w:type="dxa"/>
                  <w:noWrap w:val="0"/>
                  <w:vAlign w:val="center"/>
                </w:tcPr>
                <w:p w14:paraId="5DC1CCD9">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后，不能及时发现和处理</w:t>
                  </w:r>
                </w:p>
              </w:tc>
            </w:tr>
            <w:tr w14:paraId="6B953E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F79CE5D">
                  <w:pPr>
                    <w:jc w:val="center"/>
                    <w:rPr>
                      <w:color w:val="auto"/>
                    </w:rPr>
                  </w:pPr>
                  <w:r>
                    <w:rPr>
                      <w:rFonts w:hint="eastAsia"/>
                      <w:color w:val="auto"/>
                    </w:rPr>
                    <w:t>易</w:t>
                  </w:r>
                </w:p>
              </w:tc>
              <w:tc>
                <w:tcPr>
                  <w:tcW w:w="5921" w:type="dxa"/>
                  <w:noWrap w:val="0"/>
                  <w:vAlign w:val="center"/>
                </w:tcPr>
                <w:p w14:paraId="36C00678">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后，可及时发现和处理</w:t>
                  </w:r>
                </w:p>
              </w:tc>
            </w:tr>
          </w:tbl>
          <w:p w14:paraId="419F7442">
            <w:pPr>
              <w:spacing w:before="120" w:beforeLines="50" w:line="240" w:lineRule="auto"/>
              <w:jc w:val="center"/>
              <w:rPr>
                <w:b/>
                <w:color w:val="auto"/>
                <w:sz w:val="21"/>
                <w:szCs w:val="21"/>
              </w:rPr>
            </w:pPr>
          </w:p>
          <w:p w14:paraId="20E07E63">
            <w:pPr>
              <w:spacing w:before="120" w:beforeLines="50" w:line="240" w:lineRule="auto"/>
              <w:jc w:val="center"/>
              <w:rPr>
                <w:b/>
                <w:color w:val="auto"/>
                <w:sz w:val="21"/>
                <w:szCs w:val="21"/>
              </w:rPr>
            </w:pPr>
          </w:p>
          <w:p w14:paraId="7A728D56">
            <w:pPr>
              <w:spacing w:before="120" w:beforeLines="50" w:line="240" w:lineRule="auto"/>
              <w:jc w:val="center"/>
              <w:rPr>
                <w:b/>
                <w:color w:val="auto"/>
                <w:sz w:val="21"/>
                <w:szCs w:val="21"/>
              </w:rPr>
            </w:pPr>
          </w:p>
          <w:p w14:paraId="3142B548">
            <w:pPr>
              <w:spacing w:before="120" w:beforeLines="50" w:line="240" w:lineRule="auto"/>
              <w:jc w:val="center"/>
              <w:rPr>
                <w:b/>
                <w:color w:val="auto"/>
                <w:sz w:val="21"/>
                <w:szCs w:val="21"/>
              </w:rPr>
            </w:pPr>
          </w:p>
          <w:p w14:paraId="4FDFA5DA">
            <w:pPr>
              <w:spacing w:before="120" w:beforeLines="50" w:line="240" w:lineRule="auto"/>
              <w:jc w:val="center"/>
              <w:rPr>
                <w:b/>
                <w:color w:val="auto"/>
                <w:sz w:val="21"/>
                <w:szCs w:val="21"/>
              </w:rPr>
            </w:pPr>
          </w:p>
          <w:p w14:paraId="67D5C8DD">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22 </w:t>
            </w:r>
            <w:r>
              <w:rPr>
                <w:b/>
                <w:color w:val="auto"/>
                <w:sz w:val="21"/>
                <w:szCs w:val="21"/>
              </w:rPr>
              <w:t>天然包气带防污性能分级参照表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820"/>
            </w:tblGrid>
            <w:tr w14:paraId="45BA17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3A1ABCBC">
                  <w:pPr>
                    <w:jc w:val="center"/>
                    <w:rPr>
                      <w:color w:val="auto"/>
                      <w:szCs w:val="21"/>
                    </w:rPr>
                  </w:pPr>
                  <w:r>
                    <w:rPr>
                      <w:rFonts w:hint="eastAsia"/>
                      <w:color w:val="auto"/>
                      <w:szCs w:val="21"/>
                    </w:rPr>
                    <w:t>分级</w:t>
                  </w:r>
                </w:p>
              </w:tc>
              <w:tc>
                <w:tcPr>
                  <w:tcW w:w="6820" w:type="dxa"/>
                  <w:noWrap w:val="0"/>
                  <w:vAlign w:val="center"/>
                </w:tcPr>
                <w:p w14:paraId="6D5A70C9">
                  <w:pPr>
                    <w:jc w:val="center"/>
                    <w:rPr>
                      <w:color w:val="auto"/>
                      <w:szCs w:val="21"/>
                    </w:rPr>
                  </w:pPr>
                  <w:r>
                    <w:rPr>
                      <w:rFonts w:hint="eastAsia"/>
                      <w:color w:val="auto"/>
                      <w:szCs w:val="21"/>
                    </w:rPr>
                    <w:t>包气带岩土的渗透性能</w:t>
                  </w:r>
                </w:p>
              </w:tc>
            </w:tr>
            <w:tr w14:paraId="6717B8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7F1555C7">
                  <w:pPr>
                    <w:jc w:val="center"/>
                    <w:rPr>
                      <w:color w:val="auto"/>
                      <w:szCs w:val="21"/>
                    </w:rPr>
                  </w:pPr>
                  <w:r>
                    <w:rPr>
                      <w:rFonts w:hint="eastAsia"/>
                      <w:color w:val="auto"/>
                      <w:szCs w:val="21"/>
                    </w:rPr>
                    <w:t>强</w:t>
                  </w:r>
                </w:p>
              </w:tc>
              <w:tc>
                <w:tcPr>
                  <w:tcW w:w="6820" w:type="dxa"/>
                  <w:noWrap w:val="0"/>
                  <w:vAlign w:val="center"/>
                </w:tcPr>
                <w:p w14:paraId="05753E5B">
                  <w:pPr>
                    <w:jc w:val="center"/>
                    <w:rPr>
                      <w:color w:val="auto"/>
                      <w:szCs w:val="21"/>
                    </w:rPr>
                  </w:pPr>
                  <w:r>
                    <w:rPr>
                      <w:rFonts w:hint="eastAsia"/>
                      <w:color w:val="auto"/>
                      <w:szCs w:val="21"/>
                    </w:rPr>
                    <w:t>岩（土）层单层厚度Mb≥1.0m，渗透系数K≤10</w:t>
                  </w:r>
                  <w:r>
                    <w:rPr>
                      <w:rFonts w:hint="eastAsia"/>
                      <w:color w:val="auto"/>
                      <w:szCs w:val="21"/>
                      <w:lang w:eastAsia="zh-CN"/>
                    </w:rPr>
                    <w:t>—</w:t>
                  </w:r>
                  <w:r>
                    <w:rPr>
                      <w:rFonts w:hint="eastAsia"/>
                      <w:color w:val="auto"/>
                      <w:szCs w:val="21"/>
                      <w:vertAlign w:val="superscript"/>
                    </w:rPr>
                    <w:t>6</w:t>
                  </w:r>
                  <w:r>
                    <w:rPr>
                      <w:rFonts w:hint="eastAsia"/>
                      <w:color w:val="auto"/>
                      <w:szCs w:val="21"/>
                    </w:rPr>
                    <w:t>cm/s，且分布连续、稳定。</w:t>
                  </w:r>
                </w:p>
              </w:tc>
            </w:tr>
            <w:tr w14:paraId="41BCA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2462047D">
                  <w:pPr>
                    <w:jc w:val="center"/>
                    <w:rPr>
                      <w:color w:val="auto"/>
                      <w:szCs w:val="21"/>
                    </w:rPr>
                  </w:pPr>
                  <w:r>
                    <w:rPr>
                      <w:rFonts w:hint="eastAsia"/>
                      <w:color w:val="auto"/>
                      <w:szCs w:val="21"/>
                    </w:rPr>
                    <w:t>中</w:t>
                  </w:r>
                </w:p>
              </w:tc>
              <w:tc>
                <w:tcPr>
                  <w:tcW w:w="6820" w:type="dxa"/>
                  <w:noWrap w:val="0"/>
                  <w:vAlign w:val="center"/>
                </w:tcPr>
                <w:p w14:paraId="1A5969A7">
                  <w:pPr>
                    <w:jc w:val="center"/>
                    <w:rPr>
                      <w:color w:val="auto"/>
                    </w:rPr>
                  </w:pPr>
                  <w:r>
                    <w:rPr>
                      <w:rFonts w:hint="eastAsia"/>
                      <w:color w:val="auto"/>
                    </w:rPr>
                    <w:t>岩（土）层单层厚度0.5m≤Mb≤1.0m，渗透系数K≤10</w:t>
                  </w:r>
                  <w:r>
                    <w:rPr>
                      <w:rFonts w:hint="eastAsia"/>
                      <w:color w:val="auto"/>
                      <w:lang w:eastAsia="zh-CN"/>
                    </w:rPr>
                    <w:t>—</w:t>
                  </w:r>
                  <w:r>
                    <w:rPr>
                      <w:rFonts w:hint="eastAsia"/>
                      <w:color w:val="auto"/>
                      <w:vertAlign w:val="superscript"/>
                    </w:rPr>
                    <w:t>6</w:t>
                  </w:r>
                  <w:r>
                    <w:rPr>
                      <w:rFonts w:hint="eastAsia"/>
                      <w:color w:val="auto"/>
                    </w:rPr>
                    <w:t>cm/s，且分布连续、稳定。</w:t>
                  </w:r>
                </w:p>
                <w:p w14:paraId="449371B9">
                  <w:pPr>
                    <w:pStyle w:val="19"/>
                    <w:spacing w:line="240" w:lineRule="auto"/>
                    <w:jc w:val="center"/>
                    <w:rPr>
                      <w:rFonts w:ascii="Times New Roman" w:hAnsi="Times New Roman"/>
                      <w:color w:val="auto"/>
                      <w:sz w:val="21"/>
                    </w:rPr>
                  </w:pPr>
                  <w:r>
                    <w:rPr>
                      <w:rFonts w:hint="eastAsia" w:ascii="Times New Roman" w:hAnsi="Times New Roman" w:cs="Times New Roman"/>
                      <w:b w:val="0"/>
                      <w:color w:val="auto"/>
                      <w:sz w:val="21"/>
                      <w:szCs w:val="21"/>
                    </w:rPr>
                    <w:t>岩（土）层单层厚度Mb≥1.0m，渗透系数10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6</w:t>
                  </w:r>
                  <w:r>
                    <w:rPr>
                      <w:rFonts w:hint="eastAsia" w:ascii="Times New Roman" w:hAnsi="Times New Roman" w:cs="Times New Roman"/>
                      <w:b w:val="0"/>
                      <w:color w:val="auto"/>
                      <w:sz w:val="21"/>
                      <w:szCs w:val="21"/>
                    </w:rPr>
                    <w:t>cm/s</w:t>
                  </w:r>
                  <w:r>
                    <w:rPr>
                      <w:rFonts w:hint="eastAsia" w:ascii="Times New Roman" w:hAnsi="Times New Roman"/>
                      <w:color w:val="auto"/>
                      <w:sz w:val="21"/>
                    </w:rPr>
                    <w:t>≤</w:t>
                  </w:r>
                  <w:r>
                    <w:rPr>
                      <w:rFonts w:hint="eastAsia" w:ascii="Times New Roman" w:hAnsi="Times New Roman" w:cs="Times New Roman"/>
                      <w:b w:val="0"/>
                      <w:color w:val="auto"/>
                      <w:sz w:val="21"/>
                      <w:szCs w:val="21"/>
                    </w:rPr>
                    <w:t>K≤10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4</w:t>
                  </w:r>
                  <w:r>
                    <w:rPr>
                      <w:rFonts w:hint="eastAsia" w:ascii="Times New Roman" w:hAnsi="Times New Roman" w:cs="Times New Roman"/>
                      <w:b w:val="0"/>
                      <w:color w:val="auto"/>
                      <w:sz w:val="21"/>
                      <w:szCs w:val="21"/>
                    </w:rPr>
                    <w:t>cm/s，且分布连续、稳定。</w:t>
                  </w:r>
                </w:p>
              </w:tc>
            </w:tr>
            <w:tr w14:paraId="5EDF87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10320965">
                  <w:pPr>
                    <w:jc w:val="center"/>
                    <w:rPr>
                      <w:color w:val="auto"/>
                      <w:szCs w:val="21"/>
                    </w:rPr>
                  </w:pPr>
                  <w:r>
                    <w:rPr>
                      <w:rFonts w:hint="eastAsia"/>
                      <w:color w:val="auto"/>
                      <w:szCs w:val="21"/>
                    </w:rPr>
                    <w:t>弱</w:t>
                  </w:r>
                </w:p>
              </w:tc>
              <w:tc>
                <w:tcPr>
                  <w:tcW w:w="6820" w:type="dxa"/>
                  <w:noWrap w:val="0"/>
                  <w:vAlign w:val="center"/>
                </w:tcPr>
                <w:p w14:paraId="4601E3C4">
                  <w:pPr>
                    <w:jc w:val="center"/>
                    <w:rPr>
                      <w:color w:val="auto"/>
                      <w:szCs w:val="21"/>
                    </w:rPr>
                  </w:pPr>
                  <w:r>
                    <w:rPr>
                      <w:rFonts w:hint="eastAsia"/>
                      <w:color w:val="auto"/>
                      <w:szCs w:val="21"/>
                    </w:rPr>
                    <w:t>岩（土）层不满足上述“强”和“中”条件。</w:t>
                  </w:r>
                </w:p>
              </w:tc>
            </w:tr>
          </w:tbl>
          <w:p w14:paraId="765E38C0">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23 </w:t>
            </w:r>
            <w:r>
              <w:rPr>
                <w:b/>
                <w:color w:val="auto"/>
                <w:sz w:val="21"/>
                <w:szCs w:val="21"/>
              </w:rPr>
              <w:t>地下水污染防渗分区参照表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95"/>
              <w:gridCol w:w="1255"/>
              <w:gridCol w:w="1595"/>
              <w:gridCol w:w="2375"/>
            </w:tblGrid>
            <w:tr w14:paraId="3F39E1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14:paraId="24701A76">
                  <w:pPr>
                    <w:jc w:val="center"/>
                    <w:rPr>
                      <w:color w:val="auto"/>
                    </w:rPr>
                  </w:pPr>
                  <w:r>
                    <w:rPr>
                      <w:rFonts w:hint="eastAsia"/>
                      <w:color w:val="auto"/>
                    </w:rPr>
                    <w:t>防渗分区</w:t>
                  </w:r>
                </w:p>
              </w:tc>
              <w:tc>
                <w:tcPr>
                  <w:tcW w:w="1295" w:type="dxa"/>
                  <w:noWrap w:val="0"/>
                  <w:vAlign w:val="center"/>
                </w:tcPr>
                <w:p w14:paraId="7351DAC1">
                  <w:pPr>
                    <w:jc w:val="center"/>
                    <w:rPr>
                      <w:color w:val="auto"/>
                    </w:rPr>
                  </w:pPr>
                  <w:r>
                    <w:rPr>
                      <w:rFonts w:hint="eastAsia"/>
                      <w:color w:val="auto"/>
                    </w:rPr>
                    <w:t>天然包气带防污性能</w:t>
                  </w:r>
                </w:p>
              </w:tc>
              <w:tc>
                <w:tcPr>
                  <w:tcW w:w="1255" w:type="dxa"/>
                  <w:noWrap w:val="0"/>
                  <w:vAlign w:val="center"/>
                </w:tcPr>
                <w:p w14:paraId="7C151F6F">
                  <w:pPr>
                    <w:jc w:val="center"/>
                    <w:rPr>
                      <w:color w:val="auto"/>
                    </w:rPr>
                  </w:pPr>
                  <w:r>
                    <w:rPr>
                      <w:rFonts w:hint="eastAsia"/>
                      <w:color w:val="auto"/>
                    </w:rPr>
                    <w:t>污染控制难易程度</w:t>
                  </w:r>
                </w:p>
              </w:tc>
              <w:tc>
                <w:tcPr>
                  <w:tcW w:w="1595" w:type="dxa"/>
                  <w:noWrap w:val="0"/>
                  <w:vAlign w:val="center"/>
                </w:tcPr>
                <w:p w14:paraId="73C95E58">
                  <w:pPr>
                    <w:jc w:val="center"/>
                    <w:rPr>
                      <w:color w:val="auto"/>
                    </w:rPr>
                  </w:pPr>
                  <w:r>
                    <w:rPr>
                      <w:rFonts w:hint="eastAsia"/>
                      <w:color w:val="auto"/>
                    </w:rPr>
                    <w:t>污染物类型</w:t>
                  </w:r>
                </w:p>
              </w:tc>
              <w:tc>
                <w:tcPr>
                  <w:tcW w:w="2375" w:type="dxa"/>
                  <w:noWrap w:val="0"/>
                  <w:vAlign w:val="center"/>
                </w:tcPr>
                <w:p w14:paraId="02900EAE">
                  <w:pPr>
                    <w:jc w:val="center"/>
                    <w:rPr>
                      <w:color w:val="auto"/>
                    </w:rPr>
                  </w:pPr>
                  <w:r>
                    <w:rPr>
                      <w:rFonts w:hint="eastAsia"/>
                      <w:color w:val="auto"/>
                    </w:rPr>
                    <w:t>防渗技术要求</w:t>
                  </w:r>
                </w:p>
              </w:tc>
            </w:tr>
            <w:tr w14:paraId="408FDD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restart"/>
                  <w:noWrap w:val="0"/>
                  <w:vAlign w:val="center"/>
                </w:tcPr>
                <w:p w14:paraId="0984BE7F">
                  <w:pPr>
                    <w:jc w:val="center"/>
                    <w:rPr>
                      <w:color w:val="auto"/>
                    </w:rPr>
                  </w:pPr>
                  <w:r>
                    <w:rPr>
                      <w:rFonts w:hint="eastAsia"/>
                      <w:color w:val="auto"/>
                    </w:rPr>
                    <w:t>重点防渗区</w:t>
                  </w:r>
                </w:p>
              </w:tc>
              <w:tc>
                <w:tcPr>
                  <w:tcW w:w="1295" w:type="dxa"/>
                  <w:noWrap w:val="0"/>
                  <w:vAlign w:val="center"/>
                </w:tcPr>
                <w:p w14:paraId="0454069E">
                  <w:pPr>
                    <w:jc w:val="center"/>
                    <w:rPr>
                      <w:color w:val="auto"/>
                    </w:rPr>
                  </w:pPr>
                  <w:r>
                    <w:rPr>
                      <w:rFonts w:hint="eastAsia"/>
                      <w:color w:val="auto"/>
                    </w:rPr>
                    <w:t>弱</w:t>
                  </w:r>
                </w:p>
              </w:tc>
              <w:tc>
                <w:tcPr>
                  <w:tcW w:w="1255" w:type="dxa"/>
                  <w:noWrap w:val="0"/>
                  <w:vAlign w:val="center"/>
                </w:tcPr>
                <w:p w14:paraId="5D961A43">
                  <w:pPr>
                    <w:jc w:val="center"/>
                    <w:rPr>
                      <w:color w:val="auto"/>
                    </w:rPr>
                  </w:pPr>
                  <w:r>
                    <w:rPr>
                      <w:rFonts w:hint="eastAsia"/>
                      <w:color w:val="auto"/>
                    </w:rPr>
                    <w:t>难</w:t>
                  </w:r>
                </w:p>
              </w:tc>
              <w:tc>
                <w:tcPr>
                  <w:tcW w:w="1595" w:type="dxa"/>
                  <w:vMerge w:val="restart"/>
                  <w:noWrap w:val="0"/>
                  <w:vAlign w:val="center"/>
                </w:tcPr>
                <w:p w14:paraId="2FF3FC9F">
                  <w:pPr>
                    <w:jc w:val="center"/>
                    <w:rPr>
                      <w:color w:val="auto"/>
                    </w:rPr>
                  </w:pPr>
                  <w:r>
                    <w:rPr>
                      <w:rFonts w:hint="eastAsia"/>
                      <w:color w:val="auto"/>
                    </w:rPr>
                    <w:t>重金属、持久性有机污染物</w:t>
                  </w:r>
                </w:p>
              </w:tc>
              <w:tc>
                <w:tcPr>
                  <w:tcW w:w="2375" w:type="dxa"/>
                  <w:vMerge w:val="restart"/>
                  <w:noWrap w:val="0"/>
                  <w:vAlign w:val="center"/>
                </w:tcPr>
                <w:p w14:paraId="010109CC">
                  <w:pPr>
                    <w:jc w:val="center"/>
                    <w:rPr>
                      <w:color w:val="auto"/>
                    </w:rPr>
                  </w:pPr>
                  <w:r>
                    <w:rPr>
                      <w:rFonts w:hint="eastAsia"/>
                      <w:color w:val="auto"/>
                    </w:rPr>
                    <w:t>等效黏土防渗层Mb≥6.0m，K≤10</w:t>
                  </w:r>
                  <w:r>
                    <w:rPr>
                      <w:rFonts w:hint="eastAsia"/>
                      <w:color w:val="auto"/>
                      <w:lang w:eastAsia="zh-CN"/>
                    </w:rPr>
                    <w:t>—</w:t>
                  </w:r>
                  <w:r>
                    <w:rPr>
                      <w:rFonts w:hint="eastAsia"/>
                      <w:color w:val="auto"/>
                      <w:vertAlign w:val="superscript"/>
                    </w:rPr>
                    <w:t>7</w:t>
                  </w:r>
                  <w:r>
                    <w:rPr>
                      <w:rFonts w:hint="eastAsia"/>
                      <w:color w:val="auto"/>
                    </w:rPr>
                    <w:t>cm/s；或参照GB18598执行</w:t>
                  </w:r>
                </w:p>
              </w:tc>
            </w:tr>
            <w:tr w14:paraId="7626C1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39C53AFF">
                  <w:pPr>
                    <w:jc w:val="center"/>
                    <w:rPr>
                      <w:color w:val="auto"/>
                    </w:rPr>
                  </w:pPr>
                </w:p>
              </w:tc>
              <w:tc>
                <w:tcPr>
                  <w:tcW w:w="1295" w:type="dxa"/>
                  <w:noWrap w:val="0"/>
                  <w:vAlign w:val="center"/>
                </w:tcPr>
                <w:p w14:paraId="480ED49E">
                  <w:pPr>
                    <w:jc w:val="center"/>
                    <w:rPr>
                      <w:color w:val="auto"/>
                    </w:rPr>
                  </w:pPr>
                  <w:r>
                    <w:rPr>
                      <w:rFonts w:hint="eastAsia"/>
                      <w:color w:val="auto"/>
                    </w:rPr>
                    <w:t>中-强</w:t>
                  </w:r>
                </w:p>
              </w:tc>
              <w:tc>
                <w:tcPr>
                  <w:tcW w:w="1255" w:type="dxa"/>
                  <w:noWrap w:val="0"/>
                  <w:vAlign w:val="center"/>
                </w:tcPr>
                <w:p w14:paraId="497D20B1">
                  <w:pPr>
                    <w:jc w:val="center"/>
                    <w:rPr>
                      <w:color w:val="auto"/>
                    </w:rPr>
                  </w:pPr>
                  <w:r>
                    <w:rPr>
                      <w:rFonts w:hint="eastAsia"/>
                      <w:color w:val="auto"/>
                    </w:rPr>
                    <w:t>难</w:t>
                  </w:r>
                </w:p>
              </w:tc>
              <w:tc>
                <w:tcPr>
                  <w:tcW w:w="1595" w:type="dxa"/>
                  <w:vMerge w:val="continue"/>
                  <w:noWrap w:val="0"/>
                  <w:vAlign w:val="center"/>
                </w:tcPr>
                <w:p w14:paraId="345CEFEB">
                  <w:pPr>
                    <w:jc w:val="center"/>
                    <w:rPr>
                      <w:color w:val="auto"/>
                    </w:rPr>
                  </w:pPr>
                </w:p>
              </w:tc>
              <w:tc>
                <w:tcPr>
                  <w:tcW w:w="2375" w:type="dxa"/>
                  <w:vMerge w:val="continue"/>
                  <w:noWrap w:val="0"/>
                  <w:vAlign w:val="center"/>
                </w:tcPr>
                <w:p w14:paraId="3D68FE89">
                  <w:pPr>
                    <w:jc w:val="center"/>
                    <w:rPr>
                      <w:color w:val="auto"/>
                    </w:rPr>
                  </w:pPr>
                </w:p>
              </w:tc>
            </w:tr>
            <w:tr w14:paraId="4C5A4C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1173C8EB">
                  <w:pPr>
                    <w:jc w:val="center"/>
                    <w:rPr>
                      <w:color w:val="auto"/>
                    </w:rPr>
                  </w:pPr>
                </w:p>
              </w:tc>
              <w:tc>
                <w:tcPr>
                  <w:tcW w:w="1295" w:type="dxa"/>
                  <w:noWrap w:val="0"/>
                  <w:vAlign w:val="center"/>
                </w:tcPr>
                <w:p w14:paraId="2F98B5F0">
                  <w:pPr>
                    <w:jc w:val="center"/>
                    <w:rPr>
                      <w:color w:val="auto"/>
                    </w:rPr>
                  </w:pPr>
                  <w:r>
                    <w:rPr>
                      <w:rFonts w:hint="eastAsia"/>
                      <w:color w:val="auto"/>
                    </w:rPr>
                    <w:t>弱</w:t>
                  </w:r>
                </w:p>
              </w:tc>
              <w:tc>
                <w:tcPr>
                  <w:tcW w:w="1255" w:type="dxa"/>
                  <w:noWrap w:val="0"/>
                  <w:vAlign w:val="center"/>
                </w:tcPr>
                <w:p w14:paraId="495A5F50">
                  <w:pPr>
                    <w:jc w:val="center"/>
                    <w:rPr>
                      <w:color w:val="auto"/>
                    </w:rPr>
                  </w:pPr>
                  <w:r>
                    <w:rPr>
                      <w:rFonts w:hint="eastAsia"/>
                      <w:color w:val="auto"/>
                    </w:rPr>
                    <w:t>易</w:t>
                  </w:r>
                </w:p>
              </w:tc>
              <w:tc>
                <w:tcPr>
                  <w:tcW w:w="1595" w:type="dxa"/>
                  <w:vMerge w:val="continue"/>
                  <w:noWrap w:val="0"/>
                  <w:vAlign w:val="center"/>
                </w:tcPr>
                <w:p w14:paraId="1606DFC7">
                  <w:pPr>
                    <w:jc w:val="center"/>
                    <w:rPr>
                      <w:color w:val="auto"/>
                    </w:rPr>
                  </w:pPr>
                </w:p>
              </w:tc>
              <w:tc>
                <w:tcPr>
                  <w:tcW w:w="2375" w:type="dxa"/>
                  <w:vMerge w:val="continue"/>
                  <w:noWrap w:val="0"/>
                  <w:vAlign w:val="center"/>
                </w:tcPr>
                <w:p w14:paraId="3D7C18EA">
                  <w:pPr>
                    <w:jc w:val="center"/>
                    <w:rPr>
                      <w:color w:val="auto"/>
                    </w:rPr>
                  </w:pPr>
                </w:p>
              </w:tc>
            </w:tr>
            <w:tr w14:paraId="182C0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restart"/>
                  <w:noWrap w:val="0"/>
                  <w:vAlign w:val="center"/>
                </w:tcPr>
                <w:p w14:paraId="661B7DC3">
                  <w:pPr>
                    <w:jc w:val="center"/>
                    <w:rPr>
                      <w:color w:val="auto"/>
                    </w:rPr>
                  </w:pPr>
                  <w:r>
                    <w:rPr>
                      <w:rFonts w:hint="eastAsia"/>
                      <w:color w:val="auto"/>
                    </w:rPr>
                    <w:t>一般防渗区</w:t>
                  </w:r>
                </w:p>
              </w:tc>
              <w:tc>
                <w:tcPr>
                  <w:tcW w:w="1295" w:type="dxa"/>
                  <w:noWrap w:val="0"/>
                  <w:vAlign w:val="center"/>
                </w:tcPr>
                <w:p w14:paraId="48B96225">
                  <w:pPr>
                    <w:jc w:val="center"/>
                    <w:rPr>
                      <w:color w:val="auto"/>
                    </w:rPr>
                  </w:pPr>
                  <w:r>
                    <w:rPr>
                      <w:rFonts w:hint="eastAsia"/>
                      <w:color w:val="auto"/>
                    </w:rPr>
                    <w:t>弱</w:t>
                  </w:r>
                </w:p>
              </w:tc>
              <w:tc>
                <w:tcPr>
                  <w:tcW w:w="1255" w:type="dxa"/>
                  <w:noWrap w:val="0"/>
                  <w:vAlign w:val="center"/>
                </w:tcPr>
                <w:p w14:paraId="53471327">
                  <w:pPr>
                    <w:jc w:val="center"/>
                    <w:rPr>
                      <w:color w:val="auto"/>
                    </w:rPr>
                  </w:pPr>
                  <w:r>
                    <w:rPr>
                      <w:rFonts w:hint="eastAsia"/>
                      <w:color w:val="auto"/>
                    </w:rPr>
                    <w:t>易-难</w:t>
                  </w:r>
                </w:p>
              </w:tc>
              <w:tc>
                <w:tcPr>
                  <w:tcW w:w="1595" w:type="dxa"/>
                  <w:vMerge w:val="restart"/>
                  <w:noWrap w:val="0"/>
                  <w:vAlign w:val="center"/>
                </w:tcPr>
                <w:p w14:paraId="026A6E0F">
                  <w:pPr>
                    <w:jc w:val="center"/>
                    <w:rPr>
                      <w:color w:val="auto"/>
                    </w:rPr>
                  </w:pPr>
                  <w:r>
                    <w:rPr>
                      <w:rFonts w:hint="eastAsia"/>
                      <w:color w:val="auto"/>
                    </w:rPr>
                    <w:t>其他类型</w:t>
                  </w:r>
                </w:p>
              </w:tc>
              <w:tc>
                <w:tcPr>
                  <w:tcW w:w="2375" w:type="dxa"/>
                  <w:vMerge w:val="restart"/>
                  <w:noWrap w:val="0"/>
                  <w:vAlign w:val="center"/>
                </w:tcPr>
                <w:p w14:paraId="4B91C0FE">
                  <w:pPr>
                    <w:jc w:val="center"/>
                    <w:rPr>
                      <w:color w:val="auto"/>
                    </w:rPr>
                  </w:pPr>
                  <w:r>
                    <w:rPr>
                      <w:rFonts w:hint="eastAsia"/>
                      <w:color w:val="auto"/>
                    </w:rPr>
                    <w:t>等效黏土防渗层Mb≥1.5m，K≤10</w:t>
                  </w:r>
                  <w:r>
                    <w:rPr>
                      <w:rFonts w:hint="eastAsia"/>
                      <w:color w:val="auto"/>
                      <w:lang w:eastAsia="zh-CN"/>
                    </w:rPr>
                    <w:t>—</w:t>
                  </w:r>
                  <w:r>
                    <w:rPr>
                      <w:rFonts w:hint="eastAsia"/>
                      <w:color w:val="auto"/>
                      <w:vertAlign w:val="superscript"/>
                    </w:rPr>
                    <w:t>7</w:t>
                  </w:r>
                  <w:r>
                    <w:rPr>
                      <w:rFonts w:hint="eastAsia"/>
                      <w:color w:val="auto"/>
                    </w:rPr>
                    <w:t>cm/s；或参照GB16889执行</w:t>
                  </w:r>
                </w:p>
              </w:tc>
            </w:tr>
            <w:tr w14:paraId="2BF48E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5D98D962">
                  <w:pPr>
                    <w:jc w:val="center"/>
                    <w:rPr>
                      <w:color w:val="auto"/>
                    </w:rPr>
                  </w:pPr>
                </w:p>
              </w:tc>
              <w:tc>
                <w:tcPr>
                  <w:tcW w:w="1295" w:type="dxa"/>
                  <w:noWrap w:val="0"/>
                  <w:vAlign w:val="center"/>
                </w:tcPr>
                <w:p w14:paraId="0E1B7CFB">
                  <w:pPr>
                    <w:jc w:val="center"/>
                    <w:rPr>
                      <w:color w:val="auto"/>
                    </w:rPr>
                  </w:pPr>
                  <w:r>
                    <w:rPr>
                      <w:rFonts w:hint="eastAsia"/>
                      <w:color w:val="auto"/>
                    </w:rPr>
                    <w:t>中-强</w:t>
                  </w:r>
                </w:p>
              </w:tc>
              <w:tc>
                <w:tcPr>
                  <w:tcW w:w="1255" w:type="dxa"/>
                  <w:noWrap w:val="0"/>
                  <w:vAlign w:val="center"/>
                </w:tcPr>
                <w:p w14:paraId="6DB039FA">
                  <w:pPr>
                    <w:jc w:val="center"/>
                    <w:rPr>
                      <w:color w:val="auto"/>
                    </w:rPr>
                  </w:pPr>
                  <w:r>
                    <w:rPr>
                      <w:rFonts w:hint="eastAsia"/>
                      <w:color w:val="auto"/>
                    </w:rPr>
                    <w:t>难</w:t>
                  </w:r>
                </w:p>
              </w:tc>
              <w:tc>
                <w:tcPr>
                  <w:tcW w:w="1595" w:type="dxa"/>
                  <w:vMerge w:val="continue"/>
                  <w:noWrap w:val="0"/>
                  <w:vAlign w:val="center"/>
                </w:tcPr>
                <w:p w14:paraId="0EED4236">
                  <w:pPr>
                    <w:jc w:val="center"/>
                    <w:rPr>
                      <w:color w:val="auto"/>
                    </w:rPr>
                  </w:pPr>
                </w:p>
              </w:tc>
              <w:tc>
                <w:tcPr>
                  <w:tcW w:w="2375" w:type="dxa"/>
                  <w:vMerge w:val="continue"/>
                  <w:noWrap w:val="0"/>
                  <w:vAlign w:val="center"/>
                </w:tcPr>
                <w:p w14:paraId="45558961">
                  <w:pPr>
                    <w:jc w:val="center"/>
                    <w:rPr>
                      <w:color w:val="auto"/>
                    </w:rPr>
                  </w:pPr>
                </w:p>
              </w:tc>
            </w:tr>
            <w:tr w14:paraId="2A47F0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0453AB45">
                  <w:pPr>
                    <w:jc w:val="center"/>
                    <w:rPr>
                      <w:color w:val="auto"/>
                    </w:rPr>
                  </w:pPr>
                </w:p>
              </w:tc>
              <w:tc>
                <w:tcPr>
                  <w:tcW w:w="1295" w:type="dxa"/>
                  <w:noWrap w:val="0"/>
                  <w:vAlign w:val="center"/>
                </w:tcPr>
                <w:p w14:paraId="64848C7D">
                  <w:pPr>
                    <w:jc w:val="center"/>
                    <w:rPr>
                      <w:color w:val="auto"/>
                    </w:rPr>
                  </w:pPr>
                  <w:r>
                    <w:rPr>
                      <w:rFonts w:hint="eastAsia"/>
                      <w:color w:val="auto"/>
                    </w:rPr>
                    <w:t>中</w:t>
                  </w:r>
                </w:p>
              </w:tc>
              <w:tc>
                <w:tcPr>
                  <w:tcW w:w="1255" w:type="dxa"/>
                  <w:noWrap w:val="0"/>
                  <w:vAlign w:val="center"/>
                </w:tcPr>
                <w:p w14:paraId="2D3B1A0E">
                  <w:pPr>
                    <w:jc w:val="center"/>
                    <w:rPr>
                      <w:color w:val="auto"/>
                    </w:rPr>
                  </w:pPr>
                  <w:r>
                    <w:rPr>
                      <w:rFonts w:hint="eastAsia"/>
                      <w:color w:val="auto"/>
                    </w:rPr>
                    <w:t>易</w:t>
                  </w:r>
                </w:p>
              </w:tc>
              <w:tc>
                <w:tcPr>
                  <w:tcW w:w="1595" w:type="dxa"/>
                  <w:vMerge w:val="restart"/>
                  <w:noWrap w:val="0"/>
                  <w:vAlign w:val="center"/>
                </w:tcPr>
                <w:p w14:paraId="77E7CCB1">
                  <w:pPr>
                    <w:jc w:val="center"/>
                    <w:rPr>
                      <w:color w:val="auto"/>
                    </w:rPr>
                  </w:pPr>
                  <w:r>
                    <w:rPr>
                      <w:rFonts w:hint="eastAsia"/>
                      <w:color w:val="auto"/>
                    </w:rPr>
                    <w:t>重金属、持久性有机污染物</w:t>
                  </w:r>
                </w:p>
              </w:tc>
              <w:tc>
                <w:tcPr>
                  <w:tcW w:w="2375" w:type="dxa"/>
                  <w:vMerge w:val="continue"/>
                  <w:noWrap w:val="0"/>
                  <w:vAlign w:val="center"/>
                </w:tcPr>
                <w:p w14:paraId="5A5D50E7">
                  <w:pPr>
                    <w:jc w:val="center"/>
                    <w:rPr>
                      <w:color w:val="auto"/>
                    </w:rPr>
                  </w:pPr>
                </w:p>
              </w:tc>
            </w:tr>
            <w:tr w14:paraId="784D55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51492886">
                  <w:pPr>
                    <w:jc w:val="center"/>
                    <w:rPr>
                      <w:color w:val="auto"/>
                    </w:rPr>
                  </w:pPr>
                </w:p>
              </w:tc>
              <w:tc>
                <w:tcPr>
                  <w:tcW w:w="1295" w:type="dxa"/>
                  <w:noWrap w:val="0"/>
                  <w:vAlign w:val="center"/>
                </w:tcPr>
                <w:p w14:paraId="3E820644">
                  <w:pPr>
                    <w:jc w:val="center"/>
                    <w:rPr>
                      <w:color w:val="auto"/>
                    </w:rPr>
                  </w:pPr>
                  <w:r>
                    <w:rPr>
                      <w:rFonts w:hint="eastAsia"/>
                      <w:color w:val="auto"/>
                    </w:rPr>
                    <w:t>强</w:t>
                  </w:r>
                </w:p>
              </w:tc>
              <w:tc>
                <w:tcPr>
                  <w:tcW w:w="1255" w:type="dxa"/>
                  <w:noWrap w:val="0"/>
                  <w:vAlign w:val="center"/>
                </w:tcPr>
                <w:p w14:paraId="1CD98102">
                  <w:pPr>
                    <w:jc w:val="center"/>
                    <w:rPr>
                      <w:color w:val="auto"/>
                    </w:rPr>
                  </w:pPr>
                  <w:r>
                    <w:rPr>
                      <w:rFonts w:hint="eastAsia"/>
                      <w:color w:val="auto"/>
                    </w:rPr>
                    <w:t>易</w:t>
                  </w:r>
                </w:p>
              </w:tc>
              <w:tc>
                <w:tcPr>
                  <w:tcW w:w="1595" w:type="dxa"/>
                  <w:vMerge w:val="continue"/>
                  <w:noWrap w:val="0"/>
                  <w:vAlign w:val="center"/>
                </w:tcPr>
                <w:p w14:paraId="71A23B9E">
                  <w:pPr>
                    <w:jc w:val="center"/>
                    <w:rPr>
                      <w:color w:val="auto"/>
                    </w:rPr>
                  </w:pPr>
                </w:p>
              </w:tc>
              <w:tc>
                <w:tcPr>
                  <w:tcW w:w="2375" w:type="dxa"/>
                  <w:vMerge w:val="continue"/>
                  <w:noWrap w:val="0"/>
                  <w:vAlign w:val="center"/>
                </w:tcPr>
                <w:p w14:paraId="0CF47569">
                  <w:pPr>
                    <w:jc w:val="center"/>
                    <w:rPr>
                      <w:color w:val="auto"/>
                    </w:rPr>
                  </w:pPr>
                </w:p>
              </w:tc>
            </w:tr>
            <w:tr w14:paraId="3E96DE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14:paraId="387FDDF5">
                  <w:pPr>
                    <w:jc w:val="center"/>
                    <w:rPr>
                      <w:color w:val="auto"/>
                    </w:rPr>
                  </w:pPr>
                  <w:r>
                    <w:rPr>
                      <w:rFonts w:hint="eastAsia"/>
                      <w:color w:val="auto"/>
                    </w:rPr>
                    <w:t>简单防渗区</w:t>
                  </w:r>
                </w:p>
              </w:tc>
              <w:tc>
                <w:tcPr>
                  <w:tcW w:w="1295" w:type="dxa"/>
                  <w:noWrap w:val="0"/>
                  <w:vAlign w:val="center"/>
                </w:tcPr>
                <w:p w14:paraId="39D90CEA">
                  <w:pPr>
                    <w:jc w:val="center"/>
                    <w:rPr>
                      <w:color w:val="auto"/>
                    </w:rPr>
                  </w:pPr>
                  <w:r>
                    <w:rPr>
                      <w:rFonts w:hint="eastAsia"/>
                      <w:color w:val="auto"/>
                    </w:rPr>
                    <w:t>中-强</w:t>
                  </w:r>
                </w:p>
              </w:tc>
              <w:tc>
                <w:tcPr>
                  <w:tcW w:w="1255" w:type="dxa"/>
                  <w:noWrap w:val="0"/>
                  <w:vAlign w:val="center"/>
                </w:tcPr>
                <w:p w14:paraId="3B53617E">
                  <w:pPr>
                    <w:jc w:val="center"/>
                    <w:rPr>
                      <w:color w:val="auto"/>
                    </w:rPr>
                  </w:pPr>
                  <w:r>
                    <w:rPr>
                      <w:rFonts w:hint="eastAsia"/>
                      <w:color w:val="auto"/>
                    </w:rPr>
                    <w:t>易</w:t>
                  </w:r>
                </w:p>
              </w:tc>
              <w:tc>
                <w:tcPr>
                  <w:tcW w:w="1595" w:type="dxa"/>
                  <w:noWrap w:val="0"/>
                  <w:vAlign w:val="center"/>
                </w:tcPr>
                <w:p w14:paraId="2483655D">
                  <w:pPr>
                    <w:jc w:val="center"/>
                    <w:rPr>
                      <w:color w:val="auto"/>
                    </w:rPr>
                  </w:pPr>
                  <w:r>
                    <w:rPr>
                      <w:rFonts w:hint="eastAsia"/>
                      <w:color w:val="auto"/>
                    </w:rPr>
                    <w:t>其他类型</w:t>
                  </w:r>
                </w:p>
              </w:tc>
              <w:tc>
                <w:tcPr>
                  <w:tcW w:w="2375" w:type="dxa"/>
                  <w:noWrap w:val="0"/>
                  <w:vAlign w:val="center"/>
                </w:tcPr>
                <w:p w14:paraId="686D620C">
                  <w:pPr>
                    <w:jc w:val="center"/>
                    <w:rPr>
                      <w:color w:val="auto"/>
                    </w:rPr>
                  </w:pPr>
                  <w:r>
                    <w:rPr>
                      <w:rFonts w:hint="eastAsia"/>
                      <w:color w:val="auto"/>
                    </w:rPr>
                    <w:t>一般地面硬化</w:t>
                  </w:r>
                </w:p>
              </w:tc>
            </w:tr>
          </w:tbl>
          <w:p w14:paraId="3EA1AC3C">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24 </w:t>
            </w:r>
            <w:r>
              <w:rPr>
                <w:rFonts w:hint="eastAsia"/>
                <w:b/>
                <w:color w:val="auto"/>
                <w:sz w:val="21"/>
                <w:szCs w:val="21"/>
              </w:rPr>
              <w:t>本项目</w:t>
            </w:r>
            <w:r>
              <w:rPr>
                <w:b/>
                <w:color w:val="auto"/>
                <w:sz w:val="21"/>
                <w:szCs w:val="21"/>
              </w:rPr>
              <w:t>地下水污染防渗分区划分表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27"/>
              <w:gridCol w:w="1290"/>
              <w:gridCol w:w="1986"/>
              <w:gridCol w:w="1568"/>
            </w:tblGrid>
            <w:tr w14:paraId="023296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73C7E2FC">
                  <w:pPr>
                    <w:adjustRightInd w:val="0"/>
                    <w:snapToGrid w:val="0"/>
                    <w:jc w:val="center"/>
                    <w:rPr>
                      <w:color w:val="auto"/>
                    </w:rPr>
                  </w:pPr>
                  <w:r>
                    <w:rPr>
                      <w:rFonts w:hint="eastAsia"/>
                      <w:color w:val="auto"/>
                    </w:rPr>
                    <w:t>构、建筑物名称</w:t>
                  </w:r>
                </w:p>
              </w:tc>
              <w:tc>
                <w:tcPr>
                  <w:tcW w:w="1427" w:type="dxa"/>
                  <w:noWrap w:val="0"/>
                  <w:vAlign w:val="center"/>
                </w:tcPr>
                <w:p w14:paraId="2E2C5FCB">
                  <w:pPr>
                    <w:adjustRightInd w:val="0"/>
                    <w:snapToGrid w:val="0"/>
                    <w:jc w:val="center"/>
                    <w:rPr>
                      <w:color w:val="auto"/>
                    </w:rPr>
                  </w:pPr>
                  <w:r>
                    <w:rPr>
                      <w:rFonts w:hint="eastAsia"/>
                      <w:color w:val="auto"/>
                    </w:rPr>
                    <w:t>天然包气带防污性能</w:t>
                  </w:r>
                </w:p>
              </w:tc>
              <w:tc>
                <w:tcPr>
                  <w:tcW w:w="1290" w:type="dxa"/>
                  <w:noWrap w:val="0"/>
                  <w:vAlign w:val="center"/>
                </w:tcPr>
                <w:p w14:paraId="021F5796">
                  <w:pPr>
                    <w:adjustRightInd w:val="0"/>
                    <w:snapToGrid w:val="0"/>
                    <w:jc w:val="center"/>
                    <w:rPr>
                      <w:color w:val="auto"/>
                    </w:rPr>
                  </w:pPr>
                  <w:r>
                    <w:rPr>
                      <w:rFonts w:hint="eastAsia"/>
                      <w:color w:val="auto"/>
                    </w:rPr>
                    <w:t>污染控制难易程度</w:t>
                  </w:r>
                </w:p>
              </w:tc>
              <w:tc>
                <w:tcPr>
                  <w:tcW w:w="1986" w:type="dxa"/>
                  <w:noWrap w:val="0"/>
                  <w:vAlign w:val="center"/>
                </w:tcPr>
                <w:p w14:paraId="2D1E6402">
                  <w:pPr>
                    <w:adjustRightInd w:val="0"/>
                    <w:snapToGrid w:val="0"/>
                    <w:jc w:val="center"/>
                    <w:rPr>
                      <w:color w:val="auto"/>
                    </w:rPr>
                  </w:pPr>
                  <w:r>
                    <w:rPr>
                      <w:rFonts w:hint="eastAsia"/>
                      <w:color w:val="auto"/>
                    </w:rPr>
                    <w:t>污染物类型</w:t>
                  </w:r>
                </w:p>
              </w:tc>
              <w:tc>
                <w:tcPr>
                  <w:tcW w:w="1568" w:type="dxa"/>
                  <w:noWrap w:val="0"/>
                  <w:vAlign w:val="center"/>
                </w:tcPr>
                <w:p w14:paraId="41F45A1B">
                  <w:pPr>
                    <w:adjustRightInd w:val="0"/>
                    <w:snapToGrid w:val="0"/>
                    <w:jc w:val="center"/>
                    <w:rPr>
                      <w:color w:val="auto"/>
                    </w:rPr>
                  </w:pPr>
                  <w:r>
                    <w:rPr>
                      <w:rFonts w:hint="eastAsia"/>
                      <w:color w:val="auto"/>
                    </w:rPr>
                    <w:t>防渗分区等级</w:t>
                  </w:r>
                </w:p>
              </w:tc>
            </w:tr>
            <w:tr w14:paraId="086DA9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4711EDEA">
                  <w:pPr>
                    <w:adjustRightInd w:val="0"/>
                    <w:snapToGrid w:val="0"/>
                    <w:jc w:val="center"/>
                    <w:rPr>
                      <w:color w:val="auto"/>
                    </w:rPr>
                  </w:pPr>
                  <w:r>
                    <w:rPr>
                      <w:rFonts w:hint="eastAsia"/>
                      <w:color w:val="auto"/>
                    </w:rPr>
                    <w:t>生产厂房</w:t>
                  </w:r>
                </w:p>
              </w:tc>
              <w:tc>
                <w:tcPr>
                  <w:tcW w:w="1427" w:type="dxa"/>
                  <w:noWrap w:val="0"/>
                  <w:vAlign w:val="center"/>
                </w:tcPr>
                <w:p w14:paraId="69105CEC">
                  <w:pPr>
                    <w:adjustRightInd w:val="0"/>
                    <w:snapToGrid w:val="0"/>
                    <w:jc w:val="center"/>
                    <w:rPr>
                      <w:color w:val="auto"/>
                    </w:rPr>
                  </w:pPr>
                  <w:r>
                    <w:rPr>
                      <w:rFonts w:hint="eastAsia"/>
                      <w:color w:val="auto"/>
                    </w:rPr>
                    <w:t>中</w:t>
                  </w:r>
                </w:p>
              </w:tc>
              <w:tc>
                <w:tcPr>
                  <w:tcW w:w="1290" w:type="dxa"/>
                  <w:noWrap w:val="0"/>
                  <w:vAlign w:val="center"/>
                </w:tcPr>
                <w:p w14:paraId="6D479A9A">
                  <w:pPr>
                    <w:adjustRightInd w:val="0"/>
                    <w:snapToGrid w:val="0"/>
                    <w:jc w:val="center"/>
                    <w:rPr>
                      <w:color w:val="auto"/>
                    </w:rPr>
                  </w:pPr>
                  <w:r>
                    <w:rPr>
                      <w:rFonts w:hint="eastAsia"/>
                      <w:color w:val="auto"/>
                    </w:rPr>
                    <w:t>易</w:t>
                  </w:r>
                </w:p>
              </w:tc>
              <w:tc>
                <w:tcPr>
                  <w:tcW w:w="1986" w:type="dxa"/>
                  <w:noWrap w:val="0"/>
                  <w:vAlign w:val="center"/>
                </w:tcPr>
                <w:p w14:paraId="1F5475A3">
                  <w:pPr>
                    <w:adjustRightInd w:val="0"/>
                    <w:snapToGrid w:val="0"/>
                    <w:jc w:val="center"/>
                    <w:rPr>
                      <w:color w:val="auto"/>
                    </w:rPr>
                  </w:pPr>
                  <w:r>
                    <w:rPr>
                      <w:rFonts w:hint="eastAsia"/>
                      <w:color w:val="auto"/>
                    </w:rPr>
                    <w:t>其他类型</w:t>
                  </w:r>
                </w:p>
              </w:tc>
              <w:tc>
                <w:tcPr>
                  <w:tcW w:w="1568" w:type="dxa"/>
                  <w:noWrap w:val="0"/>
                  <w:vAlign w:val="center"/>
                </w:tcPr>
                <w:p w14:paraId="3390EB79">
                  <w:pPr>
                    <w:adjustRightInd w:val="0"/>
                    <w:snapToGrid w:val="0"/>
                    <w:jc w:val="center"/>
                    <w:rPr>
                      <w:color w:val="auto"/>
                    </w:rPr>
                  </w:pPr>
                  <w:r>
                    <w:rPr>
                      <w:rFonts w:hint="eastAsia"/>
                      <w:color w:val="auto"/>
                    </w:rPr>
                    <w:t>简单防渗区</w:t>
                  </w:r>
                </w:p>
              </w:tc>
            </w:tr>
            <w:tr w14:paraId="5091F2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29C135EA">
                  <w:pPr>
                    <w:adjustRightInd w:val="0"/>
                    <w:snapToGrid w:val="0"/>
                    <w:jc w:val="center"/>
                    <w:rPr>
                      <w:rFonts w:hint="eastAsia" w:eastAsia="宋体"/>
                      <w:color w:val="auto"/>
                      <w:lang w:eastAsia="zh-CN"/>
                    </w:rPr>
                  </w:pPr>
                  <w:r>
                    <w:rPr>
                      <w:rFonts w:hint="eastAsia"/>
                      <w:color w:val="auto"/>
                      <w:lang w:val="en-US" w:eastAsia="zh-CN"/>
                    </w:rPr>
                    <w:t>成品区</w:t>
                  </w:r>
                </w:p>
              </w:tc>
              <w:tc>
                <w:tcPr>
                  <w:tcW w:w="1427" w:type="dxa"/>
                  <w:noWrap w:val="0"/>
                  <w:vAlign w:val="center"/>
                </w:tcPr>
                <w:p w14:paraId="51BE63A5">
                  <w:pPr>
                    <w:adjustRightInd w:val="0"/>
                    <w:snapToGrid w:val="0"/>
                    <w:jc w:val="center"/>
                    <w:rPr>
                      <w:color w:val="auto"/>
                    </w:rPr>
                  </w:pPr>
                  <w:r>
                    <w:rPr>
                      <w:rFonts w:hint="eastAsia"/>
                      <w:color w:val="auto"/>
                    </w:rPr>
                    <w:t>中</w:t>
                  </w:r>
                </w:p>
              </w:tc>
              <w:tc>
                <w:tcPr>
                  <w:tcW w:w="1290" w:type="dxa"/>
                  <w:noWrap w:val="0"/>
                  <w:vAlign w:val="center"/>
                </w:tcPr>
                <w:p w14:paraId="23A38244">
                  <w:pPr>
                    <w:adjustRightInd w:val="0"/>
                    <w:snapToGrid w:val="0"/>
                    <w:jc w:val="center"/>
                    <w:rPr>
                      <w:color w:val="auto"/>
                    </w:rPr>
                  </w:pPr>
                  <w:r>
                    <w:rPr>
                      <w:rFonts w:hint="eastAsia"/>
                      <w:color w:val="auto"/>
                    </w:rPr>
                    <w:t>易</w:t>
                  </w:r>
                </w:p>
              </w:tc>
              <w:tc>
                <w:tcPr>
                  <w:tcW w:w="1986" w:type="dxa"/>
                  <w:noWrap w:val="0"/>
                  <w:vAlign w:val="center"/>
                </w:tcPr>
                <w:p w14:paraId="262B454D">
                  <w:pPr>
                    <w:adjustRightInd w:val="0"/>
                    <w:snapToGrid w:val="0"/>
                    <w:jc w:val="center"/>
                    <w:rPr>
                      <w:color w:val="auto"/>
                    </w:rPr>
                  </w:pPr>
                  <w:r>
                    <w:rPr>
                      <w:rFonts w:hint="eastAsia"/>
                      <w:color w:val="auto"/>
                    </w:rPr>
                    <w:t>其他类型</w:t>
                  </w:r>
                </w:p>
              </w:tc>
              <w:tc>
                <w:tcPr>
                  <w:tcW w:w="1568" w:type="dxa"/>
                  <w:noWrap w:val="0"/>
                  <w:vAlign w:val="center"/>
                </w:tcPr>
                <w:p w14:paraId="6CB153FC">
                  <w:pPr>
                    <w:adjustRightInd w:val="0"/>
                    <w:snapToGrid w:val="0"/>
                    <w:jc w:val="center"/>
                    <w:rPr>
                      <w:color w:val="auto"/>
                    </w:rPr>
                  </w:pPr>
                  <w:r>
                    <w:rPr>
                      <w:rFonts w:hint="eastAsia"/>
                      <w:color w:val="auto"/>
                    </w:rPr>
                    <w:t>简单防渗区</w:t>
                  </w:r>
                </w:p>
              </w:tc>
            </w:tr>
            <w:tr w14:paraId="53EC85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4E08D0FA">
                  <w:pPr>
                    <w:adjustRightInd w:val="0"/>
                    <w:snapToGrid w:val="0"/>
                    <w:jc w:val="center"/>
                    <w:rPr>
                      <w:rFonts w:hint="default"/>
                      <w:color w:val="auto"/>
                      <w:lang w:val="en-US" w:eastAsia="zh-CN"/>
                    </w:rPr>
                  </w:pPr>
                  <w:r>
                    <w:rPr>
                      <w:rFonts w:hint="eastAsia"/>
                      <w:color w:val="auto"/>
                      <w:lang w:val="en-US" w:eastAsia="zh-CN"/>
                    </w:rPr>
                    <w:t>原料区</w:t>
                  </w:r>
                </w:p>
              </w:tc>
              <w:tc>
                <w:tcPr>
                  <w:tcW w:w="1427" w:type="dxa"/>
                  <w:noWrap w:val="0"/>
                  <w:vAlign w:val="center"/>
                </w:tcPr>
                <w:p w14:paraId="5C733F73">
                  <w:pPr>
                    <w:adjustRightInd w:val="0"/>
                    <w:snapToGrid w:val="0"/>
                    <w:jc w:val="center"/>
                    <w:rPr>
                      <w:rFonts w:hint="eastAsia" w:eastAsia="宋体"/>
                      <w:color w:val="auto"/>
                      <w:lang w:val="en-US" w:eastAsia="zh-CN"/>
                    </w:rPr>
                  </w:pPr>
                  <w:r>
                    <w:rPr>
                      <w:rFonts w:hint="eastAsia"/>
                      <w:color w:val="auto"/>
                      <w:lang w:val="en-US" w:eastAsia="zh-CN"/>
                    </w:rPr>
                    <w:t>中</w:t>
                  </w:r>
                </w:p>
              </w:tc>
              <w:tc>
                <w:tcPr>
                  <w:tcW w:w="1290" w:type="dxa"/>
                  <w:noWrap w:val="0"/>
                  <w:vAlign w:val="center"/>
                </w:tcPr>
                <w:p w14:paraId="4C5EFFC0">
                  <w:pPr>
                    <w:adjustRightInd w:val="0"/>
                    <w:snapToGrid w:val="0"/>
                    <w:jc w:val="center"/>
                    <w:rPr>
                      <w:rFonts w:hint="eastAsia" w:eastAsia="宋体"/>
                      <w:color w:val="auto"/>
                      <w:lang w:val="en-US" w:eastAsia="zh-CN"/>
                    </w:rPr>
                  </w:pPr>
                  <w:r>
                    <w:rPr>
                      <w:rFonts w:hint="eastAsia"/>
                      <w:color w:val="auto"/>
                      <w:lang w:val="en-US" w:eastAsia="zh-CN"/>
                    </w:rPr>
                    <w:t>易</w:t>
                  </w:r>
                </w:p>
              </w:tc>
              <w:tc>
                <w:tcPr>
                  <w:tcW w:w="1986" w:type="dxa"/>
                  <w:noWrap w:val="0"/>
                  <w:vAlign w:val="center"/>
                </w:tcPr>
                <w:p w14:paraId="3FEA4788">
                  <w:pPr>
                    <w:adjustRightInd w:val="0"/>
                    <w:snapToGrid w:val="0"/>
                    <w:jc w:val="center"/>
                    <w:rPr>
                      <w:rFonts w:hint="eastAsia"/>
                      <w:color w:val="auto"/>
                    </w:rPr>
                  </w:pPr>
                  <w:r>
                    <w:rPr>
                      <w:rFonts w:hint="eastAsia"/>
                      <w:color w:val="auto"/>
                    </w:rPr>
                    <w:t>其他类型</w:t>
                  </w:r>
                </w:p>
              </w:tc>
              <w:tc>
                <w:tcPr>
                  <w:tcW w:w="1568" w:type="dxa"/>
                  <w:noWrap w:val="0"/>
                  <w:vAlign w:val="center"/>
                </w:tcPr>
                <w:p w14:paraId="3A68E55D">
                  <w:pPr>
                    <w:adjustRightInd w:val="0"/>
                    <w:snapToGrid w:val="0"/>
                    <w:jc w:val="center"/>
                    <w:rPr>
                      <w:rFonts w:hint="eastAsia"/>
                      <w:color w:val="auto"/>
                    </w:rPr>
                  </w:pPr>
                  <w:r>
                    <w:rPr>
                      <w:rFonts w:hint="eastAsia"/>
                      <w:color w:val="auto"/>
                    </w:rPr>
                    <w:t>简单防渗区</w:t>
                  </w:r>
                </w:p>
              </w:tc>
            </w:tr>
            <w:tr w14:paraId="2650B6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67" w:type="dxa"/>
                  <w:noWrap w:val="0"/>
                  <w:vAlign w:val="center"/>
                </w:tcPr>
                <w:p w14:paraId="7A3B96CD">
                  <w:pPr>
                    <w:adjustRightInd w:val="0"/>
                    <w:snapToGrid w:val="0"/>
                    <w:jc w:val="center"/>
                    <w:rPr>
                      <w:rFonts w:hint="eastAsia" w:eastAsia="宋体"/>
                      <w:color w:val="auto"/>
                      <w:lang w:eastAsia="zh-CN"/>
                    </w:rPr>
                  </w:pPr>
                  <w:r>
                    <w:rPr>
                      <w:rFonts w:hint="eastAsia"/>
                      <w:color w:val="auto"/>
                      <w:lang w:eastAsia="zh-CN"/>
                    </w:rPr>
                    <w:t>危废贮存库</w:t>
                  </w:r>
                </w:p>
              </w:tc>
              <w:tc>
                <w:tcPr>
                  <w:tcW w:w="1427" w:type="dxa"/>
                  <w:noWrap w:val="0"/>
                  <w:vAlign w:val="center"/>
                </w:tcPr>
                <w:p w14:paraId="0150055E">
                  <w:pPr>
                    <w:adjustRightInd w:val="0"/>
                    <w:snapToGrid w:val="0"/>
                    <w:jc w:val="center"/>
                    <w:rPr>
                      <w:color w:val="auto"/>
                    </w:rPr>
                  </w:pPr>
                  <w:r>
                    <w:rPr>
                      <w:rFonts w:hint="eastAsia"/>
                      <w:color w:val="auto"/>
                    </w:rPr>
                    <w:t>中</w:t>
                  </w:r>
                </w:p>
              </w:tc>
              <w:tc>
                <w:tcPr>
                  <w:tcW w:w="1290" w:type="dxa"/>
                  <w:noWrap w:val="0"/>
                  <w:vAlign w:val="center"/>
                </w:tcPr>
                <w:p w14:paraId="52AF6B97">
                  <w:pPr>
                    <w:adjustRightInd w:val="0"/>
                    <w:snapToGrid w:val="0"/>
                    <w:jc w:val="center"/>
                    <w:rPr>
                      <w:color w:val="auto"/>
                    </w:rPr>
                  </w:pPr>
                  <w:r>
                    <w:rPr>
                      <w:rFonts w:hint="eastAsia"/>
                      <w:color w:val="auto"/>
                    </w:rPr>
                    <w:t>难</w:t>
                  </w:r>
                </w:p>
              </w:tc>
              <w:tc>
                <w:tcPr>
                  <w:tcW w:w="1986" w:type="dxa"/>
                  <w:noWrap w:val="0"/>
                  <w:vAlign w:val="center"/>
                </w:tcPr>
                <w:p w14:paraId="1EA23E24">
                  <w:pPr>
                    <w:adjustRightInd w:val="0"/>
                    <w:snapToGrid w:val="0"/>
                    <w:jc w:val="center"/>
                    <w:rPr>
                      <w:color w:val="auto"/>
                    </w:rPr>
                  </w:pPr>
                  <w:r>
                    <w:rPr>
                      <w:rFonts w:hint="eastAsia"/>
                      <w:color w:val="auto"/>
                    </w:rPr>
                    <w:t>持久性有机污染物</w:t>
                  </w:r>
                </w:p>
              </w:tc>
              <w:tc>
                <w:tcPr>
                  <w:tcW w:w="1568" w:type="dxa"/>
                  <w:noWrap w:val="0"/>
                  <w:vAlign w:val="center"/>
                </w:tcPr>
                <w:p w14:paraId="62D33ACA">
                  <w:pPr>
                    <w:adjustRightInd w:val="0"/>
                    <w:snapToGrid w:val="0"/>
                    <w:jc w:val="center"/>
                    <w:rPr>
                      <w:color w:val="auto"/>
                    </w:rPr>
                  </w:pPr>
                  <w:r>
                    <w:rPr>
                      <w:rFonts w:hint="eastAsia"/>
                      <w:color w:val="auto"/>
                    </w:rPr>
                    <w:t>重点防渗区</w:t>
                  </w:r>
                </w:p>
              </w:tc>
            </w:tr>
          </w:tbl>
          <w:p w14:paraId="1E7FFB0F">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t>根据《环境影响评价技术导则地下水环境》（HJ610-2016）与《危险废物贮存污染控制标准》（GB18597-20</w:t>
            </w:r>
            <w:r>
              <w:rPr>
                <w:rFonts w:hint="eastAsia"/>
                <w:color w:val="auto"/>
                <w:sz w:val="24"/>
                <w:lang w:val="en-US" w:eastAsia="zh-CN"/>
              </w:rPr>
              <w:t>23</w:t>
            </w:r>
            <w:r>
              <w:rPr>
                <w:color w:val="auto"/>
                <w:sz w:val="24"/>
              </w:rPr>
              <w:t>），企业必须满足下列要求：</w:t>
            </w:r>
          </w:p>
          <w:p w14:paraId="5CBCAFB7">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sz w:val="24"/>
              </w:rPr>
              <w:t>生产厂房</w:t>
            </w:r>
            <w:r>
              <w:rPr>
                <w:rFonts w:hint="eastAsia"/>
                <w:color w:val="auto"/>
                <w:sz w:val="24"/>
                <w:lang w:eastAsia="zh-CN"/>
              </w:rPr>
              <w:t>、</w:t>
            </w:r>
            <w:r>
              <w:rPr>
                <w:rFonts w:hint="eastAsia"/>
                <w:color w:val="auto"/>
                <w:sz w:val="24"/>
                <w:lang w:val="en-US" w:eastAsia="zh-CN"/>
              </w:rPr>
              <w:t>成品区、原料区</w:t>
            </w:r>
            <w:r>
              <w:rPr>
                <w:rFonts w:hint="eastAsia"/>
                <w:color w:val="auto"/>
                <w:sz w:val="24"/>
              </w:rPr>
              <w:t>为简单防渗区，进行一般地面硬化处理</w:t>
            </w:r>
            <w:r>
              <w:rPr>
                <w:color w:val="auto"/>
                <w:sz w:val="24"/>
              </w:rPr>
              <w:t>。</w:t>
            </w:r>
          </w:p>
          <w:p w14:paraId="1378ACA6">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rFonts w:hint="eastAsia"/>
                <w:color w:val="auto"/>
                <w:sz w:val="24"/>
                <w:lang w:eastAsia="zh-CN"/>
              </w:rPr>
              <w:t>危废贮存库</w:t>
            </w:r>
            <w:r>
              <w:rPr>
                <w:rFonts w:hint="eastAsia"/>
                <w:color w:val="auto"/>
                <w:sz w:val="24"/>
              </w:rPr>
              <w:t>为重点</w:t>
            </w:r>
            <w:r>
              <w:rPr>
                <w:color w:val="auto"/>
                <w:sz w:val="24"/>
              </w:rPr>
              <w:t>防渗区，地面采用10cm厚C25抗渗等级为P8的抗渗混凝土</w:t>
            </w:r>
            <w:r>
              <w:rPr>
                <w:rFonts w:hint="eastAsia"/>
                <w:color w:val="auto"/>
                <w:sz w:val="24"/>
              </w:rPr>
              <w:t>或者符合要求的环氧树脂进行防渗处理。</w:t>
            </w:r>
          </w:p>
          <w:p w14:paraId="14777ED5">
            <w:pPr>
              <w:keepNext w:val="0"/>
              <w:keepLines w:val="0"/>
              <w:pageBreakBefore w:val="0"/>
              <w:widowControl w:val="0"/>
              <w:kinsoku/>
              <w:wordWrap/>
              <w:overflowPunct/>
              <w:topLinePunct w:val="0"/>
              <w:bidi w:val="0"/>
              <w:snapToGrid w:val="0"/>
              <w:spacing w:line="360" w:lineRule="auto"/>
              <w:ind w:firstLine="480" w:firstLineChars="200"/>
              <w:rPr>
                <w:color w:val="auto"/>
                <w:sz w:val="24"/>
              </w:rPr>
            </w:pPr>
            <w:r>
              <w:rPr>
                <w:color w:val="auto"/>
                <w:sz w:val="24"/>
              </w:rPr>
              <w:t>采用上述</w:t>
            </w:r>
            <w:r>
              <w:rPr>
                <w:rFonts w:hint="eastAsia"/>
                <w:color w:val="auto"/>
                <w:sz w:val="24"/>
              </w:rPr>
              <w:t>措施</w:t>
            </w:r>
            <w:r>
              <w:rPr>
                <w:color w:val="auto"/>
                <w:sz w:val="24"/>
              </w:rPr>
              <w:t>后</w:t>
            </w:r>
            <w:r>
              <w:rPr>
                <w:color w:val="auto"/>
                <w:kern w:val="0"/>
                <w:sz w:val="24"/>
              </w:rPr>
              <w:t>，危废</w:t>
            </w:r>
            <w:r>
              <w:rPr>
                <w:rFonts w:hint="eastAsia"/>
                <w:color w:val="auto"/>
                <w:kern w:val="0"/>
                <w:sz w:val="24"/>
                <w:lang w:val="en-US" w:eastAsia="zh-CN"/>
              </w:rPr>
              <w:t>贮存库</w:t>
            </w:r>
            <w:r>
              <w:rPr>
                <w:color w:val="auto"/>
                <w:kern w:val="0"/>
                <w:sz w:val="24"/>
              </w:rPr>
              <w:t>的渗透系数不大于1×10</w:t>
            </w:r>
            <w:r>
              <w:rPr>
                <w:rFonts w:hint="eastAsia"/>
                <w:color w:val="auto"/>
                <w:kern w:val="0"/>
                <w:sz w:val="24"/>
                <w:lang w:eastAsia="zh-CN"/>
              </w:rPr>
              <w:t>—</w:t>
            </w:r>
            <w:r>
              <w:rPr>
                <w:rFonts w:hint="eastAsia"/>
                <w:color w:val="auto"/>
                <w:kern w:val="0"/>
                <w:sz w:val="24"/>
                <w:vertAlign w:val="superscript"/>
              </w:rPr>
              <w:t>7</w:t>
            </w:r>
            <w:r>
              <w:rPr>
                <w:color w:val="auto"/>
                <w:kern w:val="0"/>
                <w:sz w:val="24"/>
              </w:rPr>
              <w:t>cm/s，</w:t>
            </w:r>
            <w:r>
              <w:rPr>
                <w:color w:val="auto"/>
                <w:sz w:val="24"/>
              </w:rPr>
              <w:t>可有效阻止污染物下渗。</w:t>
            </w:r>
          </w:p>
          <w:p w14:paraId="6A9F5479">
            <w:pPr>
              <w:keepNext w:val="0"/>
              <w:keepLines w:val="0"/>
              <w:pageBreakBefore w:val="0"/>
              <w:widowControl w:val="0"/>
              <w:kinsoku/>
              <w:wordWrap/>
              <w:overflowPunct/>
              <w:topLinePunct w:val="0"/>
              <w:bidi w:val="0"/>
              <w:spacing w:line="360" w:lineRule="auto"/>
              <w:ind w:firstLine="480" w:firstLineChars="200"/>
              <w:rPr>
                <w:b/>
                <w:color w:val="auto"/>
                <w:szCs w:val="21"/>
              </w:rPr>
            </w:pPr>
            <w:r>
              <w:rPr>
                <w:color w:val="auto"/>
                <w:sz w:val="24"/>
              </w:rPr>
              <w:t>综上所述，本项目通过</w:t>
            </w:r>
            <w:r>
              <w:rPr>
                <w:rFonts w:hint="eastAsia"/>
                <w:color w:val="auto"/>
                <w:sz w:val="24"/>
              </w:rPr>
              <w:t>采取</w:t>
            </w:r>
            <w:r>
              <w:rPr>
                <w:color w:val="auto"/>
                <w:sz w:val="24"/>
              </w:rPr>
              <w:t>上述污染防治措施，可避免项目</w:t>
            </w:r>
            <w:r>
              <w:rPr>
                <w:rFonts w:hint="eastAsia"/>
                <w:color w:val="auto"/>
                <w:sz w:val="24"/>
              </w:rPr>
              <w:t>营运期</w:t>
            </w:r>
            <w:r>
              <w:rPr>
                <w:color w:val="auto"/>
                <w:sz w:val="24"/>
              </w:rPr>
              <w:t>对区域地下水及土壤产生污染影响</w:t>
            </w:r>
            <w:r>
              <w:rPr>
                <w:color w:val="auto"/>
                <w:kern w:val="0"/>
                <w:sz w:val="24"/>
              </w:rPr>
              <w:t>，因此</w:t>
            </w:r>
            <w:r>
              <w:rPr>
                <w:rFonts w:hint="eastAsia"/>
                <w:color w:val="auto"/>
                <w:kern w:val="0"/>
                <w:sz w:val="24"/>
              </w:rPr>
              <w:t>，本</w:t>
            </w:r>
            <w:r>
              <w:rPr>
                <w:color w:val="auto"/>
                <w:kern w:val="0"/>
                <w:sz w:val="24"/>
              </w:rPr>
              <w:t>项目对地下水及土壤影响较小。</w:t>
            </w:r>
          </w:p>
          <w:p w14:paraId="1D6470E8">
            <w:pPr>
              <w:pStyle w:val="49"/>
              <w:keepNext w:val="0"/>
              <w:keepLines w:val="0"/>
              <w:pageBreakBefore w:val="0"/>
              <w:widowControl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六、环境风险评价</w:t>
            </w:r>
          </w:p>
          <w:p w14:paraId="110464D2">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b w:val="0"/>
                <w:bCs w:val="0"/>
                <w:color w:val="auto"/>
                <w:sz w:val="24"/>
              </w:rPr>
            </w:pPr>
            <w:r>
              <w:rPr>
                <w:rFonts w:hint="eastAsia"/>
                <w:b w:val="0"/>
                <w:bCs w:val="0"/>
                <w:color w:val="auto"/>
                <w:sz w:val="24"/>
              </w:rPr>
              <w:t>1、风险物质识别</w:t>
            </w:r>
          </w:p>
          <w:p w14:paraId="1AC8C08C">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rPr>
            </w:pPr>
            <w:r>
              <w:rPr>
                <w:rFonts w:hint="eastAsia"/>
                <w:color w:val="auto"/>
                <w:sz w:val="24"/>
              </w:rPr>
              <w:t>根据《建设项目环境风险评价技术导则》（HJ169-2018）附录B中的“重点关注的危险物质及临界量”，对本项目原辅料、中间产品、最终产品以及生产过程中排放的污染物等进行危险性识别，确定出本项目生产运营过程中涉及的主要风险物质为废活性炭等危险废物。</w:t>
            </w:r>
          </w:p>
          <w:p w14:paraId="6195509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b w:val="0"/>
                <w:bCs w:val="0"/>
                <w:color w:val="auto"/>
                <w:sz w:val="24"/>
              </w:rPr>
            </w:pPr>
            <w:r>
              <w:rPr>
                <w:rFonts w:hint="eastAsia"/>
                <w:b w:val="0"/>
                <w:bCs w:val="0"/>
                <w:color w:val="auto"/>
                <w:sz w:val="24"/>
              </w:rPr>
              <w:t>2、评价依据</w:t>
            </w:r>
          </w:p>
          <w:p w14:paraId="2B190CD4">
            <w:pPr>
              <w:pStyle w:val="19"/>
              <w:keepNext w:val="0"/>
              <w:keepLines w:val="0"/>
              <w:pageBreakBefore w:val="0"/>
              <w:widowControl w:val="0"/>
              <w:kinsoku/>
              <w:wordWrap/>
              <w:overflowPunct/>
              <w:topLinePunct w:val="0"/>
              <w:bidi w:val="0"/>
              <w:snapToGrid/>
              <w:spacing w:line="360" w:lineRule="auto"/>
              <w:ind w:firstLine="480"/>
              <w:rPr>
                <w:rFonts w:ascii="Times New Roman" w:hAnsi="Times New Roman"/>
                <w:b w:val="0"/>
                <w:bCs/>
                <w:color w:val="auto"/>
              </w:rPr>
            </w:pPr>
            <w:r>
              <w:rPr>
                <w:rFonts w:hint="eastAsia" w:ascii="Times New Roman" w:hAnsi="Times New Roman"/>
                <w:b w:val="0"/>
                <w:bCs/>
                <w:color w:val="auto"/>
              </w:rPr>
              <w:t>1</w:t>
            </w:r>
            <w:r>
              <w:rPr>
                <w:rFonts w:hint="eastAsia" w:ascii="Times New Roman" w:hAnsi="Times New Roman" w:cs="Times New Roman"/>
                <w:b w:val="0"/>
                <w:bCs/>
                <w:color w:val="auto"/>
              </w:rPr>
              <w:t>）风险调查</w:t>
            </w:r>
          </w:p>
          <w:p w14:paraId="447774CF">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2"/>
              <w:jc w:val="both"/>
              <w:textAlignment w:val="auto"/>
              <w:rPr>
                <w:rFonts w:hint="eastAsia" w:ascii="Times New Roman" w:hAnsi="Times New Roman"/>
                <w:b w:val="0"/>
                <w:bCs/>
                <w:color w:val="auto"/>
                <w:sz w:val="24"/>
              </w:rPr>
            </w:pPr>
            <w:r>
              <w:rPr>
                <w:rFonts w:hint="eastAsia" w:ascii="Times New Roman" w:hAnsi="Times New Roman"/>
                <w:b w:val="0"/>
                <w:bCs/>
                <w:color w:val="auto"/>
                <w:sz w:val="24"/>
              </w:rPr>
              <w:t>根据《建设项目环境风险评价技术导则》（HJ169-2018）对物质临界量的规定计算所涉及的每种危险物质在厂界内的最大存在总量与其在附录 B 中对应临界量的比值Q。在不同厂区的同一种物质，按其在厂界内的最大存在总量计算。</w:t>
            </w:r>
          </w:p>
          <w:p w14:paraId="3BD15305">
            <w:pPr>
              <w:pStyle w:val="19"/>
              <w:keepNext w:val="0"/>
              <w:keepLines w:val="0"/>
              <w:pageBreakBefore w:val="0"/>
              <w:widowControl w:val="0"/>
              <w:kinsoku/>
              <w:wordWrap/>
              <w:overflowPunct/>
              <w:topLinePunct w:val="0"/>
              <w:autoSpaceDE w:val="0"/>
              <w:autoSpaceDN w:val="0"/>
              <w:bidi w:val="0"/>
              <w:adjustRightInd w:val="0"/>
              <w:snapToGrid/>
              <w:spacing w:line="360" w:lineRule="auto"/>
              <w:ind w:left="2639" w:leftChars="228" w:hanging="2160" w:hangingChars="900"/>
              <w:jc w:val="both"/>
              <w:textAlignment w:val="auto"/>
              <w:rPr>
                <w:rFonts w:hint="eastAsia"/>
                <w:color w:val="auto"/>
              </w:rPr>
            </w:pPr>
            <w:r>
              <w:rPr>
                <w:rFonts w:hint="eastAsia" w:ascii="Times New Roman" w:hAnsi="Times New Roman"/>
                <w:b w:val="0"/>
                <w:bCs/>
                <w:color w:val="auto"/>
                <w:sz w:val="24"/>
              </w:rPr>
              <w:t>单元内存在的危险物质为多品种时，则按下式计算。</w:t>
            </w:r>
            <w:r>
              <w:rPr>
                <w:rFonts w:hint="eastAsia"/>
                <w:color w:val="auto"/>
                <w:position w:val="-30"/>
              </w:rPr>
              <w:object>
                <v:shape id="_x0000_i1033" o:spt="75" type="#_x0000_t75" style="height:34pt;width:10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5" r:id="rId27">
                  <o:LockedField>false</o:LockedField>
                </o:OLEObject>
              </w:object>
            </w:r>
          </w:p>
          <w:p w14:paraId="502C714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lang w:eastAsia="zh-CN"/>
              </w:rPr>
            </w:pPr>
            <w:r>
              <w:rPr>
                <w:rFonts w:hint="eastAsia"/>
                <w:color w:val="auto"/>
              </w:rPr>
              <w:t>式中：q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——每种危险物质实际存在量，t；</w:t>
            </w:r>
          </w:p>
          <w:p w14:paraId="3902042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1200" w:firstLineChars="500"/>
              <w:textAlignment w:val="auto"/>
              <w:rPr>
                <w:rFonts w:hint="eastAsia" w:eastAsia="宋体"/>
                <w:color w:val="auto"/>
                <w:lang w:eastAsia="zh-CN"/>
              </w:rPr>
            </w:pPr>
            <w:r>
              <w:rPr>
                <w:rFonts w:hint="eastAsia"/>
                <w:color w:val="auto"/>
              </w:rPr>
              <w:t>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——与各危险物质相对应的生产场所或贮存区的临界量，t。</w:t>
            </w:r>
          </w:p>
          <w:p w14:paraId="14CAA32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olor w:val="auto"/>
                <w:sz w:val="21"/>
                <w:szCs w:val="21"/>
              </w:rPr>
            </w:pPr>
            <w:r>
              <w:rPr>
                <w:rFonts w:hint="eastAsia"/>
                <w:color w:val="auto"/>
              </w:rPr>
              <w:t>本项目危险物质风险识别及Q值计算结果见</w:t>
            </w:r>
            <w:r>
              <w:rPr>
                <w:rFonts w:hint="eastAsia"/>
                <w:color w:val="auto"/>
                <w:lang w:val="en-US" w:eastAsia="zh-CN"/>
              </w:rPr>
              <w:t>下表</w:t>
            </w:r>
            <w:r>
              <w:rPr>
                <w:rFonts w:hint="eastAsia"/>
                <w:color w:val="auto"/>
              </w:rPr>
              <w:t>。</w:t>
            </w:r>
          </w:p>
          <w:p w14:paraId="5544CAE7">
            <w:pPr>
              <w:pStyle w:val="1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表4-</w:t>
            </w:r>
            <w:r>
              <w:rPr>
                <w:rFonts w:hint="eastAsia" w:ascii="Times New Roman" w:hAnsi="Times New Roman"/>
                <w:color w:val="auto"/>
                <w:sz w:val="21"/>
                <w:szCs w:val="21"/>
                <w:lang w:val="en-US" w:eastAsia="zh-CN"/>
              </w:rPr>
              <w:t xml:space="preserve">25 </w:t>
            </w:r>
            <w:r>
              <w:rPr>
                <w:rFonts w:hint="eastAsia" w:ascii="Times New Roman" w:hAnsi="Times New Roman"/>
                <w:color w:val="auto"/>
                <w:sz w:val="21"/>
                <w:szCs w:val="21"/>
              </w:rPr>
              <w:t>建设项目Q值确定表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598"/>
              <w:gridCol w:w="1306"/>
              <w:gridCol w:w="1306"/>
              <w:gridCol w:w="1307"/>
              <w:gridCol w:w="1307"/>
            </w:tblGrid>
            <w:tr w14:paraId="611E21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07962980">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序号</w:t>
                  </w:r>
                </w:p>
              </w:tc>
              <w:tc>
                <w:tcPr>
                  <w:tcW w:w="1598" w:type="dxa"/>
                  <w:noWrap w:val="0"/>
                  <w:vAlign w:val="center"/>
                </w:tcPr>
                <w:p w14:paraId="66554EFA">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危险物资名称</w:t>
                  </w:r>
                </w:p>
              </w:tc>
              <w:tc>
                <w:tcPr>
                  <w:tcW w:w="1306" w:type="dxa"/>
                  <w:noWrap w:val="0"/>
                  <w:vAlign w:val="center"/>
                </w:tcPr>
                <w:p w14:paraId="67A86979">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CAS</w:t>
                  </w:r>
                </w:p>
              </w:tc>
              <w:tc>
                <w:tcPr>
                  <w:tcW w:w="1306" w:type="dxa"/>
                  <w:noWrap w:val="0"/>
                  <w:vAlign w:val="center"/>
                </w:tcPr>
                <w:p w14:paraId="1EF18874">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最大存在总量q</w:t>
                  </w:r>
                  <w:r>
                    <w:rPr>
                      <w:rFonts w:hint="eastAsia" w:ascii="Times New Roman" w:hAnsi="Times New Roman"/>
                      <w:b w:val="0"/>
                      <w:color w:val="auto"/>
                      <w:sz w:val="21"/>
                      <w:vertAlign w:val="subscript"/>
                    </w:rPr>
                    <w:t>n</w:t>
                  </w:r>
                  <w:r>
                    <w:rPr>
                      <w:rFonts w:hint="eastAsia" w:ascii="Times New Roman" w:hAnsi="Times New Roman"/>
                      <w:b w:val="0"/>
                      <w:color w:val="auto"/>
                      <w:sz w:val="21"/>
                    </w:rPr>
                    <w:t>/t</w:t>
                  </w:r>
                </w:p>
              </w:tc>
              <w:tc>
                <w:tcPr>
                  <w:tcW w:w="1307" w:type="dxa"/>
                  <w:noWrap w:val="0"/>
                  <w:vAlign w:val="center"/>
                </w:tcPr>
                <w:p w14:paraId="68781625">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临界量Q</w:t>
                  </w:r>
                  <w:r>
                    <w:rPr>
                      <w:rFonts w:hint="eastAsia" w:ascii="Times New Roman" w:hAnsi="Times New Roman"/>
                      <w:b w:val="0"/>
                      <w:color w:val="auto"/>
                      <w:sz w:val="21"/>
                      <w:vertAlign w:val="subscript"/>
                    </w:rPr>
                    <w:t>n</w:t>
                  </w:r>
                  <w:r>
                    <w:rPr>
                      <w:rFonts w:hint="eastAsia" w:ascii="Times New Roman" w:hAnsi="Times New Roman"/>
                      <w:b w:val="0"/>
                      <w:color w:val="auto"/>
                      <w:sz w:val="21"/>
                    </w:rPr>
                    <w:t>/t</w:t>
                  </w:r>
                </w:p>
              </w:tc>
              <w:tc>
                <w:tcPr>
                  <w:tcW w:w="1307" w:type="dxa"/>
                  <w:noWrap w:val="0"/>
                  <w:vAlign w:val="center"/>
                </w:tcPr>
                <w:p w14:paraId="2BC5CBAA">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该种危险物质Q值</w:t>
                  </w:r>
                </w:p>
              </w:tc>
            </w:tr>
            <w:tr w14:paraId="5B1FBA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69D9346B">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1</w:t>
                  </w:r>
                </w:p>
              </w:tc>
              <w:tc>
                <w:tcPr>
                  <w:tcW w:w="1598" w:type="dxa"/>
                  <w:noWrap w:val="0"/>
                  <w:vAlign w:val="center"/>
                </w:tcPr>
                <w:p w14:paraId="52D40516">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危险废物</w:t>
                  </w:r>
                </w:p>
              </w:tc>
              <w:tc>
                <w:tcPr>
                  <w:tcW w:w="1306" w:type="dxa"/>
                  <w:noWrap w:val="0"/>
                  <w:vAlign w:val="center"/>
                </w:tcPr>
                <w:p w14:paraId="3ABCDCD6">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w:t>
                  </w:r>
                </w:p>
              </w:tc>
              <w:tc>
                <w:tcPr>
                  <w:tcW w:w="1306" w:type="dxa"/>
                  <w:noWrap w:val="0"/>
                  <w:vAlign w:val="center"/>
                </w:tcPr>
                <w:p w14:paraId="2C861CEB">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33.771</w:t>
                  </w:r>
                </w:p>
              </w:tc>
              <w:tc>
                <w:tcPr>
                  <w:tcW w:w="1307" w:type="dxa"/>
                  <w:noWrap w:val="0"/>
                  <w:vAlign w:val="center"/>
                </w:tcPr>
                <w:p w14:paraId="6F7A78FC">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50</w:t>
                  </w:r>
                </w:p>
              </w:tc>
              <w:tc>
                <w:tcPr>
                  <w:tcW w:w="1307" w:type="dxa"/>
                  <w:noWrap w:val="0"/>
                  <w:vAlign w:val="center"/>
                </w:tcPr>
                <w:p w14:paraId="0321E49D">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0.67542</w:t>
                  </w:r>
                </w:p>
              </w:tc>
            </w:tr>
            <w:tr w14:paraId="0E3FAB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7A15DBE9">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2</w:t>
                  </w:r>
                </w:p>
              </w:tc>
              <w:tc>
                <w:tcPr>
                  <w:tcW w:w="1598" w:type="dxa"/>
                  <w:noWrap w:val="0"/>
                  <w:vAlign w:val="center"/>
                </w:tcPr>
                <w:p w14:paraId="5C4947C9">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苯乙烯（存在于不饱和聚酯树脂中）</w:t>
                  </w:r>
                </w:p>
              </w:tc>
              <w:tc>
                <w:tcPr>
                  <w:tcW w:w="1306" w:type="dxa"/>
                  <w:noWrap w:val="0"/>
                  <w:vAlign w:val="center"/>
                </w:tcPr>
                <w:p w14:paraId="110E14FB">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100-42-5</w:t>
                  </w:r>
                </w:p>
              </w:tc>
              <w:tc>
                <w:tcPr>
                  <w:tcW w:w="1306" w:type="dxa"/>
                  <w:noWrap w:val="0"/>
                  <w:vAlign w:val="center"/>
                </w:tcPr>
                <w:p w14:paraId="47CF9060">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0.6</w:t>
                  </w:r>
                </w:p>
              </w:tc>
              <w:tc>
                <w:tcPr>
                  <w:tcW w:w="1307" w:type="dxa"/>
                  <w:noWrap w:val="0"/>
                  <w:vAlign w:val="center"/>
                </w:tcPr>
                <w:p w14:paraId="374F8BA9">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10</w:t>
                  </w:r>
                </w:p>
              </w:tc>
              <w:tc>
                <w:tcPr>
                  <w:tcW w:w="1307" w:type="dxa"/>
                  <w:noWrap w:val="0"/>
                  <w:vAlign w:val="center"/>
                </w:tcPr>
                <w:p w14:paraId="1954691D">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0.06</w:t>
                  </w:r>
                </w:p>
              </w:tc>
            </w:tr>
            <w:tr w14:paraId="2A676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2CC0AB96">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3</w:t>
                  </w:r>
                </w:p>
              </w:tc>
              <w:tc>
                <w:tcPr>
                  <w:tcW w:w="1598" w:type="dxa"/>
                  <w:noWrap w:val="0"/>
                  <w:vAlign w:val="center"/>
                </w:tcPr>
                <w:p w14:paraId="770523B8">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液压油</w:t>
                  </w:r>
                </w:p>
              </w:tc>
              <w:tc>
                <w:tcPr>
                  <w:tcW w:w="1306" w:type="dxa"/>
                  <w:noWrap w:val="0"/>
                  <w:vAlign w:val="center"/>
                </w:tcPr>
                <w:p w14:paraId="0ECAC214">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w:t>
                  </w:r>
                </w:p>
              </w:tc>
              <w:tc>
                <w:tcPr>
                  <w:tcW w:w="1306" w:type="dxa"/>
                  <w:noWrap w:val="0"/>
                  <w:vAlign w:val="center"/>
                </w:tcPr>
                <w:p w14:paraId="55DE20F8">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0.075</w:t>
                  </w:r>
                </w:p>
              </w:tc>
              <w:tc>
                <w:tcPr>
                  <w:tcW w:w="1307" w:type="dxa"/>
                  <w:noWrap w:val="0"/>
                  <w:vAlign w:val="center"/>
                </w:tcPr>
                <w:p w14:paraId="1F197ED7">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2500</w:t>
                  </w:r>
                </w:p>
              </w:tc>
              <w:tc>
                <w:tcPr>
                  <w:tcW w:w="1307" w:type="dxa"/>
                  <w:noWrap w:val="0"/>
                  <w:vAlign w:val="center"/>
                </w:tcPr>
                <w:p w14:paraId="01100715">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0.00003</w:t>
                  </w:r>
                </w:p>
              </w:tc>
            </w:tr>
            <w:tr w14:paraId="05E258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663376F1">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4</w:t>
                  </w:r>
                </w:p>
              </w:tc>
              <w:tc>
                <w:tcPr>
                  <w:tcW w:w="1598" w:type="dxa"/>
                  <w:noWrap w:val="0"/>
                  <w:vAlign w:val="center"/>
                </w:tcPr>
                <w:p w14:paraId="24DC7A25">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固化剂</w:t>
                  </w:r>
                </w:p>
              </w:tc>
              <w:tc>
                <w:tcPr>
                  <w:tcW w:w="1306" w:type="dxa"/>
                  <w:noWrap w:val="0"/>
                  <w:vAlign w:val="center"/>
                </w:tcPr>
                <w:p w14:paraId="673B878C">
                  <w:pPr>
                    <w:pStyle w:val="19"/>
                    <w:snapToGrid/>
                    <w:spacing w:line="280" w:lineRule="exact"/>
                    <w:ind w:firstLine="0" w:firstLineChars="0"/>
                    <w:jc w:val="center"/>
                    <w:rPr>
                      <w:rFonts w:hint="eastAsia" w:ascii="Times New Roman" w:hAnsi="Times New Roman" w:cs="宋体"/>
                      <w:b w:val="0"/>
                      <w:bCs w:val="0"/>
                      <w:color w:val="auto"/>
                      <w:kern w:val="2"/>
                      <w:sz w:val="21"/>
                      <w:szCs w:val="21"/>
                      <w:lang w:val="en-US" w:eastAsia="zh-CN" w:bidi="ar-SA"/>
                    </w:rPr>
                  </w:pPr>
                </w:p>
              </w:tc>
              <w:tc>
                <w:tcPr>
                  <w:tcW w:w="1306" w:type="dxa"/>
                  <w:noWrap w:val="0"/>
                  <w:vAlign w:val="center"/>
                </w:tcPr>
                <w:p w14:paraId="617B98E1">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0.15</w:t>
                  </w:r>
                </w:p>
              </w:tc>
              <w:tc>
                <w:tcPr>
                  <w:tcW w:w="1307" w:type="dxa"/>
                  <w:noWrap w:val="0"/>
                  <w:vAlign w:val="center"/>
                </w:tcPr>
                <w:p w14:paraId="532C4932">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50</w:t>
                  </w:r>
                </w:p>
              </w:tc>
              <w:tc>
                <w:tcPr>
                  <w:tcW w:w="1307" w:type="dxa"/>
                  <w:noWrap w:val="0"/>
                  <w:vAlign w:val="center"/>
                </w:tcPr>
                <w:p w14:paraId="4DBDF938">
                  <w:pPr>
                    <w:pStyle w:val="19"/>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0.003</w:t>
                  </w:r>
                </w:p>
              </w:tc>
            </w:tr>
            <w:tr w14:paraId="63D5CA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31" w:type="dxa"/>
                  <w:gridSpan w:val="5"/>
                  <w:noWrap w:val="0"/>
                  <w:vAlign w:val="center"/>
                </w:tcPr>
                <w:p w14:paraId="17F317AB">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项目Q值∑</w:t>
                  </w:r>
                </w:p>
              </w:tc>
              <w:tc>
                <w:tcPr>
                  <w:tcW w:w="1307" w:type="dxa"/>
                  <w:noWrap w:val="0"/>
                  <w:vAlign w:val="center"/>
                </w:tcPr>
                <w:p w14:paraId="44505993">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0.73845</w:t>
                  </w:r>
                </w:p>
              </w:tc>
            </w:tr>
          </w:tbl>
          <w:p w14:paraId="1F98D90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项目Q=0.</w:t>
            </w:r>
            <w:r>
              <w:rPr>
                <w:rFonts w:hint="eastAsia" w:cs="宋体"/>
                <w:b w:val="0"/>
                <w:bCs w:val="0"/>
                <w:color w:val="auto"/>
                <w:kern w:val="2"/>
                <w:sz w:val="24"/>
                <w:szCs w:val="24"/>
                <w:lang w:val="en-US" w:eastAsia="zh-CN" w:bidi="ar-SA"/>
              </w:rPr>
              <w:t>73845</w:t>
            </w:r>
            <w:r>
              <w:rPr>
                <w:rFonts w:hint="eastAsia" w:ascii="Times New Roman" w:hAnsi="Times New Roman" w:eastAsia="宋体" w:cs="宋体"/>
                <w:b w:val="0"/>
                <w:bCs w:val="0"/>
                <w:color w:val="auto"/>
                <w:kern w:val="2"/>
                <w:sz w:val="24"/>
                <w:szCs w:val="24"/>
                <w:lang w:val="en-US" w:eastAsia="zh-CN" w:bidi="ar-SA"/>
              </w:rPr>
              <w:t>＜1，根据《建设项目环境风险评价技术导则》（HJ169-2018）附录C.1.1，本</w:t>
            </w:r>
            <w:r>
              <w:rPr>
                <w:rFonts w:hint="default" w:ascii="Times New Roman" w:hAnsi="Times New Roman" w:eastAsia="宋体" w:cs="Times New Roman"/>
                <w:b w:val="0"/>
                <w:bCs w:val="0"/>
                <w:color w:val="auto"/>
                <w:kern w:val="2"/>
                <w:sz w:val="24"/>
                <w:szCs w:val="24"/>
                <w:lang w:val="en-US" w:eastAsia="zh-CN" w:bidi="ar-SA"/>
              </w:rPr>
              <w:t>项目风险潜势为Ⅰ。</w:t>
            </w:r>
          </w:p>
          <w:p w14:paraId="0FF92C84">
            <w:pPr>
              <w:pStyle w:val="19"/>
              <w:keepNext w:val="0"/>
              <w:keepLines w:val="0"/>
              <w:pageBreakBefore w:val="0"/>
              <w:widowControl w:val="0"/>
              <w:numPr>
                <w:ilvl w:val="0"/>
                <w:numId w:val="11"/>
              </w:numPr>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评价等级</w:t>
            </w:r>
          </w:p>
          <w:p w14:paraId="7A3CEBE6">
            <w:pPr>
              <w:pStyle w:val="19"/>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本项目风险潜势为I，</w:t>
            </w:r>
            <w:r>
              <w:rPr>
                <w:rFonts w:hint="eastAsia" w:ascii="Times New Roman" w:hAnsi="Times New Roman" w:cs="Times New Roman"/>
                <w:b w:val="0"/>
                <w:bCs w:val="0"/>
                <w:color w:val="auto"/>
                <w:lang w:eastAsia="zh-CN"/>
              </w:rPr>
              <w:t>无须设置</w:t>
            </w:r>
            <w:r>
              <w:rPr>
                <w:rFonts w:hint="default" w:ascii="Times New Roman" w:hAnsi="Times New Roman" w:cs="Times New Roman"/>
                <w:b w:val="0"/>
                <w:bCs w:val="0"/>
                <w:color w:val="auto"/>
              </w:rPr>
              <w:t>评价等级及评价范围，仅作简单分析。</w:t>
            </w:r>
          </w:p>
          <w:p w14:paraId="2A6A7CA9">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3、风险单元识别</w:t>
            </w:r>
          </w:p>
          <w:p w14:paraId="41DE8B98">
            <w:pPr>
              <w:keepNext w:val="0"/>
              <w:keepLines w:val="0"/>
              <w:pageBreakBefore w:val="0"/>
              <w:kinsoku/>
              <w:wordWrap/>
              <w:overflowPunct/>
              <w:topLinePunct w:val="0"/>
              <w:bidi w:val="0"/>
              <w:adjustRightInd w:val="0"/>
              <w:snapToGrid w:val="0"/>
              <w:spacing w:line="360" w:lineRule="auto"/>
              <w:ind w:firstLine="480" w:firstLineChars="200"/>
              <w:rPr>
                <w:color w:val="auto"/>
                <w:sz w:val="24"/>
              </w:rPr>
            </w:pPr>
            <w:r>
              <w:rPr>
                <w:color w:val="auto"/>
                <w:sz w:val="24"/>
              </w:rPr>
              <w:t>生产系统危险性识别包括主要生产装置、储运系统、公用工程系统、工程环保设施及辅助生产设施等。根据</w:t>
            </w:r>
            <w:r>
              <w:rPr>
                <w:rFonts w:hint="eastAsia"/>
                <w:color w:val="auto"/>
                <w:sz w:val="24"/>
              </w:rPr>
              <w:t>本</w:t>
            </w:r>
            <w:r>
              <w:rPr>
                <w:color w:val="auto"/>
                <w:sz w:val="24"/>
              </w:rPr>
              <w:t>项目特点，本次评价生产系统危险性识别结果为风险物质的储存设施，</w:t>
            </w:r>
            <w:r>
              <w:rPr>
                <w:rFonts w:hint="eastAsia"/>
                <w:color w:val="auto"/>
                <w:sz w:val="24"/>
              </w:rPr>
              <w:t>主要为危废</w:t>
            </w:r>
            <w:r>
              <w:rPr>
                <w:rFonts w:hint="eastAsia"/>
                <w:color w:val="auto"/>
                <w:sz w:val="24"/>
                <w:lang w:val="en-US" w:eastAsia="zh-CN"/>
              </w:rPr>
              <w:t>贮存</w:t>
            </w:r>
            <w:r>
              <w:rPr>
                <w:rFonts w:hint="eastAsia"/>
                <w:color w:val="auto"/>
                <w:sz w:val="24"/>
              </w:rPr>
              <w:t>库和原料区</w:t>
            </w:r>
            <w:r>
              <w:rPr>
                <w:color w:val="auto"/>
                <w:sz w:val="24"/>
              </w:rPr>
              <w:t>。</w:t>
            </w:r>
          </w:p>
          <w:p w14:paraId="31218E8B">
            <w:pPr>
              <w:keepNext w:val="0"/>
              <w:keepLines w:val="0"/>
              <w:pageBreakBefore w:val="0"/>
              <w:kinsoku/>
              <w:wordWrap/>
              <w:overflowPunct/>
              <w:topLinePunct w:val="0"/>
              <w:bidi w:val="0"/>
              <w:adjustRightInd w:val="0"/>
              <w:snapToGrid w:val="0"/>
              <w:spacing w:line="360" w:lineRule="auto"/>
              <w:ind w:firstLine="480" w:firstLineChars="200"/>
              <w:rPr>
                <w:b w:val="0"/>
                <w:bCs w:val="0"/>
                <w:color w:val="auto"/>
                <w:sz w:val="24"/>
              </w:rPr>
            </w:pPr>
            <w:r>
              <w:rPr>
                <w:rFonts w:hint="eastAsia"/>
                <w:b w:val="0"/>
                <w:bCs w:val="0"/>
                <w:color w:val="auto"/>
                <w:sz w:val="24"/>
              </w:rPr>
              <w:t>4</w:t>
            </w:r>
            <w:r>
              <w:rPr>
                <w:b w:val="0"/>
                <w:bCs w:val="0"/>
                <w:color w:val="auto"/>
                <w:sz w:val="24"/>
              </w:rPr>
              <w:t>、</w:t>
            </w:r>
            <w:r>
              <w:rPr>
                <w:rFonts w:hint="eastAsia"/>
                <w:b w:val="0"/>
                <w:bCs w:val="0"/>
                <w:color w:val="auto"/>
                <w:sz w:val="24"/>
              </w:rPr>
              <w:t>环境</w:t>
            </w:r>
            <w:r>
              <w:rPr>
                <w:b w:val="0"/>
                <w:bCs w:val="0"/>
                <w:color w:val="auto"/>
                <w:sz w:val="24"/>
              </w:rPr>
              <w:t>风险</w:t>
            </w:r>
            <w:r>
              <w:rPr>
                <w:rFonts w:hint="eastAsia"/>
                <w:b w:val="0"/>
                <w:bCs w:val="0"/>
                <w:color w:val="auto"/>
                <w:sz w:val="24"/>
              </w:rPr>
              <w:t>类型</w:t>
            </w:r>
          </w:p>
          <w:p w14:paraId="3D935D6B">
            <w:pPr>
              <w:keepNext w:val="0"/>
              <w:keepLines w:val="0"/>
              <w:pageBreakBefore w:val="0"/>
              <w:kinsoku/>
              <w:wordWrap/>
              <w:overflowPunct/>
              <w:topLinePunct w:val="0"/>
              <w:bidi w:val="0"/>
              <w:spacing w:line="360" w:lineRule="auto"/>
              <w:ind w:firstLine="480" w:firstLineChars="200"/>
              <w:rPr>
                <w:color w:val="auto"/>
                <w:sz w:val="24"/>
              </w:rPr>
            </w:pPr>
            <w:r>
              <w:rPr>
                <w:color w:val="auto"/>
                <w:sz w:val="24"/>
              </w:rPr>
              <w:t>本项目环境风险类型主要为：</w:t>
            </w:r>
          </w:p>
          <w:p w14:paraId="00EE96CC">
            <w:pPr>
              <w:keepNext w:val="0"/>
              <w:keepLines w:val="0"/>
              <w:pageBreakBefore w:val="0"/>
              <w:kinsoku/>
              <w:wordWrap/>
              <w:overflowPunct/>
              <w:topLinePunct w:val="0"/>
              <w:bidi w:val="0"/>
              <w:spacing w:line="360" w:lineRule="auto"/>
              <w:ind w:firstLine="480" w:firstLineChars="200"/>
              <w:rPr>
                <w:color w:val="auto"/>
                <w:sz w:val="24"/>
              </w:rPr>
            </w:pPr>
            <w:r>
              <w:rPr>
                <w:rFonts w:hint="eastAsia"/>
                <w:color w:val="auto"/>
                <w:sz w:val="24"/>
              </w:rPr>
              <w:t>①</w:t>
            </w:r>
            <w:r>
              <w:rPr>
                <w:color w:val="auto"/>
                <w:sz w:val="24"/>
              </w:rPr>
              <w:t>废气处理设施故障，从而影响大气环境；</w:t>
            </w:r>
          </w:p>
          <w:p w14:paraId="02EC7763">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hint="eastAsia" w:ascii="Times New Roman" w:hAnsi="Times New Roman"/>
                <w:color w:val="auto"/>
                <w:szCs w:val="24"/>
              </w:rPr>
            </w:pPr>
            <w:r>
              <w:rPr>
                <w:rFonts w:hint="eastAsia" w:ascii="Times New Roman" w:hAnsi="Times New Roman"/>
                <w:color w:val="auto"/>
                <w:szCs w:val="24"/>
              </w:rPr>
              <w:t>②</w:t>
            </w:r>
            <w:r>
              <w:rPr>
                <w:rFonts w:ascii="Times New Roman" w:hAnsi="Times New Roman"/>
                <w:color w:val="auto"/>
                <w:szCs w:val="24"/>
              </w:rPr>
              <w:t>一般固废暂存区遇明火发生火灾，从而影响大气环境</w:t>
            </w:r>
            <w:r>
              <w:rPr>
                <w:rFonts w:hint="eastAsia" w:ascii="Times New Roman" w:hAnsi="Times New Roman"/>
                <w:color w:val="auto"/>
                <w:szCs w:val="24"/>
              </w:rPr>
              <w:t>；</w:t>
            </w:r>
          </w:p>
          <w:p w14:paraId="2D65BF5C">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hint="default" w:ascii="Times New Roman" w:hAnsi="Times New Roman" w:eastAsia="宋体"/>
                <w:color w:val="auto"/>
                <w:szCs w:val="24"/>
                <w:lang w:val="en-US" w:eastAsia="zh-CN"/>
              </w:rPr>
            </w:pPr>
            <w:r>
              <w:rPr>
                <w:rFonts w:hint="eastAsia" w:ascii="Times New Roman" w:hAnsi="Times New Roman"/>
                <w:color w:val="auto"/>
                <w:szCs w:val="24"/>
                <w:lang w:val="en-US" w:eastAsia="zh-CN"/>
              </w:rPr>
              <w:t>③不饱和聚酯树脂和固化剂桶破损，导致不饱和聚酯树脂和固化剂泄漏，从而影响水环境。</w:t>
            </w:r>
          </w:p>
          <w:p w14:paraId="3EA46B2E">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5</w:t>
            </w:r>
            <w:r>
              <w:rPr>
                <w:rFonts w:ascii="Times New Roman" w:hAnsi="Times New Roman"/>
                <w:b w:val="0"/>
                <w:bCs w:val="0"/>
                <w:snapToGrid w:val="0"/>
                <w:color w:val="auto"/>
                <w:szCs w:val="24"/>
              </w:rPr>
              <w:t>、环境风险防范措施</w:t>
            </w:r>
          </w:p>
          <w:p w14:paraId="73EF13B5">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①</w:t>
            </w:r>
            <w:r>
              <w:rPr>
                <w:rFonts w:ascii="Times New Roman" w:hAnsi="Times New Roman"/>
                <w:snapToGrid w:val="0"/>
                <w:color w:val="auto"/>
                <w:szCs w:val="24"/>
              </w:rPr>
              <w:t>废气治理风险防范措施除加强操作人员工作素质外，主要在于对废气治理装置的日常运行维护，保证各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039C5C73">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color w:val="auto"/>
                <w:szCs w:val="24"/>
              </w:rPr>
              <w:t>②</w:t>
            </w:r>
            <w:r>
              <w:rPr>
                <w:bCs/>
                <w:color w:val="auto"/>
                <w:szCs w:val="24"/>
              </w:rPr>
              <w:t>安排</w:t>
            </w:r>
            <w:r>
              <w:rPr>
                <w:rFonts w:hint="eastAsia"/>
                <w:bCs/>
                <w:color w:val="auto"/>
                <w:szCs w:val="24"/>
              </w:rPr>
              <w:t>专员</w:t>
            </w:r>
            <w:r>
              <w:rPr>
                <w:bCs/>
                <w:color w:val="auto"/>
                <w:szCs w:val="24"/>
              </w:rPr>
              <w:t>定期对</w:t>
            </w:r>
            <w:r>
              <w:rPr>
                <w:rFonts w:hint="eastAsia"/>
                <w:bCs/>
                <w:color w:val="auto"/>
                <w:szCs w:val="24"/>
              </w:rPr>
              <w:t>危废</w:t>
            </w:r>
            <w:r>
              <w:rPr>
                <w:rFonts w:hint="eastAsia"/>
                <w:bCs/>
                <w:color w:val="auto"/>
                <w:szCs w:val="24"/>
                <w:lang w:val="en-US" w:eastAsia="zh-CN"/>
              </w:rPr>
              <w:t>间</w:t>
            </w:r>
            <w:r>
              <w:rPr>
                <w:rFonts w:hint="eastAsia"/>
                <w:bCs/>
                <w:color w:val="auto"/>
                <w:szCs w:val="24"/>
              </w:rPr>
              <w:t>和一般固废暂存区</w:t>
            </w:r>
            <w:r>
              <w:rPr>
                <w:bCs/>
                <w:color w:val="auto"/>
                <w:szCs w:val="24"/>
              </w:rPr>
              <w:t>进行检查，严格遵守安全操作规程和消防安全管理制度，远离火种、热源，工作场所严禁吸烟，从源头杜绝火灾事故发生。</w:t>
            </w:r>
          </w:p>
          <w:p w14:paraId="495BEDC4">
            <w:pPr>
              <w:pStyle w:val="16"/>
              <w:spacing w:before="0" w:beforeAutospacing="0" w:after="0" w:afterAutospacing="0" w:line="520" w:lineRule="exact"/>
              <w:ind w:firstLine="480" w:firstLineChars="200"/>
              <w:outlineLvl w:val="0"/>
              <w:rPr>
                <w:rFonts w:hint="eastAsia" w:ascii="Times New Roman" w:hAnsi="Times New Roman"/>
                <w:snapToGrid w:val="0"/>
                <w:color w:val="auto"/>
                <w:szCs w:val="24"/>
              </w:rPr>
            </w:pPr>
            <w:r>
              <w:rPr>
                <w:rFonts w:ascii="Times New Roman" w:hAnsi="Times New Roman"/>
                <w:color w:val="auto"/>
                <w:szCs w:val="24"/>
              </w:rPr>
              <w:t>③</w:t>
            </w:r>
            <w:r>
              <w:rPr>
                <w:rFonts w:ascii="Times New Roman" w:hAnsi="Times New Roman"/>
                <w:snapToGrid w:val="0"/>
                <w:color w:val="auto"/>
                <w:szCs w:val="24"/>
              </w:rPr>
              <w:t>定期进行安全环保宣传教育以及紧急事故模拟演习，提高事故应变能力</w:t>
            </w:r>
            <w:r>
              <w:rPr>
                <w:rFonts w:hint="eastAsia" w:ascii="Times New Roman" w:hAnsi="Times New Roman"/>
                <w:snapToGrid w:val="0"/>
                <w:color w:val="auto"/>
                <w:szCs w:val="24"/>
              </w:rPr>
              <w:t>。</w:t>
            </w:r>
          </w:p>
          <w:p w14:paraId="5EBB9C1C">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6</w:t>
            </w:r>
            <w:r>
              <w:rPr>
                <w:rFonts w:ascii="Times New Roman" w:hAnsi="Times New Roman"/>
                <w:b w:val="0"/>
                <w:bCs w:val="0"/>
                <w:snapToGrid w:val="0"/>
                <w:color w:val="auto"/>
                <w:szCs w:val="24"/>
              </w:rPr>
              <w:t>、环境风险</w:t>
            </w:r>
            <w:r>
              <w:rPr>
                <w:rFonts w:hint="eastAsia" w:ascii="Times New Roman" w:hAnsi="Times New Roman"/>
                <w:b w:val="0"/>
                <w:bCs w:val="0"/>
                <w:snapToGrid w:val="0"/>
                <w:color w:val="auto"/>
                <w:szCs w:val="24"/>
              </w:rPr>
              <w:t>应急处置</w:t>
            </w:r>
            <w:r>
              <w:rPr>
                <w:rFonts w:ascii="Times New Roman" w:hAnsi="Times New Roman"/>
                <w:b w:val="0"/>
                <w:bCs w:val="0"/>
                <w:snapToGrid w:val="0"/>
                <w:color w:val="auto"/>
                <w:szCs w:val="24"/>
              </w:rPr>
              <w:t>措施</w:t>
            </w:r>
          </w:p>
          <w:p w14:paraId="1375920A">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①</w:t>
            </w:r>
            <w:r>
              <w:rPr>
                <w:rFonts w:hint="eastAsia" w:ascii="Times New Roman" w:hAnsi="Times New Roman"/>
                <w:snapToGrid w:val="0"/>
                <w:color w:val="auto"/>
                <w:szCs w:val="24"/>
              </w:rPr>
              <w:t>废气处理设施故障事故</w:t>
            </w:r>
          </w:p>
          <w:p w14:paraId="2577DC96">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当本项目有机废气治理设施发生故障，不能正常运行时，应立即停止对应产污工序的设备运行，待废气处理设施维修好后再开机运行。</w:t>
            </w:r>
          </w:p>
          <w:p w14:paraId="2BAECB13">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②</w:t>
            </w:r>
            <w:r>
              <w:rPr>
                <w:rFonts w:hint="eastAsia" w:ascii="Times New Roman" w:hAnsi="Times New Roman"/>
                <w:snapToGrid w:val="0"/>
                <w:color w:val="auto"/>
                <w:szCs w:val="24"/>
              </w:rPr>
              <w:t>火灾环境事故</w:t>
            </w:r>
          </w:p>
          <w:p w14:paraId="7955052F">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当发生火灾事故时，应迅速将易燃物撤离至安全区，禁止无关人员进入火灾区，严格限制出入。救援人员佩戴防毒面具及防护服，使用应急救援物资</w:t>
            </w:r>
            <w:r>
              <w:rPr>
                <w:rFonts w:hint="eastAsia" w:ascii="Times New Roman" w:hAnsi="Times New Roman"/>
                <w:snapToGrid w:val="0"/>
                <w:color w:val="auto"/>
                <w:szCs w:val="24"/>
                <w:lang w:val="en-US" w:eastAsia="zh-CN"/>
              </w:rPr>
              <w:t>进行</w:t>
            </w:r>
            <w:r>
              <w:rPr>
                <w:rFonts w:hint="eastAsia" w:ascii="Times New Roman" w:hAnsi="Times New Roman"/>
                <w:snapToGrid w:val="0"/>
                <w:color w:val="auto"/>
                <w:szCs w:val="24"/>
              </w:rPr>
              <w:t>灭火。</w:t>
            </w:r>
            <w:r>
              <w:rPr>
                <w:rFonts w:ascii="Times New Roman" w:hAnsi="Times New Roman"/>
                <w:snapToGrid w:val="0"/>
                <w:color w:val="auto"/>
                <w:szCs w:val="24"/>
              </w:rPr>
              <w:t>发生小面积火灾</w:t>
            </w:r>
            <w:r>
              <w:rPr>
                <w:rFonts w:hint="eastAsia" w:ascii="Times New Roman" w:hAnsi="Times New Roman"/>
                <w:snapToGrid w:val="0"/>
                <w:color w:val="auto"/>
                <w:szCs w:val="24"/>
              </w:rPr>
              <w:t>时</w:t>
            </w:r>
            <w:r>
              <w:rPr>
                <w:rFonts w:ascii="Times New Roman" w:hAnsi="Times New Roman"/>
                <w:snapToGrid w:val="0"/>
                <w:color w:val="auto"/>
                <w:szCs w:val="24"/>
              </w:rPr>
              <w:t>，采用灭火器、</w:t>
            </w:r>
            <w:r>
              <w:rPr>
                <w:rFonts w:hint="eastAsia" w:ascii="Times New Roman" w:hAnsi="Times New Roman"/>
                <w:snapToGrid w:val="0"/>
                <w:color w:val="auto"/>
                <w:szCs w:val="24"/>
                <w:lang w:eastAsia="zh-CN"/>
              </w:rPr>
              <w:t>消防水</w:t>
            </w:r>
            <w:r>
              <w:rPr>
                <w:rFonts w:ascii="Times New Roman" w:hAnsi="Times New Roman"/>
                <w:snapToGrid w:val="0"/>
                <w:color w:val="auto"/>
                <w:szCs w:val="24"/>
              </w:rPr>
              <w:t>灭火；</w:t>
            </w:r>
            <w:r>
              <w:rPr>
                <w:rFonts w:hint="eastAsia" w:ascii="Times New Roman" w:hAnsi="Times New Roman"/>
                <w:snapToGrid w:val="0"/>
                <w:color w:val="auto"/>
                <w:szCs w:val="24"/>
              </w:rPr>
              <w:t>发生</w:t>
            </w:r>
            <w:r>
              <w:rPr>
                <w:rFonts w:ascii="Times New Roman" w:hAnsi="Times New Roman"/>
                <w:snapToGrid w:val="0"/>
                <w:color w:val="auto"/>
                <w:szCs w:val="24"/>
              </w:rPr>
              <w:t>大面积火灾</w:t>
            </w:r>
            <w:r>
              <w:rPr>
                <w:rFonts w:hint="eastAsia" w:ascii="Times New Roman" w:hAnsi="Times New Roman"/>
                <w:snapToGrid w:val="0"/>
                <w:color w:val="auto"/>
                <w:szCs w:val="24"/>
              </w:rPr>
              <w:t>时，</w:t>
            </w:r>
            <w:r>
              <w:rPr>
                <w:rFonts w:ascii="Times New Roman" w:hAnsi="Times New Roman"/>
                <w:snapToGrid w:val="0"/>
                <w:color w:val="auto"/>
                <w:szCs w:val="24"/>
              </w:rPr>
              <w:t>需使用消防水灭火，产生的消防废水</w:t>
            </w:r>
            <w:r>
              <w:rPr>
                <w:rFonts w:hint="eastAsia" w:ascii="Times New Roman" w:hAnsi="Times New Roman"/>
                <w:snapToGrid w:val="0"/>
                <w:color w:val="auto"/>
                <w:szCs w:val="24"/>
              </w:rPr>
              <w:t>需进行收集</w:t>
            </w:r>
            <w:r>
              <w:rPr>
                <w:rFonts w:ascii="Times New Roman" w:hAnsi="Times New Roman"/>
                <w:snapToGrid w:val="0"/>
                <w:color w:val="auto"/>
                <w:szCs w:val="24"/>
              </w:rPr>
              <w:t>。在火灾事故发生时，及时关闭</w:t>
            </w:r>
            <w:r>
              <w:rPr>
                <w:rFonts w:hint="eastAsia" w:ascii="Times New Roman" w:hAnsi="Times New Roman"/>
                <w:snapToGrid w:val="0"/>
                <w:color w:val="auto"/>
                <w:szCs w:val="24"/>
              </w:rPr>
              <w:t>雨水口紧急关闭阀门，</w:t>
            </w:r>
            <w:r>
              <w:rPr>
                <w:rFonts w:ascii="Times New Roman" w:hAnsi="Times New Roman"/>
                <w:snapToGrid w:val="0"/>
                <w:color w:val="auto"/>
                <w:szCs w:val="24"/>
              </w:rPr>
              <w:t>使事故废水收集至事故应急池中进行暂存，待事故结束后，直接交由有资质单位处理。</w:t>
            </w:r>
          </w:p>
          <w:p w14:paraId="68516C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Times New Roman" w:hAnsi="Times New Roman"/>
                <w:snapToGrid w:val="0"/>
                <w:color w:val="auto"/>
                <w:szCs w:val="24"/>
                <w:lang w:val="en-US" w:eastAsia="zh-CN"/>
              </w:rPr>
            </w:pPr>
            <w:r>
              <w:rPr>
                <w:rFonts w:hint="eastAsia" w:ascii="Times New Roman" w:hAnsi="Times New Roman"/>
                <w:snapToGrid w:val="0"/>
                <w:color w:val="auto"/>
                <w:szCs w:val="24"/>
                <w:lang w:val="en-US" w:eastAsia="zh-CN"/>
              </w:rPr>
              <w:t>③液态原料泄漏事故</w:t>
            </w:r>
          </w:p>
          <w:p w14:paraId="1A0B7C2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snapToGrid w:val="0"/>
                <w:color w:val="auto"/>
                <w:szCs w:val="24"/>
                <w:lang w:val="en-US" w:eastAsia="zh-CN"/>
              </w:rPr>
            </w:pPr>
            <w:r>
              <w:rPr>
                <w:rFonts w:hint="eastAsia" w:ascii="Times New Roman" w:hAnsi="Times New Roman"/>
                <w:snapToGrid w:val="0"/>
                <w:color w:val="auto"/>
                <w:szCs w:val="24"/>
                <w:lang w:val="en-US" w:eastAsia="zh-CN"/>
              </w:rPr>
              <w:t>当液态原料</w:t>
            </w:r>
            <w:r>
              <w:rPr>
                <w:rFonts w:hint="default" w:ascii="Times New Roman" w:hAnsi="Times New Roman"/>
                <w:snapToGrid w:val="0"/>
                <w:color w:val="auto"/>
                <w:szCs w:val="24"/>
                <w:lang w:val="en-US" w:eastAsia="zh-CN"/>
              </w:rPr>
              <w:t>等发生泄漏时，容器均为常压容器，泄漏量、泄漏源强相对较小。发现泄漏事故时，及时用堵漏工具对泄漏部位进行堵漏或转移至液体收集设施内，杜绝泄漏液体与明火接触，及时对泄漏至地面的液体进行收集，将地面残留物擦拭干净，事故处置过程中产生的沾染废物作为危废暂存于危废暂存库内。</w:t>
            </w:r>
          </w:p>
          <w:p w14:paraId="730238A7">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7、风险评价结论</w:t>
            </w:r>
          </w:p>
          <w:p w14:paraId="0E01A8A8">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在各</w:t>
            </w:r>
            <w:r>
              <w:rPr>
                <w:rFonts w:hint="eastAsia" w:ascii="Times New Roman" w:hAnsi="Times New Roman"/>
                <w:snapToGrid w:val="0"/>
                <w:color w:val="auto"/>
                <w:szCs w:val="24"/>
              </w:rPr>
              <w:t>项</w:t>
            </w:r>
            <w:r>
              <w:rPr>
                <w:rFonts w:ascii="Times New Roman" w:hAnsi="Times New Roman"/>
                <w:snapToGrid w:val="0"/>
                <w:color w:val="auto"/>
                <w:szCs w:val="24"/>
              </w:rPr>
              <w:t>环境风险防范措施落实到位的情况下，可降低建设项目的环境风险，最大程度减少对环境可能造成的危害，本项目对环境的风险影响</w:t>
            </w:r>
            <w:r>
              <w:rPr>
                <w:rFonts w:hint="eastAsia" w:ascii="Times New Roman" w:hAnsi="Times New Roman"/>
                <w:snapToGrid w:val="0"/>
                <w:color w:val="auto"/>
                <w:szCs w:val="24"/>
              </w:rPr>
              <w:t>在可接受范围内</w:t>
            </w:r>
            <w:r>
              <w:rPr>
                <w:rFonts w:ascii="Times New Roman" w:hAnsi="Times New Roman"/>
                <w:snapToGrid w:val="0"/>
                <w:color w:val="auto"/>
                <w:szCs w:val="24"/>
              </w:rPr>
              <w:t>。</w:t>
            </w:r>
          </w:p>
          <w:p w14:paraId="08A3868B">
            <w:pPr>
              <w:pStyle w:val="49"/>
              <w:keepNext w:val="0"/>
              <w:keepLines w:val="0"/>
              <w:pageBreakBefore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b/>
                <w:color w:val="auto"/>
                <w:sz w:val="24"/>
              </w:rPr>
              <w:t>七、</w:t>
            </w:r>
            <w:r>
              <w:rPr>
                <w:rFonts w:hint="eastAsia" w:ascii="Times New Roman" w:eastAsia="宋体"/>
                <w:b/>
                <w:color w:val="auto"/>
                <w:sz w:val="24"/>
                <w:szCs w:val="24"/>
              </w:rPr>
              <w:t>本项目环保投资及“三同时”验收</w:t>
            </w:r>
          </w:p>
          <w:p w14:paraId="1414B781">
            <w:pPr>
              <w:pStyle w:val="18"/>
              <w:keepNext w:val="0"/>
              <w:keepLines w:val="0"/>
              <w:pageBreakBefore w:val="0"/>
              <w:kinsoku/>
              <w:wordWrap/>
              <w:overflowPunct/>
              <w:topLinePunct w:val="0"/>
              <w:bidi w:val="0"/>
              <w:spacing w:after="0" w:line="360" w:lineRule="auto"/>
              <w:ind w:left="0" w:leftChars="0" w:firstLine="480"/>
              <w:rPr>
                <w:color w:val="auto"/>
              </w:rPr>
            </w:pPr>
            <w:r>
              <w:rPr>
                <w:color w:val="auto"/>
              </w:rPr>
              <w:t>本项目总投资为</w:t>
            </w:r>
            <w:r>
              <w:rPr>
                <w:rFonts w:hint="eastAsia"/>
                <w:color w:val="auto"/>
                <w:lang w:val="en-US" w:eastAsia="zh-CN"/>
              </w:rPr>
              <w:t>1000</w:t>
            </w:r>
            <w:r>
              <w:rPr>
                <w:color w:val="auto"/>
              </w:rPr>
              <w:t>万元，</w:t>
            </w:r>
            <w:r>
              <w:rPr>
                <w:rFonts w:hint="eastAsia" w:ascii="Times New Roman" w:hAnsi="Times New Roman" w:cs="Times New Roman"/>
                <w:color w:val="auto"/>
              </w:rPr>
              <w:t>其中环保投资</w:t>
            </w:r>
            <w:r>
              <w:rPr>
                <w:rFonts w:hint="eastAsia" w:cs="Times New Roman"/>
                <w:color w:val="auto"/>
                <w:lang w:val="en-US" w:eastAsia="zh-CN"/>
              </w:rPr>
              <w:t>20</w:t>
            </w:r>
            <w:r>
              <w:rPr>
                <w:rFonts w:hint="eastAsia" w:ascii="Times New Roman" w:hAnsi="Times New Roman" w:cs="Times New Roman"/>
                <w:color w:val="auto"/>
              </w:rPr>
              <w:t>万元，环保投资占总投资的</w:t>
            </w:r>
            <w:r>
              <w:rPr>
                <w:rFonts w:hint="eastAsia" w:cs="Times New Roman"/>
                <w:color w:val="auto"/>
                <w:lang w:val="en-US" w:eastAsia="zh-CN"/>
              </w:rPr>
              <w:t>2</w:t>
            </w:r>
            <w:r>
              <w:rPr>
                <w:rFonts w:hint="eastAsia" w:ascii="Times New Roman" w:hAnsi="Times New Roman" w:cs="Times New Roman"/>
                <w:color w:val="auto"/>
              </w:rPr>
              <w:t>%。本项目环保投资及“三</w:t>
            </w:r>
            <w:r>
              <w:rPr>
                <w:rFonts w:hint="eastAsia"/>
                <w:color w:val="auto"/>
              </w:rPr>
              <w:t>同时”验收内容见</w:t>
            </w:r>
            <w:r>
              <w:rPr>
                <w:rFonts w:hint="eastAsia"/>
                <w:color w:val="auto"/>
                <w:lang w:val="en-US" w:eastAsia="zh-CN"/>
              </w:rPr>
              <w:t>下表</w:t>
            </w:r>
            <w:r>
              <w:rPr>
                <w:rFonts w:hint="eastAsia"/>
                <w:color w:val="auto"/>
              </w:rPr>
              <w:t>。</w:t>
            </w:r>
          </w:p>
          <w:p w14:paraId="0393676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57F9151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E50B69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0F48231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7A4932F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6374DEB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545560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48209C5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0BA3478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06BFD37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C7E138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401EBB6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B7C95D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0782518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6062631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03ED208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694F9D3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3F1BA4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hint="eastAsia"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26 </w:t>
            </w:r>
            <w:r>
              <w:rPr>
                <w:rFonts w:hint="eastAsia" w:ascii="Times New Roman" w:hAnsi="Times New Roman"/>
                <w:b/>
                <w:bCs/>
                <w:color w:val="auto"/>
                <w:sz w:val="21"/>
                <w:szCs w:val="21"/>
              </w:rPr>
              <w:t>本项目环保投资及“三同时”验收一览表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08"/>
              <w:gridCol w:w="1080"/>
              <w:gridCol w:w="1977"/>
              <w:gridCol w:w="1560"/>
              <w:gridCol w:w="713"/>
              <w:gridCol w:w="360"/>
            </w:tblGrid>
            <w:tr w14:paraId="2E68EF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62FF37D9">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项目</w:t>
                  </w:r>
                </w:p>
              </w:tc>
              <w:tc>
                <w:tcPr>
                  <w:tcW w:w="643" w:type="pct"/>
                  <w:noWrap w:val="0"/>
                  <w:vAlign w:val="center"/>
                </w:tcPr>
                <w:p w14:paraId="38B41D89">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污染源</w:t>
                  </w:r>
                </w:p>
              </w:tc>
              <w:tc>
                <w:tcPr>
                  <w:tcW w:w="689" w:type="pct"/>
                  <w:noWrap w:val="0"/>
                  <w:vAlign w:val="center"/>
                </w:tcPr>
                <w:p w14:paraId="465D2099">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污染物</w:t>
                  </w:r>
                </w:p>
              </w:tc>
              <w:tc>
                <w:tcPr>
                  <w:tcW w:w="1261" w:type="pct"/>
                  <w:noWrap w:val="0"/>
                  <w:vAlign w:val="center"/>
                </w:tcPr>
                <w:p w14:paraId="1C5CCB4C">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治理措施（设施数量、规模、处理能力等）</w:t>
                  </w:r>
                </w:p>
              </w:tc>
              <w:tc>
                <w:tcPr>
                  <w:tcW w:w="995" w:type="pct"/>
                  <w:noWrap w:val="0"/>
                  <w:vAlign w:val="center"/>
                </w:tcPr>
                <w:p w14:paraId="7801BA75">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处理效果、执行标准或拟达要求</w:t>
                  </w:r>
                </w:p>
              </w:tc>
              <w:tc>
                <w:tcPr>
                  <w:tcW w:w="455" w:type="pct"/>
                  <w:noWrap w:val="0"/>
                  <w:vAlign w:val="center"/>
                </w:tcPr>
                <w:p w14:paraId="1E212957">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环保投资（万元）</w:t>
                  </w:r>
                </w:p>
              </w:tc>
              <w:tc>
                <w:tcPr>
                  <w:tcW w:w="229" w:type="pct"/>
                  <w:noWrap w:val="0"/>
                  <w:vAlign w:val="center"/>
                </w:tcPr>
                <w:p w14:paraId="6B43985D">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进度</w:t>
                  </w:r>
                </w:p>
              </w:tc>
            </w:tr>
            <w:tr w14:paraId="35F3A5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25" w:type="pct"/>
                  <w:vMerge w:val="restart"/>
                  <w:noWrap w:val="0"/>
                  <w:vAlign w:val="center"/>
                </w:tcPr>
                <w:p w14:paraId="287B6A7C">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废气治理</w:t>
                  </w:r>
                </w:p>
              </w:tc>
              <w:tc>
                <w:tcPr>
                  <w:tcW w:w="643" w:type="pct"/>
                  <w:noWrap w:val="0"/>
                  <w:vAlign w:val="center"/>
                </w:tcPr>
                <w:p w14:paraId="343E7FB1">
                  <w:pPr>
                    <w:pStyle w:val="16"/>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color w:val="auto"/>
                      <w:sz w:val="21"/>
                      <w:lang w:val="en-US" w:eastAsia="zh-CN"/>
                    </w:rPr>
                    <w:t>裹树脂、拉挤、注塑</w:t>
                  </w:r>
                </w:p>
              </w:tc>
              <w:tc>
                <w:tcPr>
                  <w:tcW w:w="689" w:type="pct"/>
                  <w:noWrap w:val="0"/>
                  <w:vAlign w:val="center"/>
                </w:tcPr>
                <w:p w14:paraId="7548538C">
                  <w:pPr>
                    <w:pStyle w:val="16"/>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eastAsia="宋体" w:cs="Times New Roman"/>
                      <w:color w:val="auto"/>
                      <w:sz w:val="21"/>
                      <w:lang w:val="en-US" w:eastAsia="zh-CN"/>
                    </w:rPr>
                    <w:t>非甲烷总烃</w:t>
                  </w:r>
                  <w:r>
                    <w:rPr>
                      <w:rFonts w:hint="eastAsia" w:ascii="Times New Roman" w:hAnsi="Times New Roman" w:cs="Times New Roman"/>
                      <w:color w:val="auto"/>
                      <w:sz w:val="21"/>
                      <w:lang w:val="en-US" w:eastAsia="zh-CN"/>
                    </w:rPr>
                    <w:t>、苯乙烯、苯系物、臭气浓度</w:t>
                  </w:r>
                </w:p>
              </w:tc>
              <w:tc>
                <w:tcPr>
                  <w:tcW w:w="1261" w:type="pct"/>
                  <w:noWrap w:val="0"/>
                  <w:vAlign w:val="center"/>
                </w:tcPr>
                <w:p w14:paraId="266FC098">
                  <w:pPr>
                    <w:pStyle w:val="16"/>
                    <w:spacing w:before="0" w:beforeAutospacing="0" w:after="0" w:afterAutospacing="0"/>
                    <w:jc w:val="center"/>
                    <w:outlineLvl w:val="0"/>
                    <w:rPr>
                      <w:rFonts w:hint="eastAsia" w:eastAsia="宋体"/>
                      <w:color w:val="auto"/>
                      <w:lang w:val="en-US" w:eastAsia="zh-CN"/>
                    </w:rPr>
                  </w:pPr>
                  <w:r>
                    <w:rPr>
                      <w:rFonts w:hint="eastAsia" w:ascii="Times New Roman" w:hAnsi="Times New Roman"/>
                      <w:color w:val="auto"/>
                      <w:sz w:val="21"/>
                      <w:szCs w:val="21"/>
                    </w:rPr>
                    <w:t>集</w:t>
                  </w:r>
                  <w:r>
                    <w:rPr>
                      <w:rFonts w:hint="eastAsia" w:ascii="Times New Roman" w:hAnsi="Times New Roman" w:eastAsia="宋体" w:cs="Times New Roman"/>
                      <w:color w:val="auto"/>
                      <w:sz w:val="21"/>
                      <w:szCs w:val="21"/>
                    </w:rPr>
                    <w:t>气罩收集</w:t>
                  </w:r>
                  <w:r>
                    <w:rPr>
                      <w:rFonts w:hint="eastAsia" w:ascii="Times New Roman" w:hAnsi="Times New Roman" w:cs="Times New Roman"/>
                      <w:color w:val="auto"/>
                      <w:sz w:val="21"/>
                      <w:szCs w:val="21"/>
                      <w:lang w:val="en-US" w:eastAsia="zh-CN"/>
                    </w:rPr>
                    <w:t>+</w:t>
                  </w:r>
                  <w:r>
                    <w:rPr>
                      <w:rFonts w:hint="eastAsia" w:ascii="Times New Roman" w:hAnsi="Times New Roman" w:eastAsia="宋体" w:cs="Times New Roman"/>
                      <w:color w:val="auto"/>
                      <w:sz w:val="21"/>
                      <w:szCs w:val="21"/>
                    </w:rPr>
                    <w:t>二级活性炭吸附装置</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TA001</w:t>
                  </w:r>
                  <w:r>
                    <w:rPr>
                      <w:rFonts w:hint="eastAsia" w:ascii="Times New Roman" w:hAnsi="Times New Roman" w:cs="Times New Roman"/>
                      <w:color w:val="auto"/>
                      <w:sz w:val="21"/>
                      <w:szCs w:val="21"/>
                      <w:lang w:eastAsia="zh-CN"/>
                    </w:rPr>
                    <w:t>）</w:t>
                  </w:r>
                  <w:r>
                    <w:rPr>
                      <w:rFonts w:ascii="Times New Roman" w:hAnsi="Times New Roman" w:eastAsia="宋体" w:cs="Times New Roman"/>
                      <w:color w:val="auto"/>
                      <w:sz w:val="21"/>
                      <w:szCs w:val="21"/>
                    </w:rPr>
                    <w:t>处理</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通过15米高</w:t>
                  </w:r>
                  <w:r>
                    <w:rPr>
                      <w:rFonts w:ascii="Times New Roman" w:hAnsi="Times New Roman"/>
                      <w:color w:val="auto"/>
                      <w:sz w:val="21"/>
                      <w:szCs w:val="21"/>
                    </w:rPr>
                    <w:t>排气筒</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DA001）</w:t>
                  </w:r>
                  <w:r>
                    <w:rPr>
                      <w:rFonts w:ascii="Times New Roman" w:hAnsi="Times New Roman"/>
                      <w:color w:val="auto"/>
                      <w:sz w:val="21"/>
                      <w:szCs w:val="21"/>
                    </w:rPr>
                    <w:t>排放</w:t>
                  </w:r>
                </w:p>
              </w:tc>
              <w:tc>
                <w:tcPr>
                  <w:tcW w:w="995" w:type="pct"/>
                  <w:noWrap w:val="0"/>
                  <w:vAlign w:val="center"/>
                </w:tcPr>
                <w:p w14:paraId="243FE061">
                  <w:pPr>
                    <w:pStyle w:val="16"/>
                    <w:spacing w:before="0" w:beforeAutospacing="0" w:after="0" w:afterAutospacing="0"/>
                    <w:jc w:val="center"/>
                    <w:outlineLvl w:val="0"/>
                    <w:rPr>
                      <w:rFonts w:ascii="Times New Roman" w:hAnsi="Times New Roman"/>
                      <w:color w:val="auto"/>
                      <w:kern w:val="0"/>
                      <w:sz w:val="21"/>
                      <w:szCs w:val="20"/>
                      <w:lang w:val="en-US" w:eastAsia="zh-CN" w:bidi="ar-SA"/>
                    </w:rPr>
                  </w:pPr>
                  <w:r>
                    <w:rPr>
                      <w:rFonts w:hint="eastAsia" w:ascii="Times New Roman" w:hAnsi="Times New Roman"/>
                      <w:color w:val="auto"/>
                      <w:spacing w:val="-17"/>
                      <w:sz w:val="21"/>
                    </w:rPr>
                    <w:t>《合成树脂工业污染物排放标准》（GB31572-2015，含2024年修改单）</w:t>
                  </w:r>
                  <w:r>
                    <w:rPr>
                      <w:rFonts w:hint="eastAsia" w:ascii="Times New Roman" w:hAnsi="Times New Roman"/>
                      <w:color w:val="auto"/>
                      <w:spacing w:val="-17"/>
                      <w:sz w:val="21"/>
                      <w:lang w:eastAsia="zh-CN"/>
                    </w:rPr>
                    <w:t>、</w:t>
                  </w:r>
                  <w:r>
                    <w:rPr>
                      <w:rFonts w:hint="eastAsia" w:ascii="Times New Roman" w:hAnsi="Times New Roman"/>
                      <w:color w:val="auto"/>
                      <w:spacing w:val="-17"/>
                      <w:sz w:val="21"/>
                    </w:rPr>
                    <w:t>《大气污染物综合排放标准》（DB32/4041-2021）</w:t>
                  </w:r>
                  <w:r>
                    <w:rPr>
                      <w:rFonts w:hint="eastAsia" w:ascii="Times New Roman" w:hAnsi="Times New Roman"/>
                      <w:color w:val="auto"/>
                      <w:spacing w:val="-17"/>
                      <w:sz w:val="21"/>
                      <w:lang w:eastAsia="zh-CN"/>
                    </w:rPr>
                    <w:t>、</w:t>
                  </w:r>
                  <w:r>
                    <w:rPr>
                      <w:rFonts w:hint="eastAsia" w:ascii="Times New Roman" w:hAnsi="Times New Roman"/>
                      <w:color w:val="auto"/>
                      <w:spacing w:val="-17"/>
                      <w:sz w:val="21"/>
                    </w:rPr>
                    <w:t>《恶臭污染物排放标准》（GB14554-93）</w:t>
                  </w:r>
                </w:p>
              </w:tc>
              <w:tc>
                <w:tcPr>
                  <w:tcW w:w="455" w:type="pct"/>
                  <w:noWrap w:val="0"/>
                  <w:vAlign w:val="center"/>
                </w:tcPr>
                <w:p w14:paraId="784E69B5">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5</w:t>
                  </w:r>
                </w:p>
              </w:tc>
              <w:tc>
                <w:tcPr>
                  <w:tcW w:w="229" w:type="pct"/>
                  <w:vMerge w:val="restart"/>
                  <w:noWrap w:val="0"/>
                  <w:vAlign w:val="center"/>
                </w:tcPr>
                <w:p w14:paraId="4C036BE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5D2A1F90">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3D8EDA86">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1D3BD028">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5E6158FA">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2E7CECB3">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459C53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7FC2EB2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32D04EA">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0EE735B8">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01F7C4F7">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7225554C">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79B8509F">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3D1C638">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34156121">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5D498077">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45AB9426">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307B7F91">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2DCBB9E7">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7FD5479C">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default" w:ascii="Times New Roman" w:hAnsi="Times New Roman"/>
                      <w:color w:val="auto"/>
                      <w:sz w:val="21"/>
                      <w:lang w:val="en-US" w:eastAsia="zh-CN"/>
                    </w:rPr>
                    <w:t>与主体工程同时设计、同时施工、同时投入运行</w:t>
                  </w:r>
                </w:p>
              </w:tc>
            </w:tr>
            <w:tr w14:paraId="747A8E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25" w:type="pct"/>
                  <w:vMerge w:val="continue"/>
                  <w:noWrap w:val="0"/>
                  <w:vAlign w:val="center"/>
                </w:tcPr>
                <w:p w14:paraId="39CE4DFC">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643" w:type="pct"/>
                  <w:noWrap w:val="0"/>
                  <w:vAlign w:val="center"/>
                </w:tcPr>
                <w:p w14:paraId="4F765541">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切割、打磨</w:t>
                  </w:r>
                </w:p>
              </w:tc>
              <w:tc>
                <w:tcPr>
                  <w:tcW w:w="689" w:type="pct"/>
                  <w:noWrap w:val="0"/>
                  <w:vAlign w:val="center"/>
                </w:tcPr>
                <w:p w14:paraId="6C22F097">
                  <w:pPr>
                    <w:pStyle w:val="16"/>
                    <w:spacing w:before="0" w:beforeAutospacing="0" w:after="0" w:afterAutospacing="0"/>
                    <w:jc w:val="center"/>
                    <w:outlineLvl w:val="0"/>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颗粒物</w:t>
                  </w:r>
                </w:p>
              </w:tc>
              <w:tc>
                <w:tcPr>
                  <w:tcW w:w="1261" w:type="pct"/>
                  <w:noWrap w:val="0"/>
                  <w:vAlign w:val="center"/>
                </w:tcPr>
                <w:p w14:paraId="7E19B7E5">
                  <w:pPr>
                    <w:pStyle w:val="16"/>
                    <w:spacing w:before="0" w:beforeAutospacing="0" w:after="0" w:afterAutospacing="0"/>
                    <w:jc w:val="center"/>
                    <w:outlineLvl w:val="0"/>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rPr>
                    <w:t>集</w:t>
                  </w:r>
                  <w:r>
                    <w:rPr>
                      <w:rFonts w:hint="eastAsia" w:ascii="Times New Roman" w:hAnsi="Times New Roman" w:eastAsia="宋体" w:cs="Times New Roman"/>
                      <w:color w:val="auto"/>
                      <w:sz w:val="21"/>
                      <w:szCs w:val="21"/>
                    </w:rPr>
                    <w:t>气罩收集</w:t>
                  </w:r>
                  <w:r>
                    <w:rPr>
                      <w:rFonts w:hint="eastAsia" w:ascii="Times New Roman" w:hAnsi="Times New Roman"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布袋除尘器</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TA002</w:t>
                  </w:r>
                  <w:r>
                    <w:rPr>
                      <w:rFonts w:hint="eastAsia" w:ascii="Times New Roman" w:hAnsi="Times New Roman" w:cs="Times New Roman"/>
                      <w:color w:val="auto"/>
                      <w:sz w:val="21"/>
                      <w:szCs w:val="21"/>
                      <w:lang w:eastAsia="zh-CN"/>
                    </w:rPr>
                    <w:t>）</w:t>
                  </w:r>
                  <w:r>
                    <w:rPr>
                      <w:rFonts w:ascii="Times New Roman" w:hAnsi="Times New Roman" w:eastAsia="宋体" w:cs="Times New Roman"/>
                      <w:color w:val="auto"/>
                      <w:sz w:val="21"/>
                      <w:szCs w:val="21"/>
                    </w:rPr>
                    <w:t>处理</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通过15米高</w:t>
                  </w:r>
                  <w:r>
                    <w:rPr>
                      <w:rFonts w:ascii="Times New Roman" w:hAnsi="Times New Roman"/>
                      <w:color w:val="auto"/>
                      <w:sz w:val="21"/>
                      <w:szCs w:val="21"/>
                    </w:rPr>
                    <w:t>排气筒</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DA002）</w:t>
                  </w:r>
                  <w:r>
                    <w:rPr>
                      <w:rFonts w:ascii="Times New Roman" w:hAnsi="Times New Roman"/>
                      <w:color w:val="auto"/>
                      <w:sz w:val="21"/>
                      <w:szCs w:val="21"/>
                    </w:rPr>
                    <w:t>排</w:t>
                  </w:r>
                  <w:r>
                    <w:rPr>
                      <w:rFonts w:hint="eastAsia" w:ascii="Times New Roman" w:hAnsi="Times New Roman"/>
                      <w:color w:val="auto"/>
                      <w:sz w:val="21"/>
                      <w:szCs w:val="21"/>
                      <w:lang w:val="en-US" w:eastAsia="zh-CN"/>
                    </w:rPr>
                    <w:t>放</w:t>
                  </w:r>
                </w:p>
              </w:tc>
              <w:tc>
                <w:tcPr>
                  <w:tcW w:w="995" w:type="pct"/>
                  <w:noWrap w:val="0"/>
                  <w:vAlign w:val="center"/>
                </w:tcPr>
                <w:p w14:paraId="319C8413">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《合成树脂工业污染物排放标准》（GB31572-2015，含2024年修改单）</w:t>
                  </w:r>
                </w:p>
              </w:tc>
              <w:tc>
                <w:tcPr>
                  <w:tcW w:w="455" w:type="pct"/>
                  <w:noWrap w:val="0"/>
                  <w:vAlign w:val="center"/>
                </w:tcPr>
                <w:p w14:paraId="225EC8E7">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4</w:t>
                  </w:r>
                </w:p>
              </w:tc>
              <w:tc>
                <w:tcPr>
                  <w:tcW w:w="229" w:type="pct"/>
                  <w:vMerge w:val="continue"/>
                  <w:noWrap w:val="0"/>
                  <w:vAlign w:val="center"/>
                </w:tcPr>
                <w:p w14:paraId="06DCC5FF">
                  <w:pPr>
                    <w:pStyle w:val="16"/>
                    <w:spacing w:before="0" w:beforeAutospacing="0" w:after="0" w:afterAutospacing="0"/>
                    <w:jc w:val="center"/>
                    <w:outlineLvl w:val="0"/>
                    <w:rPr>
                      <w:rFonts w:hint="default" w:ascii="Times New Roman" w:hAnsi="Times New Roman"/>
                      <w:color w:val="auto"/>
                      <w:sz w:val="21"/>
                      <w:lang w:val="en-US" w:eastAsia="zh-CN"/>
                    </w:rPr>
                  </w:pPr>
                </w:p>
              </w:tc>
            </w:tr>
            <w:tr w14:paraId="5B9276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5" w:type="pct"/>
                  <w:noWrap w:val="0"/>
                  <w:vAlign w:val="center"/>
                </w:tcPr>
                <w:p w14:paraId="761E6489">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废水治理</w:t>
                  </w:r>
                </w:p>
              </w:tc>
              <w:tc>
                <w:tcPr>
                  <w:tcW w:w="643" w:type="pct"/>
                  <w:noWrap w:val="0"/>
                  <w:vAlign w:val="center"/>
                </w:tcPr>
                <w:p w14:paraId="18629D66">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生活</w:t>
                  </w:r>
                </w:p>
                <w:p w14:paraId="3BA24536">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污水</w:t>
                  </w:r>
                </w:p>
              </w:tc>
              <w:tc>
                <w:tcPr>
                  <w:tcW w:w="689" w:type="pct"/>
                  <w:noWrap w:val="0"/>
                  <w:vAlign w:val="center"/>
                </w:tcPr>
                <w:p w14:paraId="7D65F0C9">
                  <w:pPr>
                    <w:pStyle w:val="16"/>
                    <w:spacing w:before="0" w:beforeAutospacing="0" w:after="0" w:afterAutospacing="0"/>
                    <w:jc w:val="center"/>
                    <w:outlineLvl w:val="0"/>
                    <w:rPr>
                      <w:rFonts w:hint="default" w:ascii="Times New Roman" w:hAnsi="Times New Roman"/>
                      <w:color w:val="auto"/>
                      <w:sz w:val="21"/>
                      <w:lang w:val="en-US"/>
                    </w:rPr>
                  </w:pPr>
                  <w:r>
                    <w:rPr>
                      <w:rFonts w:hint="eastAsia" w:ascii="Times New Roman" w:hAnsi="Times New Roman"/>
                      <w:color w:val="auto"/>
                      <w:sz w:val="21"/>
                    </w:rPr>
                    <w:t>COD、SS、NH</w:t>
                  </w:r>
                  <w:r>
                    <w:rPr>
                      <w:rFonts w:hint="eastAsia" w:ascii="Times New Roman" w:hAnsi="Times New Roman"/>
                      <w:color w:val="auto"/>
                      <w:sz w:val="21"/>
                      <w:vertAlign w:val="subscript"/>
                    </w:rPr>
                    <w:t>3</w:t>
                  </w:r>
                  <w:r>
                    <w:rPr>
                      <w:rFonts w:hint="eastAsia" w:ascii="Times New Roman" w:hAnsi="Times New Roman"/>
                      <w:color w:val="auto"/>
                      <w:sz w:val="21"/>
                    </w:rPr>
                    <w:t>-N、T</w:t>
                  </w:r>
                  <w:r>
                    <w:rPr>
                      <w:rFonts w:hint="eastAsia" w:ascii="Times New Roman" w:hAnsi="Times New Roman"/>
                      <w:color w:val="auto"/>
                      <w:sz w:val="21"/>
                      <w:lang w:val="en-US" w:eastAsia="zh-CN"/>
                    </w:rPr>
                    <w:t>N</w:t>
                  </w:r>
                  <w:r>
                    <w:rPr>
                      <w:rFonts w:hint="eastAsia" w:ascii="Times New Roman" w:hAnsi="Times New Roman"/>
                      <w:color w:val="auto"/>
                      <w:sz w:val="21"/>
                    </w:rPr>
                    <w:t>、T</w:t>
                  </w:r>
                  <w:r>
                    <w:rPr>
                      <w:rFonts w:hint="eastAsia" w:ascii="Times New Roman" w:hAnsi="Times New Roman"/>
                      <w:color w:val="auto"/>
                      <w:sz w:val="21"/>
                      <w:lang w:val="en-US" w:eastAsia="zh-CN"/>
                    </w:rPr>
                    <w:t>P</w:t>
                  </w:r>
                </w:p>
              </w:tc>
              <w:tc>
                <w:tcPr>
                  <w:tcW w:w="1261" w:type="pct"/>
                  <w:noWrap w:val="0"/>
                  <w:vAlign w:val="center"/>
                </w:tcPr>
                <w:p w14:paraId="3E8B959B">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经</w:t>
                  </w:r>
                  <w:r>
                    <w:rPr>
                      <w:rFonts w:hint="eastAsia" w:ascii="Times New Roman" w:hAnsi="Times New Roman"/>
                      <w:color w:val="auto"/>
                      <w:sz w:val="21"/>
                      <w:lang w:eastAsia="zh-CN"/>
                    </w:rPr>
                    <w:t>化粪池预处理</w:t>
                  </w:r>
                  <w:r>
                    <w:rPr>
                      <w:rFonts w:hint="eastAsia" w:ascii="Times New Roman" w:hAnsi="Times New Roman"/>
                      <w:color w:val="auto"/>
                      <w:sz w:val="21"/>
                      <w:lang w:val="en-US" w:eastAsia="zh-CN"/>
                    </w:rPr>
                    <w:t>后接管至涟水经济开发区西区污水处理厂</w:t>
                  </w:r>
                </w:p>
              </w:tc>
              <w:tc>
                <w:tcPr>
                  <w:tcW w:w="995" w:type="pct"/>
                  <w:noWrap w:val="0"/>
                  <w:vAlign w:val="center"/>
                </w:tcPr>
                <w:p w14:paraId="5DA6213B">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达到涟水经济开发区西区污水处理厂接管标准</w:t>
                  </w:r>
                </w:p>
              </w:tc>
              <w:tc>
                <w:tcPr>
                  <w:tcW w:w="455" w:type="pct"/>
                  <w:noWrap w:val="0"/>
                  <w:vAlign w:val="center"/>
                </w:tcPr>
                <w:p w14:paraId="4910595C">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2</w:t>
                  </w:r>
                </w:p>
              </w:tc>
              <w:tc>
                <w:tcPr>
                  <w:tcW w:w="229" w:type="pct"/>
                  <w:vMerge w:val="continue"/>
                  <w:noWrap w:val="0"/>
                  <w:vAlign w:val="center"/>
                </w:tcPr>
                <w:p w14:paraId="52223780">
                  <w:pPr>
                    <w:pStyle w:val="16"/>
                    <w:spacing w:before="0" w:beforeAutospacing="0" w:after="0" w:afterAutospacing="0"/>
                    <w:jc w:val="center"/>
                    <w:outlineLvl w:val="0"/>
                    <w:rPr>
                      <w:rFonts w:hint="eastAsia" w:ascii="Times New Roman" w:hAnsi="Times New Roman" w:eastAsia="宋体"/>
                      <w:color w:val="auto"/>
                      <w:sz w:val="21"/>
                      <w:lang w:eastAsia="zh-CN"/>
                    </w:rPr>
                  </w:pPr>
                </w:p>
              </w:tc>
            </w:tr>
            <w:tr w14:paraId="4E2D67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5" w:type="pct"/>
                  <w:noWrap w:val="0"/>
                  <w:vAlign w:val="center"/>
                </w:tcPr>
                <w:p w14:paraId="45A367F8">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噪声治理</w:t>
                  </w:r>
                </w:p>
              </w:tc>
              <w:tc>
                <w:tcPr>
                  <w:tcW w:w="643" w:type="pct"/>
                  <w:noWrap w:val="0"/>
                  <w:vAlign w:val="center"/>
                </w:tcPr>
                <w:p w14:paraId="552EA7CF">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生产</w:t>
                  </w:r>
                </w:p>
                <w:p w14:paraId="22B37D5C">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设备</w:t>
                  </w:r>
                </w:p>
              </w:tc>
              <w:tc>
                <w:tcPr>
                  <w:tcW w:w="689" w:type="pct"/>
                  <w:noWrap w:val="0"/>
                  <w:vAlign w:val="center"/>
                </w:tcPr>
                <w:p w14:paraId="76EEF7B6">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噪声</w:t>
                  </w:r>
                </w:p>
              </w:tc>
              <w:tc>
                <w:tcPr>
                  <w:tcW w:w="1261" w:type="pct"/>
                  <w:noWrap w:val="0"/>
                  <w:vAlign w:val="center"/>
                </w:tcPr>
                <w:p w14:paraId="62CA3D33">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合理布局、基础</w:t>
                  </w:r>
                  <w:r>
                    <w:rPr>
                      <w:rFonts w:hint="eastAsia" w:ascii="Times New Roman" w:hAnsi="Times New Roman"/>
                      <w:color w:val="auto"/>
                      <w:sz w:val="21"/>
                      <w:lang w:val="en-US" w:eastAsia="zh-CN"/>
                    </w:rPr>
                    <w:t>减</w:t>
                  </w:r>
                  <w:r>
                    <w:rPr>
                      <w:rFonts w:ascii="Times New Roman" w:hAnsi="Times New Roman"/>
                      <w:color w:val="auto"/>
                      <w:sz w:val="21"/>
                    </w:rPr>
                    <w:t>震、墙体隔声</w:t>
                  </w:r>
                </w:p>
              </w:tc>
              <w:tc>
                <w:tcPr>
                  <w:tcW w:w="995" w:type="pct"/>
                  <w:noWrap w:val="0"/>
                  <w:vAlign w:val="center"/>
                </w:tcPr>
                <w:p w14:paraId="36A3DB24">
                  <w:pPr>
                    <w:pStyle w:val="16"/>
                    <w:spacing w:before="0" w:beforeAutospacing="0" w:after="0" w:afterAutospacing="0"/>
                    <w:jc w:val="center"/>
                    <w:outlineLvl w:val="0"/>
                    <w:rPr>
                      <w:rFonts w:ascii="Times New Roman" w:hAnsi="Times New Roman"/>
                      <w:color w:val="auto"/>
                      <w:sz w:val="21"/>
                    </w:rPr>
                  </w:pPr>
                </w:p>
                <w:p w14:paraId="24312C70">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厂界达标</w:t>
                  </w:r>
                </w:p>
              </w:tc>
              <w:tc>
                <w:tcPr>
                  <w:tcW w:w="455" w:type="pct"/>
                  <w:noWrap w:val="0"/>
                  <w:vAlign w:val="center"/>
                </w:tcPr>
                <w:p w14:paraId="60BEA83F">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2</w:t>
                  </w:r>
                </w:p>
              </w:tc>
              <w:tc>
                <w:tcPr>
                  <w:tcW w:w="229" w:type="pct"/>
                  <w:vMerge w:val="continue"/>
                  <w:noWrap w:val="0"/>
                  <w:vAlign w:val="center"/>
                </w:tcPr>
                <w:p w14:paraId="57A49992">
                  <w:pPr>
                    <w:pStyle w:val="16"/>
                    <w:spacing w:before="0" w:beforeAutospacing="0" w:after="0" w:afterAutospacing="0"/>
                    <w:jc w:val="center"/>
                    <w:outlineLvl w:val="0"/>
                    <w:rPr>
                      <w:rFonts w:ascii="Times New Roman" w:hAnsi="Times New Roman"/>
                      <w:color w:val="auto"/>
                      <w:sz w:val="21"/>
                    </w:rPr>
                  </w:pPr>
                </w:p>
              </w:tc>
            </w:tr>
            <w:tr w14:paraId="0829F2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restart"/>
                  <w:noWrap w:val="0"/>
                  <w:vAlign w:val="center"/>
                </w:tcPr>
                <w:p w14:paraId="5AF894F4">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固废治理</w:t>
                  </w:r>
                </w:p>
              </w:tc>
              <w:tc>
                <w:tcPr>
                  <w:tcW w:w="643" w:type="pct"/>
                  <w:noWrap w:val="0"/>
                  <w:vAlign w:val="center"/>
                </w:tcPr>
                <w:p w14:paraId="00442D75">
                  <w:pPr>
                    <w:pStyle w:val="16"/>
                    <w:spacing w:before="0" w:beforeAutospacing="0" w:after="0" w:afterAutospacing="0"/>
                    <w:jc w:val="center"/>
                    <w:outlineLvl w:val="0"/>
                    <w:rPr>
                      <w:rFonts w:ascii="Times New Roman" w:hAnsi="Times New Roman" w:eastAsia="宋体" w:cs="Times New Roman"/>
                      <w:color w:val="auto"/>
                      <w:sz w:val="21"/>
                    </w:rPr>
                  </w:pPr>
                  <w:r>
                    <w:rPr>
                      <w:rFonts w:hint="eastAsia" w:ascii="Times New Roman" w:hAnsi="Times New Roman" w:eastAsia="宋体" w:cs="Times New Roman"/>
                      <w:color w:val="auto"/>
                      <w:sz w:val="21"/>
                      <w:lang w:val="en-US" w:eastAsia="zh-CN"/>
                    </w:rPr>
                    <w:t>原辅料</w:t>
                  </w:r>
                  <w:r>
                    <w:rPr>
                      <w:rFonts w:hint="eastAsia" w:ascii="Times New Roman" w:hAnsi="Times New Roman" w:eastAsia="宋体" w:cs="Times New Roman"/>
                      <w:color w:val="auto"/>
                      <w:sz w:val="21"/>
                    </w:rPr>
                    <w:t>包装</w:t>
                  </w:r>
                </w:p>
              </w:tc>
              <w:tc>
                <w:tcPr>
                  <w:tcW w:w="689" w:type="pct"/>
                  <w:noWrap w:val="0"/>
                  <w:vAlign w:val="center"/>
                </w:tcPr>
                <w:p w14:paraId="713D285F">
                  <w:pPr>
                    <w:pStyle w:val="16"/>
                    <w:spacing w:before="0" w:beforeAutospacing="0" w:after="0" w:afterAutospacing="0"/>
                    <w:jc w:val="center"/>
                    <w:outlineLvl w:val="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lang w:val="en-US" w:eastAsia="zh-CN"/>
                    </w:rPr>
                    <w:t>废</w:t>
                  </w:r>
                  <w:r>
                    <w:rPr>
                      <w:rFonts w:hint="eastAsia" w:ascii="Times New Roman" w:hAnsi="Times New Roman" w:eastAsia="宋体" w:cs="Times New Roman"/>
                      <w:color w:val="auto"/>
                      <w:sz w:val="21"/>
                    </w:rPr>
                    <w:t>包</w:t>
                  </w:r>
                </w:p>
                <w:p w14:paraId="17240E67">
                  <w:pPr>
                    <w:pStyle w:val="16"/>
                    <w:spacing w:before="0" w:beforeAutospacing="0" w:after="0" w:afterAutospacing="0"/>
                    <w:jc w:val="center"/>
                    <w:outlineLvl w:val="0"/>
                    <w:rPr>
                      <w:rFonts w:ascii="Times New Roman" w:hAnsi="Times New Roman" w:eastAsia="宋体" w:cs="Times New Roman"/>
                      <w:color w:val="auto"/>
                      <w:sz w:val="21"/>
                    </w:rPr>
                  </w:pPr>
                  <w:r>
                    <w:rPr>
                      <w:rFonts w:hint="eastAsia" w:ascii="Times New Roman" w:hAnsi="Times New Roman" w:eastAsia="宋体" w:cs="Times New Roman"/>
                      <w:color w:val="auto"/>
                      <w:sz w:val="21"/>
                    </w:rPr>
                    <w:t>装袋</w:t>
                  </w:r>
                </w:p>
              </w:tc>
              <w:tc>
                <w:tcPr>
                  <w:tcW w:w="1261" w:type="pct"/>
                  <w:vMerge w:val="restart"/>
                  <w:noWrap w:val="0"/>
                  <w:vAlign w:val="center"/>
                </w:tcPr>
                <w:p w14:paraId="5E5B6727">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ascii="Times New Roman" w:hAnsi="Times New Roman"/>
                      <w:color w:val="auto"/>
                      <w:sz w:val="21"/>
                    </w:rPr>
                    <w:t>设置1个</w:t>
                  </w:r>
                  <w:r>
                    <w:rPr>
                      <w:rFonts w:hint="eastAsia" w:ascii="Times New Roman" w:hAnsi="Times New Roman"/>
                      <w:color w:val="auto"/>
                      <w:sz w:val="21"/>
                      <w:lang w:val="en-US" w:eastAsia="zh-CN"/>
                    </w:rPr>
                    <w:t>20</w:t>
                  </w:r>
                  <w:r>
                    <w:rPr>
                      <w:rFonts w:ascii="Times New Roman" w:hAnsi="Times New Roman"/>
                      <w:color w:val="auto"/>
                      <w:sz w:val="21"/>
                    </w:rPr>
                    <w:t>m</w:t>
                  </w:r>
                  <w:r>
                    <w:rPr>
                      <w:rFonts w:ascii="Times New Roman" w:hAnsi="Times New Roman"/>
                      <w:color w:val="auto"/>
                      <w:sz w:val="21"/>
                      <w:vertAlign w:val="superscript"/>
                    </w:rPr>
                    <w:t>2</w:t>
                  </w:r>
                  <w:r>
                    <w:rPr>
                      <w:rFonts w:ascii="Times New Roman" w:hAnsi="Times New Roman"/>
                      <w:color w:val="auto"/>
                      <w:sz w:val="21"/>
                    </w:rPr>
                    <w:t>一般固废暂存区，废包装袋</w:t>
                  </w:r>
                  <w:r>
                    <w:rPr>
                      <w:rFonts w:hint="eastAsia" w:ascii="Times New Roman" w:hAnsi="Times New Roman"/>
                      <w:color w:val="auto"/>
                      <w:sz w:val="21"/>
                      <w:lang w:eastAsia="zh-CN"/>
                    </w:rPr>
                    <w:t>、</w:t>
                  </w:r>
                  <w:r>
                    <w:rPr>
                      <w:rFonts w:hint="eastAsia" w:ascii="Times New Roman" w:hAnsi="Times New Roman"/>
                      <w:color w:val="auto"/>
                      <w:sz w:val="21"/>
                      <w:lang w:val="en-US" w:eastAsia="zh-CN"/>
                    </w:rPr>
                    <w:t>边角料、收集粉尘</w:t>
                  </w:r>
                  <w:r>
                    <w:rPr>
                      <w:rFonts w:ascii="Times New Roman" w:hAnsi="Times New Roman"/>
                      <w:color w:val="auto"/>
                      <w:sz w:val="21"/>
                    </w:rPr>
                    <w:t>外售给废旧资源回收公司</w:t>
                  </w:r>
                </w:p>
              </w:tc>
              <w:tc>
                <w:tcPr>
                  <w:tcW w:w="995" w:type="pct"/>
                  <w:vMerge w:val="restart"/>
                  <w:noWrap w:val="0"/>
                  <w:vAlign w:val="center"/>
                </w:tcPr>
                <w:p w14:paraId="2F391AFE">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455" w:type="pct"/>
                  <w:vMerge w:val="restart"/>
                  <w:noWrap w:val="0"/>
                  <w:vAlign w:val="center"/>
                </w:tcPr>
                <w:p w14:paraId="7521BF9C">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0.5</w:t>
                  </w:r>
                </w:p>
              </w:tc>
              <w:tc>
                <w:tcPr>
                  <w:tcW w:w="229" w:type="pct"/>
                  <w:vMerge w:val="continue"/>
                  <w:noWrap w:val="0"/>
                  <w:vAlign w:val="center"/>
                </w:tcPr>
                <w:p w14:paraId="39EFF59D">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480B31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2867C877">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0CFD3B65">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切割、钻孔</w:t>
                  </w:r>
                </w:p>
              </w:tc>
              <w:tc>
                <w:tcPr>
                  <w:tcW w:w="689" w:type="pct"/>
                  <w:noWrap w:val="0"/>
                  <w:vAlign w:val="center"/>
                </w:tcPr>
                <w:p w14:paraId="1EBDF70E">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边角料</w:t>
                  </w:r>
                </w:p>
              </w:tc>
              <w:tc>
                <w:tcPr>
                  <w:tcW w:w="1261" w:type="pct"/>
                  <w:vMerge w:val="continue"/>
                  <w:noWrap w:val="0"/>
                  <w:vAlign w:val="center"/>
                </w:tcPr>
                <w:p w14:paraId="02627D6C">
                  <w:pPr>
                    <w:pStyle w:val="16"/>
                    <w:spacing w:before="0" w:beforeAutospacing="0" w:after="0" w:afterAutospacing="0"/>
                    <w:jc w:val="center"/>
                    <w:outlineLvl w:val="0"/>
                    <w:rPr>
                      <w:rFonts w:ascii="Times New Roman" w:hAnsi="Times New Roman"/>
                      <w:color w:val="auto"/>
                      <w:sz w:val="21"/>
                    </w:rPr>
                  </w:pPr>
                </w:p>
              </w:tc>
              <w:tc>
                <w:tcPr>
                  <w:tcW w:w="995" w:type="pct"/>
                  <w:vMerge w:val="continue"/>
                  <w:noWrap w:val="0"/>
                  <w:vAlign w:val="center"/>
                </w:tcPr>
                <w:p w14:paraId="227FE51B">
                  <w:pPr>
                    <w:pStyle w:val="16"/>
                    <w:spacing w:before="0" w:beforeAutospacing="0" w:after="0" w:afterAutospacing="0"/>
                    <w:jc w:val="center"/>
                    <w:outlineLvl w:val="0"/>
                    <w:rPr>
                      <w:rFonts w:ascii="Times New Roman" w:hAnsi="Times New Roman"/>
                      <w:color w:val="auto"/>
                      <w:sz w:val="21"/>
                    </w:rPr>
                  </w:pPr>
                </w:p>
              </w:tc>
              <w:tc>
                <w:tcPr>
                  <w:tcW w:w="455" w:type="pct"/>
                  <w:vMerge w:val="continue"/>
                  <w:noWrap w:val="0"/>
                  <w:vAlign w:val="center"/>
                </w:tcPr>
                <w:p w14:paraId="3C3DFFA6">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2CBBCC8C">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4EC670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50E4158B">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72CED620">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颗粒物治理</w:t>
                  </w:r>
                </w:p>
              </w:tc>
              <w:tc>
                <w:tcPr>
                  <w:tcW w:w="689" w:type="pct"/>
                  <w:noWrap w:val="0"/>
                  <w:vAlign w:val="center"/>
                </w:tcPr>
                <w:p w14:paraId="0A0EC574">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收集粉尘</w:t>
                  </w:r>
                </w:p>
              </w:tc>
              <w:tc>
                <w:tcPr>
                  <w:tcW w:w="1261" w:type="pct"/>
                  <w:vMerge w:val="continue"/>
                  <w:noWrap w:val="0"/>
                  <w:vAlign w:val="center"/>
                </w:tcPr>
                <w:p w14:paraId="4FAE1A1E">
                  <w:pPr>
                    <w:pStyle w:val="16"/>
                    <w:spacing w:before="0" w:beforeAutospacing="0" w:after="0" w:afterAutospacing="0"/>
                    <w:jc w:val="center"/>
                    <w:outlineLvl w:val="0"/>
                    <w:rPr>
                      <w:rFonts w:ascii="Times New Roman" w:hAnsi="Times New Roman"/>
                      <w:color w:val="auto"/>
                      <w:sz w:val="21"/>
                    </w:rPr>
                  </w:pPr>
                </w:p>
              </w:tc>
              <w:tc>
                <w:tcPr>
                  <w:tcW w:w="995" w:type="pct"/>
                  <w:vMerge w:val="continue"/>
                  <w:noWrap w:val="0"/>
                  <w:vAlign w:val="center"/>
                </w:tcPr>
                <w:p w14:paraId="4FB67F4D">
                  <w:pPr>
                    <w:pStyle w:val="16"/>
                    <w:spacing w:before="0" w:beforeAutospacing="0" w:after="0" w:afterAutospacing="0"/>
                    <w:jc w:val="center"/>
                    <w:outlineLvl w:val="0"/>
                    <w:rPr>
                      <w:rFonts w:ascii="Times New Roman" w:hAnsi="Times New Roman"/>
                      <w:color w:val="auto"/>
                      <w:sz w:val="21"/>
                    </w:rPr>
                  </w:pPr>
                </w:p>
              </w:tc>
              <w:tc>
                <w:tcPr>
                  <w:tcW w:w="455" w:type="pct"/>
                  <w:noWrap w:val="0"/>
                  <w:vAlign w:val="center"/>
                </w:tcPr>
                <w:p w14:paraId="42B5B683">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01BC6DB6">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73B63C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30FFC275">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128DD586">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有机废气治理</w:t>
                  </w:r>
                </w:p>
              </w:tc>
              <w:tc>
                <w:tcPr>
                  <w:tcW w:w="689" w:type="pct"/>
                  <w:noWrap w:val="0"/>
                  <w:vAlign w:val="center"/>
                </w:tcPr>
                <w:p w14:paraId="602580E9">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废活性炭</w:t>
                  </w:r>
                </w:p>
              </w:tc>
              <w:tc>
                <w:tcPr>
                  <w:tcW w:w="1261" w:type="pct"/>
                  <w:vMerge w:val="restart"/>
                  <w:noWrap w:val="0"/>
                  <w:vAlign w:val="center"/>
                </w:tcPr>
                <w:p w14:paraId="30052A9D">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设置</w:t>
                  </w:r>
                  <w:r>
                    <w:rPr>
                      <w:rFonts w:ascii="Times New Roman" w:hAnsi="Times New Roman" w:eastAsia="宋体" w:cs="Times New Roman"/>
                      <w:color w:val="auto"/>
                      <w:sz w:val="21"/>
                    </w:rPr>
                    <w:t>1个</w:t>
                  </w:r>
                  <w:r>
                    <w:rPr>
                      <w:rFonts w:hint="eastAsia" w:ascii="Times New Roman" w:hAnsi="Times New Roman" w:cs="Times New Roman"/>
                      <w:color w:val="auto"/>
                      <w:sz w:val="21"/>
                      <w:lang w:val="en-US" w:eastAsia="zh-CN"/>
                    </w:rPr>
                    <w:t>45</w:t>
                  </w:r>
                  <w:r>
                    <w:rPr>
                      <w:rFonts w:ascii="Times New Roman" w:hAnsi="Times New Roman" w:eastAsia="宋体" w:cs="Times New Roman"/>
                      <w:color w:val="auto"/>
                      <w:sz w:val="21"/>
                    </w:rPr>
                    <w:t>m</w:t>
                  </w:r>
                  <w:r>
                    <w:rPr>
                      <w:rFonts w:ascii="Times New Roman" w:hAnsi="Times New Roman" w:eastAsia="宋体" w:cs="Times New Roman"/>
                      <w:color w:val="auto"/>
                      <w:sz w:val="21"/>
                      <w:vertAlign w:val="superscript"/>
                    </w:rPr>
                    <w:t>2</w:t>
                  </w:r>
                  <w:r>
                    <w:rPr>
                      <w:rFonts w:ascii="Times New Roman" w:hAnsi="Times New Roman" w:eastAsia="宋体" w:cs="Times New Roman"/>
                      <w:color w:val="auto"/>
                      <w:sz w:val="21"/>
                    </w:rPr>
                    <w:t>危废</w:t>
                  </w:r>
                  <w:r>
                    <w:rPr>
                      <w:rFonts w:hint="eastAsia" w:ascii="Times New Roman" w:hAnsi="Times New Roman" w:cs="Times New Roman"/>
                      <w:color w:val="auto"/>
                      <w:sz w:val="21"/>
                      <w:lang w:val="en-US" w:eastAsia="zh-CN"/>
                    </w:rPr>
                    <w:t>贮存</w:t>
                  </w:r>
                  <w:r>
                    <w:rPr>
                      <w:rFonts w:ascii="Times New Roman" w:hAnsi="Times New Roman" w:eastAsia="宋体" w:cs="Times New Roman"/>
                      <w:color w:val="auto"/>
                      <w:sz w:val="21"/>
                    </w:rPr>
                    <w:t>库，委托有危</w:t>
                  </w:r>
                  <w:r>
                    <w:rPr>
                      <w:rFonts w:ascii="Times New Roman" w:hAnsi="Times New Roman"/>
                      <w:color w:val="auto"/>
                      <w:sz w:val="21"/>
                    </w:rPr>
                    <w:t>废处置资质单位处置</w:t>
                  </w:r>
                </w:p>
              </w:tc>
              <w:tc>
                <w:tcPr>
                  <w:tcW w:w="995" w:type="pct"/>
                  <w:vMerge w:val="continue"/>
                  <w:noWrap w:val="0"/>
                  <w:vAlign w:val="center"/>
                </w:tcPr>
                <w:p w14:paraId="59EA8258">
                  <w:pPr>
                    <w:pStyle w:val="16"/>
                    <w:spacing w:before="0" w:beforeAutospacing="0" w:after="0" w:afterAutospacing="0"/>
                    <w:jc w:val="center"/>
                    <w:outlineLvl w:val="0"/>
                    <w:rPr>
                      <w:rFonts w:ascii="Times New Roman" w:hAnsi="Times New Roman"/>
                      <w:color w:val="auto"/>
                      <w:sz w:val="21"/>
                    </w:rPr>
                  </w:pPr>
                </w:p>
              </w:tc>
              <w:tc>
                <w:tcPr>
                  <w:tcW w:w="455" w:type="pct"/>
                  <w:vMerge w:val="restart"/>
                  <w:noWrap w:val="0"/>
                  <w:vAlign w:val="center"/>
                </w:tcPr>
                <w:p w14:paraId="51F1E51C">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4</w:t>
                  </w:r>
                </w:p>
              </w:tc>
              <w:tc>
                <w:tcPr>
                  <w:tcW w:w="229" w:type="pct"/>
                  <w:vMerge w:val="continue"/>
                  <w:noWrap w:val="0"/>
                  <w:vAlign w:val="center"/>
                </w:tcPr>
                <w:p w14:paraId="3630863D">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44CF20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4F4FF08F">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601B9F03">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设备维护</w:t>
                  </w:r>
                </w:p>
              </w:tc>
              <w:tc>
                <w:tcPr>
                  <w:tcW w:w="689" w:type="pct"/>
                  <w:noWrap w:val="0"/>
                  <w:vAlign w:val="center"/>
                </w:tcPr>
                <w:p w14:paraId="24A1AB9D">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废液压油</w:t>
                  </w:r>
                </w:p>
              </w:tc>
              <w:tc>
                <w:tcPr>
                  <w:tcW w:w="1261" w:type="pct"/>
                  <w:vMerge w:val="continue"/>
                  <w:noWrap w:val="0"/>
                  <w:vAlign w:val="center"/>
                </w:tcPr>
                <w:p w14:paraId="23B1EB75">
                  <w:pPr>
                    <w:pStyle w:val="16"/>
                    <w:spacing w:before="0" w:beforeAutospacing="0" w:after="0" w:afterAutospacing="0"/>
                    <w:jc w:val="center"/>
                    <w:outlineLvl w:val="0"/>
                    <w:rPr>
                      <w:rFonts w:ascii="Times New Roman" w:hAnsi="Times New Roman"/>
                      <w:color w:val="auto"/>
                      <w:sz w:val="21"/>
                    </w:rPr>
                  </w:pPr>
                </w:p>
              </w:tc>
              <w:tc>
                <w:tcPr>
                  <w:tcW w:w="995" w:type="pct"/>
                  <w:vMerge w:val="continue"/>
                  <w:noWrap w:val="0"/>
                  <w:vAlign w:val="center"/>
                </w:tcPr>
                <w:p w14:paraId="1881E3B6">
                  <w:pPr>
                    <w:pStyle w:val="16"/>
                    <w:spacing w:before="0" w:beforeAutospacing="0" w:after="0" w:afterAutospacing="0"/>
                    <w:jc w:val="center"/>
                    <w:outlineLvl w:val="0"/>
                    <w:rPr>
                      <w:rFonts w:ascii="Times New Roman" w:hAnsi="Times New Roman"/>
                      <w:color w:val="auto"/>
                      <w:sz w:val="21"/>
                    </w:rPr>
                  </w:pPr>
                </w:p>
              </w:tc>
              <w:tc>
                <w:tcPr>
                  <w:tcW w:w="455" w:type="pct"/>
                  <w:vMerge w:val="continue"/>
                  <w:noWrap w:val="0"/>
                  <w:vAlign w:val="center"/>
                </w:tcPr>
                <w:p w14:paraId="22668733">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45C2D55C">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0B8B2D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5E4E2138">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63630DAA">
                  <w:pPr>
                    <w:spacing w:before="0" w:beforeAutospacing="0" w:after="0" w:afterAutospacing="0"/>
                    <w:jc w:val="center"/>
                    <w:outlineLvl w:val="0"/>
                    <w:rPr>
                      <w:rFonts w:hint="eastAsia" w:ascii="Times New Roman" w:hAnsi="Times New Roman"/>
                      <w:color w:val="auto"/>
                      <w:sz w:val="21"/>
                    </w:rPr>
                  </w:pPr>
                  <w:r>
                    <w:rPr>
                      <w:rFonts w:hint="eastAsia"/>
                      <w:color w:val="auto"/>
                      <w:sz w:val="21"/>
                      <w:lang w:val="en-US" w:eastAsia="zh-CN"/>
                    </w:rPr>
                    <w:t>原辅料包装</w:t>
                  </w:r>
                </w:p>
              </w:tc>
              <w:tc>
                <w:tcPr>
                  <w:tcW w:w="689" w:type="pct"/>
                  <w:noWrap w:val="0"/>
                  <w:vAlign w:val="center"/>
                </w:tcPr>
                <w:p w14:paraId="277D9D79">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废包装桶</w:t>
                  </w:r>
                </w:p>
              </w:tc>
              <w:tc>
                <w:tcPr>
                  <w:tcW w:w="1261" w:type="pct"/>
                  <w:vMerge w:val="continue"/>
                  <w:noWrap w:val="0"/>
                  <w:vAlign w:val="center"/>
                </w:tcPr>
                <w:p w14:paraId="7BFBF4E4">
                  <w:pPr>
                    <w:pStyle w:val="16"/>
                    <w:spacing w:before="0" w:beforeAutospacing="0" w:after="0" w:afterAutospacing="0"/>
                    <w:jc w:val="center"/>
                    <w:outlineLvl w:val="0"/>
                    <w:rPr>
                      <w:rFonts w:ascii="Times New Roman" w:hAnsi="Times New Roman"/>
                      <w:color w:val="auto"/>
                      <w:sz w:val="21"/>
                    </w:rPr>
                  </w:pPr>
                </w:p>
              </w:tc>
              <w:tc>
                <w:tcPr>
                  <w:tcW w:w="995" w:type="pct"/>
                  <w:vMerge w:val="continue"/>
                  <w:noWrap w:val="0"/>
                  <w:vAlign w:val="center"/>
                </w:tcPr>
                <w:p w14:paraId="404A3D6A">
                  <w:pPr>
                    <w:pStyle w:val="16"/>
                    <w:spacing w:before="0" w:beforeAutospacing="0" w:after="0" w:afterAutospacing="0"/>
                    <w:jc w:val="center"/>
                    <w:outlineLvl w:val="0"/>
                    <w:rPr>
                      <w:rFonts w:ascii="Times New Roman" w:hAnsi="Times New Roman"/>
                      <w:color w:val="auto"/>
                      <w:sz w:val="21"/>
                    </w:rPr>
                  </w:pPr>
                </w:p>
              </w:tc>
              <w:tc>
                <w:tcPr>
                  <w:tcW w:w="455" w:type="pct"/>
                  <w:vMerge w:val="continue"/>
                  <w:noWrap w:val="0"/>
                  <w:vAlign w:val="center"/>
                </w:tcPr>
                <w:p w14:paraId="5526ADDF">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67E7E967">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00640B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249B98F">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7E4F31C4">
                  <w:pPr>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设备维护</w:t>
                  </w:r>
                </w:p>
              </w:tc>
              <w:tc>
                <w:tcPr>
                  <w:tcW w:w="689" w:type="pct"/>
                  <w:noWrap w:val="0"/>
                  <w:vAlign w:val="center"/>
                </w:tcPr>
                <w:p w14:paraId="2280C2B1">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废劳保用品</w:t>
                  </w:r>
                </w:p>
              </w:tc>
              <w:tc>
                <w:tcPr>
                  <w:tcW w:w="1261" w:type="pct"/>
                  <w:vMerge w:val="continue"/>
                  <w:noWrap w:val="0"/>
                  <w:vAlign w:val="center"/>
                </w:tcPr>
                <w:p w14:paraId="4BB4B9C5">
                  <w:pPr>
                    <w:pStyle w:val="16"/>
                    <w:spacing w:before="0" w:beforeAutospacing="0" w:after="0" w:afterAutospacing="0"/>
                    <w:jc w:val="center"/>
                    <w:outlineLvl w:val="0"/>
                    <w:rPr>
                      <w:rFonts w:ascii="Times New Roman" w:hAnsi="Times New Roman"/>
                      <w:color w:val="auto"/>
                      <w:sz w:val="21"/>
                    </w:rPr>
                  </w:pPr>
                </w:p>
              </w:tc>
              <w:tc>
                <w:tcPr>
                  <w:tcW w:w="995" w:type="pct"/>
                  <w:vMerge w:val="continue"/>
                  <w:noWrap w:val="0"/>
                  <w:vAlign w:val="center"/>
                </w:tcPr>
                <w:p w14:paraId="3D8C82FF">
                  <w:pPr>
                    <w:pStyle w:val="16"/>
                    <w:spacing w:before="0" w:beforeAutospacing="0" w:after="0" w:afterAutospacing="0"/>
                    <w:jc w:val="center"/>
                    <w:outlineLvl w:val="0"/>
                    <w:rPr>
                      <w:rFonts w:ascii="Times New Roman" w:hAnsi="Times New Roman"/>
                      <w:color w:val="auto"/>
                      <w:sz w:val="21"/>
                    </w:rPr>
                  </w:pPr>
                </w:p>
              </w:tc>
              <w:tc>
                <w:tcPr>
                  <w:tcW w:w="455" w:type="pct"/>
                  <w:vMerge w:val="continue"/>
                  <w:noWrap w:val="0"/>
                  <w:vAlign w:val="center"/>
                </w:tcPr>
                <w:p w14:paraId="42F6FC16">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6505E07E">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4E1FCE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6FE981BB">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68C3477A">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rPr>
                    <w:t>员工工作生活</w:t>
                  </w:r>
                </w:p>
              </w:tc>
              <w:tc>
                <w:tcPr>
                  <w:tcW w:w="689" w:type="pct"/>
                  <w:noWrap w:val="0"/>
                  <w:vAlign w:val="center"/>
                </w:tcPr>
                <w:p w14:paraId="7A079D33">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生活</w:t>
                  </w:r>
                </w:p>
                <w:p w14:paraId="2620135B">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rPr>
                    <w:t>垃圾</w:t>
                  </w:r>
                </w:p>
              </w:tc>
              <w:tc>
                <w:tcPr>
                  <w:tcW w:w="1261" w:type="pct"/>
                  <w:noWrap w:val="0"/>
                  <w:vAlign w:val="center"/>
                </w:tcPr>
                <w:p w14:paraId="6E31B1D5">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设置垃圾桶、垃圾箱，委托环卫部门统一清运</w:t>
                  </w:r>
                </w:p>
              </w:tc>
              <w:tc>
                <w:tcPr>
                  <w:tcW w:w="995" w:type="pct"/>
                  <w:vMerge w:val="continue"/>
                  <w:noWrap w:val="0"/>
                  <w:vAlign w:val="center"/>
                </w:tcPr>
                <w:p w14:paraId="026B5A98">
                  <w:pPr>
                    <w:pStyle w:val="16"/>
                    <w:spacing w:before="0" w:beforeAutospacing="0" w:after="0" w:afterAutospacing="0"/>
                    <w:jc w:val="center"/>
                    <w:outlineLvl w:val="0"/>
                    <w:rPr>
                      <w:rFonts w:ascii="Times New Roman" w:hAnsi="Times New Roman"/>
                      <w:color w:val="auto"/>
                      <w:sz w:val="21"/>
                    </w:rPr>
                  </w:pPr>
                </w:p>
              </w:tc>
              <w:tc>
                <w:tcPr>
                  <w:tcW w:w="455" w:type="pct"/>
                  <w:noWrap w:val="0"/>
                  <w:vAlign w:val="center"/>
                </w:tcPr>
                <w:p w14:paraId="649776F8">
                  <w:pPr>
                    <w:pStyle w:val="16"/>
                    <w:spacing w:before="0" w:beforeAutospacing="0" w:after="0" w:afterAutospacing="0"/>
                    <w:jc w:val="center"/>
                    <w:outlineLvl w:val="0"/>
                    <w:rPr>
                      <w:rFonts w:ascii="Times New Roman" w:hAnsi="Times New Roman"/>
                      <w:color w:val="auto"/>
                      <w:sz w:val="21"/>
                    </w:rPr>
                  </w:pPr>
                </w:p>
                <w:p w14:paraId="27F839CA">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0.5</w:t>
                  </w:r>
                </w:p>
              </w:tc>
              <w:tc>
                <w:tcPr>
                  <w:tcW w:w="229" w:type="pct"/>
                  <w:vMerge w:val="continue"/>
                  <w:noWrap w:val="0"/>
                  <w:vAlign w:val="center"/>
                </w:tcPr>
                <w:p w14:paraId="40D46251">
                  <w:pPr>
                    <w:pStyle w:val="16"/>
                    <w:spacing w:before="0" w:beforeAutospacing="0" w:after="0" w:afterAutospacing="0"/>
                    <w:jc w:val="center"/>
                    <w:outlineLvl w:val="0"/>
                    <w:rPr>
                      <w:rFonts w:hint="eastAsia" w:ascii="Times New Roman" w:hAnsi="Times New Roman"/>
                      <w:color w:val="auto"/>
                      <w:sz w:val="21"/>
                    </w:rPr>
                  </w:pPr>
                </w:p>
              </w:tc>
            </w:tr>
            <w:tr w14:paraId="6E6974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592DFDA0">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事故应急措施</w:t>
                  </w:r>
                </w:p>
              </w:tc>
              <w:tc>
                <w:tcPr>
                  <w:tcW w:w="3589" w:type="pct"/>
                  <w:gridSpan w:val="4"/>
                  <w:noWrap w:val="0"/>
                  <w:vAlign w:val="center"/>
                </w:tcPr>
                <w:p w14:paraId="76425484">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rPr>
                    <w:t>事故应急物资</w:t>
                  </w:r>
                  <w:r>
                    <w:rPr>
                      <w:rFonts w:hint="eastAsia" w:ascii="Times New Roman" w:hAnsi="Times New Roman"/>
                      <w:color w:val="auto"/>
                      <w:sz w:val="21"/>
                      <w:lang w:eastAsia="zh-CN"/>
                    </w:rPr>
                    <w:t>、</w:t>
                  </w:r>
                  <w:r>
                    <w:rPr>
                      <w:rFonts w:hint="eastAsia" w:ascii="Times New Roman" w:hAnsi="Times New Roman"/>
                      <w:color w:val="auto"/>
                      <w:sz w:val="21"/>
                      <w:lang w:val="en-US" w:eastAsia="zh-CN"/>
                    </w:rPr>
                    <w:t>事故应急设施</w:t>
                  </w:r>
                </w:p>
              </w:tc>
              <w:tc>
                <w:tcPr>
                  <w:tcW w:w="455" w:type="pct"/>
                  <w:noWrap w:val="0"/>
                  <w:vAlign w:val="center"/>
                </w:tcPr>
                <w:p w14:paraId="51E17D5C">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2</w:t>
                  </w:r>
                </w:p>
              </w:tc>
              <w:tc>
                <w:tcPr>
                  <w:tcW w:w="229" w:type="pct"/>
                  <w:vMerge w:val="continue"/>
                  <w:noWrap w:val="0"/>
                  <w:vAlign w:val="center"/>
                </w:tcPr>
                <w:p w14:paraId="1FA4B616">
                  <w:pPr>
                    <w:pStyle w:val="16"/>
                    <w:spacing w:before="0" w:beforeAutospacing="0" w:after="0" w:afterAutospacing="0"/>
                    <w:jc w:val="center"/>
                    <w:outlineLvl w:val="0"/>
                    <w:rPr>
                      <w:rFonts w:ascii="Times New Roman" w:hAnsi="Times New Roman"/>
                      <w:color w:val="auto"/>
                      <w:sz w:val="21"/>
                    </w:rPr>
                  </w:pPr>
                </w:p>
              </w:tc>
            </w:tr>
            <w:tr w14:paraId="303CBC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1417BF4F">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“以新带老”措施</w:t>
                  </w:r>
                </w:p>
              </w:tc>
              <w:tc>
                <w:tcPr>
                  <w:tcW w:w="3589" w:type="pct"/>
                  <w:gridSpan w:val="4"/>
                  <w:noWrap w:val="0"/>
                  <w:vAlign w:val="center"/>
                </w:tcPr>
                <w:p w14:paraId="0ACA5032">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w:t>
                  </w:r>
                </w:p>
              </w:tc>
              <w:tc>
                <w:tcPr>
                  <w:tcW w:w="455" w:type="pct"/>
                  <w:noWrap w:val="0"/>
                  <w:vAlign w:val="center"/>
                </w:tcPr>
                <w:p w14:paraId="32E22DE3">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5D999DAE">
                  <w:pPr>
                    <w:pStyle w:val="16"/>
                    <w:spacing w:before="0" w:beforeAutospacing="0" w:after="0" w:afterAutospacing="0"/>
                    <w:jc w:val="center"/>
                    <w:outlineLvl w:val="0"/>
                    <w:rPr>
                      <w:rFonts w:ascii="Times New Roman" w:hAnsi="Times New Roman"/>
                      <w:color w:val="auto"/>
                      <w:sz w:val="21"/>
                    </w:rPr>
                  </w:pPr>
                </w:p>
              </w:tc>
            </w:tr>
            <w:tr w14:paraId="73AE5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25" w:type="pct"/>
                  <w:noWrap w:val="0"/>
                  <w:vAlign w:val="center"/>
                </w:tcPr>
                <w:p w14:paraId="06112D04">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清污分流、排污口规范化设置（流量计、在线监测仪等）</w:t>
                  </w:r>
                </w:p>
              </w:tc>
              <w:tc>
                <w:tcPr>
                  <w:tcW w:w="3589" w:type="pct"/>
                  <w:gridSpan w:val="4"/>
                  <w:noWrap w:val="0"/>
                  <w:vAlign w:val="center"/>
                </w:tcPr>
                <w:p w14:paraId="0C440989">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废气：设置</w:t>
                  </w:r>
                  <w:r>
                    <w:rPr>
                      <w:rFonts w:hint="eastAsia" w:ascii="Times New Roman" w:hAnsi="Times New Roman"/>
                      <w:color w:val="auto"/>
                      <w:sz w:val="21"/>
                      <w:lang w:val="en-US" w:eastAsia="zh-CN"/>
                    </w:rPr>
                    <w:t>2</w:t>
                  </w:r>
                  <w:r>
                    <w:rPr>
                      <w:rFonts w:ascii="Times New Roman" w:hAnsi="Times New Roman"/>
                      <w:color w:val="auto"/>
                      <w:sz w:val="21"/>
                    </w:rPr>
                    <w:t>个废气排放口</w:t>
                  </w:r>
                </w:p>
                <w:p w14:paraId="39E00B98">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废水：</w:t>
                  </w:r>
                  <w:r>
                    <w:rPr>
                      <w:rFonts w:hint="eastAsia" w:ascii="Times New Roman" w:hAnsi="Times New Roman"/>
                      <w:color w:val="auto"/>
                      <w:sz w:val="21"/>
                      <w:lang w:val="en-US" w:eastAsia="zh-CN"/>
                    </w:rPr>
                    <w:t>设置1个</w:t>
                  </w:r>
                  <w:r>
                    <w:rPr>
                      <w:rFonts w:hint="eastAsia" w:ascii="Times New Roman" w:hAnsi="Times New Roman"/>
                      <w:color w:val="auto"/>
                      <w:sz w:val="21"/>
                    </w:rPr>
                    <w:t>雨水排口</w:t>
                  </w:r>
                  <w:r>
                    <w:rPr>
                      <w:rFonts w:hint="eastAsia" w:ascii="Times New Roman" w:hAnsi="Times New Roman"/>
                      <w:color w:val="auto"/>
                      <w:sz w:val="21"/>
                      <w:lang w:val="en-US" w:eastAsia="zh-CN"/>
                    </w:rPr>
                    <w:t>和1个污水排口</w:t>
                  </w:r>
                </w:p>
              </w:tc>
              <w:tc>
                <w:tcPr>
                  <w:tcW w:w="455" w:type="pct"/>
                  <w:noWrap w:val="0"/>
                  <w:vAlign w:val="center"/>
                </w:tcPr>
                <w:p w14:paraId="7C39E06B">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21572FEF">
                  <w:pPr>
                    <w:pStyle w:val="16"/>
                    <w:spacing w:before="0" w:beforeAutospacing="0" w:after="0" w:afterAutospacing="0"/>
                    <w:jc w:val="center"/>
                    <w:outlineLvl w:val="0"/>
                    <w:rPr>
                      <w:rFonts w:ascii="Times New Roman" w:hAnsi="Times New Roman"/>
                      <w:color w:val="auto"/>
                      <w:sz w:val="21"/>
                    </w:rPr>
                  </w:pPr>
                </w:p>
              </w:tc>
            </w:tr>
            <w:tr w14:paraId="3AF833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5D067221">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szCs w:val="18"/>
                    </w:rPr>
                    <w:t>总量平衡具体方案</w:t>
                  </w:r>
                </w:p>
              </w:tc>
              <w:tc>
                <w:tcPr>
                  <w:tcW w:w="3589" w:type="pct"/>
                  <w:gridSpan w:val="4"/>
                  <w:noWrap w:val="0"/>
                  <w:vAlign w:val="center"/>
                </w:tcPr>
                <w:p w14:paraId="72687EE5">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废气：本项目废气总量控制因子为非甲烷总烃和颗粒物，非甲烷总烃控制总量为</w:t>
                  </w:r>
                  <w:r>
                    <w:rPr>
                      <w:rFonts w:hint="eastAsia" w:ascii="Times New Roman" w:hAnsi="Times New Roman"/>
                      <w:color w:val="auto"/>
                      <w:sz w:val="21"/>
                      <w:lang w:val="en-US" w:eastAsia="zh-CN"/>
                    </w:rPr>
                    <w:t>1.24</w:t>
                  </w:r>
                  <w:r>
                    <w:rPr>
                      <w:rFonts w:hint="eastAsia" w:ascii="Times New Roman" w:hAnsi="Times New Roman"/>
                      <w:color w:val="auto"/>
                      <w:sz w:val="21"/>
                    </w:rPr>
                    <w:t>t/a（有组织</w:t>
                  </w:r>
                  <w:r>
                    <w:rPr>
                      <w:rFonts w:hint="eastAsia" w:ascii="Times New Roman" w:hAnsi="Times New Roman"/>
                      <w:color w:val="auto"/>
                      <w:sz w:val="21"/>
                      <w:lang w:val="en-US" w:eastAsia="zh-CN"/>
                    </w:rPr>
                    <w:t>0.587</w:t>
                  </w:r>
                  <w:r>
                    <w:rPr>
                      <w:rFonts w:hint="eastAsia" w:ascii="Times New Roman" w:hAnsi="Times New Roman"/>
                      <w:color w:val="auto"/>
                      <w:sz w:val="21"/>
                    </w:rPr>
                    <w:t>t/a，无组织0.</w:t>
                  </w:r>
                  <w:r>
                    <w:rPr>
                      <w:rFonts w:hint="eastAsia" w:ascii="Times New Roman" w:hAnsi="Times New Roman"/>
                      <w:color w:val="auto"/>
                      <w:sz w:val="21"/>
                      <w:lang w:val="en-US" w:eastAsia="zh-CN"/>
                    </w:rPr>
                    <w:t>653</w:t>
                  </w:r>
                  <w:r>
                    <w:rPr>
                      <w:rFonts w:hint="eastAsia" w:ascii="Times New Roman" w:hAnsi="Times New Roman"/>
                      <w:color w:val="auto"/>
                      <w:sz w:val="21"/>
                    </w:rPr>
                    <w:t>t/a）</w:t>
                  </w:r>
                  <w:r>
                    <w:rPr>
                      <w:rFonts w:hint="eastAsia" w:ascii="Times New Roman" w:hAnsi="Times New Roman"/>
                      <w:color w:val="FF0000"/>
                      <w:sz w:val="21"/>
                    </w:rPr>
                    <w:t>，</w:t>
                  </w:r>
                  <w:r>
                    <w:rPr>
                      <w:rFonts w:hint="eastAsia" w:ascii="Times New Roman" w:hAnsi="Times New Roman"/>
                      <w:color w:val="FF0000"/>
                      <w:sz w:val="21"/>
                      <w:lang w:val="en-US" w:eastAsia="zh-CN"/>
                    </w:rPr>
                    <w:t>颗粒物</w:t>
                  </w:r>
                  <w:r>
                    <w:rPr>
                      <w:rFonts w:hint="eastAsia" w:ascii="Times New Roman" w:hAnsi="Times New Roman"/>
                      <w:color w:val="FF0000"/>
                      <w:sz w:val="21"/>
                    </w:rPr>
                    <w:t>控制总量为</w:t>
                  </w:r>
                  <w:r>
                    <w:rPr>
                      <w:rFonts w:hint="eastAsia" w:ascii="Times New Roman" w:hAnsi="Times New Roman"/>
                      <w:color w:val="FF0000"/>
                      <w:sz w:val="21"/>
                      <w:lang w:val="en-US" w:eastAsia="zh-CN"/>
                    </w:rPr>
                    <w:t>0.262</w:t>
                  </w:r>
                  <w:r>
                    <w:rPr>
                      <w:rFonts w:hint="eastAsia" w:ascii="Times New Roman" w:hAnsi="Times New Roman"/>
                      <w:color w:val="FF0000"/>
                      <w:sz w:val="21"/>
                    </w:rPr>
                    <w:t>t/a（有组织</w:t>
                  </w:r>
                  <w:r>
                    <w:rPr>
                      <w:rFonts w:hint="eastAsia" w:ascii="Times New Roman" w:hAnsi="Times New Roman"/>
                      <w:color w:val="FF0000"/>
                      <w:sz w:val="21"/>
                      <w:lang w:val="en-US" w:eastAsia="zh-CN"/>
                    </w:rPr>
                    <w:t>0.081</w:t>
                  </w:r>
                  <w:r>
                    <w:rPr>
                      <w:rFonts w:hint="eastAsia" w:ascii="Times New Roman" w:hAnsi="Times New Roman"/>
                      <w:color w:val="FF0000"/>
                      <w:sz w:val="21"/>
                    </w:rPr>
                    <w:t>t/a，无组织0.</w:t>
                  </w:r>
                  <w:r>
                    <w:rPr>
                      <w:rFonts w:hint="eastAsia" w:ascii="Times New Roman" w:hAnsi="Times New Roman"/>
                      <w:color w:val="FF0000"/>
                      <w:sz w:val="21"/>
                      <w:lang w:val="en-US" w:eastAsia="zh-CN"/>
                    </w:rPr>
                    <w:t>181</w:t>
                  </w:r>
                  <w:r>
                    <w:rPr>
                      <w:rFonts w:hint="eastAsia" w:ascii="Times New Roman" w:hAnsi="Times New Roman"/>
                      <w:color w:val="FF0000"/>
                      <w:sz w:val="21"/>
                    </w:rPr>
                    <w:t>t/a）</w:t>
                  </w:r>
                  <w:r>
                    <w:rPr>
                      <w:rFonts w:hint="eastAsia" w:ascii="Times New Roman" w:hAnsi="Times New Roman"/>
                      <w:color w:val="auto"/>
                      <w:sz w:val="21"/>
                    </w:rPr>
                    <w:t>废气污染物总量在涟水县内平衡。</w:t>
                  </w:r>
                </w:p>
                <w:p w14:paraId="200F7ECA">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废水：废水总量为</w:t>
                  </w:r>
                  <w:r>
                    <w:rPr>
                      <w:rFonts w:hint="eastAsia" w:ascii="Times New Roman" w:hAnsi="Times New Roman"/>
                      <w:color w:val="auto"/>
                      <w:sz w:val="21"/>
                      <w:lang w:val="en-US" w:eastAsia="zh-CN"/>
                    </w:rPr>
                    <w:t>192</w:t>
                  </w:r>
                  <w:r>
                    <w:rPr>
                      <w:rFonts w:hint="eastAsia" w:ascii="Times New Roman" w:hAnsi="Times New Roman"/>
                      <w:color w:val="auto"/>
                      <w:sz w:val="21"/>
                    </w:rPr>
                    <w:t>t/a，废水总量控制因子为：COD、NH</w:t>
                  </w:r>
                  <w:r>
                    <w:rPr>
                      <w:rFonts w:hint="eastAsia" w:ascii="Times New Roman" w:hAnsi="Times New Roman"/>
                      <w:color w:val="auto"/>
                      <w:sz w:val="21"/>
                      <w:vertAlign w:val="subscript"/>
                    </w:rPr>
                    <w:t>3</w:t>
                  </w:r>
                  <w:r>
                    <w:rPr>
                      <w:rFonts w:hint="eastAsia" w:ascii="Times New Roman" w:hAnsi="Times New Roman"/>
                      <w:color w:val="auto"/>
                      <w:sz w:val="21"/>
                    </w:rPr>
                    <w:t>-N、TP和TN，废水接管量为：COD0.0</w:t>
                  </w:r>
                  <w:r>
                    <w:rPr>
                      <w:rFonts w:hint="eastAsia" w:ascii="Times New Roman" w:hAnsi="Times New Roman"/>
                      <w:color w:val="auto"/>
                      <w:sz w:val="21"/>
                      <w:lang w:val="en-US" w:eastAsia="zh-CN"/>
                    </w:rPr>
                    <w:t>4</w:t>
                  </w:r>
                  <w:r>
                    <w:rPr>
                      <w:rFonts w:hint="eastAsia" w:ascii="Times New Roman" w:hAnsi="Times New Roman"/>
                      <w:color w:val="auto"/>
                      <w:sz w:val="21"/>
                    </w:rPr>
                    <w:t>8t/a、NH</w:t>
                  </w:r>
                  <w:r>
                    <w:rPr>
                      <w:rFonts w:hint="eastAsia" w:ascii="Times New Roman" w:hAnsi="Times New Roman"/>
                      <w:color w:val="auto"/>
                      <w:sz w:val="21"/>
                      <w:vertAlign w:val="subscript"/>
                    </w:rPr>
                    <w:t>3</w:t>
                  </w:r>
                  <w:r>
                    <w:rPr>
                      <w:rFonts w:hint="eastAsia" w:ascii="Times New Roman" w:hAnsi="Times New Roman"/>
                      <w:color w:val="auto"/>
                      <w:sz w:val="21"/>
                    </w:rPr>
                    <w:t>-N0.0</w:t>
                  </w:r>
                  <w:r>
                    <w:rPr>
                      <w:rFonts w:hint="eastAsia" w:ascii="Times New Roman" w:hAnsi="Times New Roman"/>
                      <w:color w:val="auto"/>
                      <w:sz w:val="21"/>
                      <w:lang w:val="en-US" w:eastAsia="zh-CN"/>
                    </w:rPr>
                    <w:t>048</w:t>
                  </w:r>
                  <w:r>
                    <w:rPr>
                      <w:rFonts w:hint="eastAsia" w:ascii="Times New Roman" w:hAnsi="Times New Roman"/>
                      <w:color w:val="auto"/>
                      <w:sz w:val="21"/>
                    </w:rPr>
                    <w:t>t/a、TN0.00</w:t>
                  </w:r>
                  <w:r>
                    <w:rPr>
                      <w:rFonts w:hint="eastAsia" w:ascii="Times New Roman" w:hAnsi="Times New Roman"/>
                      <w:color w:val="auto"/>
                      <w:sz w:val="21"/>
                      <w:lang w:val="en-US" w:eastAsia="zh-CN"/>
                    </w:rPr>
                    <w:t>67</w:t>
                  </w:r>
                  <w:r>
                    <w:rPr>
                      <w:rFonts w:hint="eastAsia" w:ascii="Times New Roman" w:hAnsi="Times New Roman"/>
                      <w:color w:val="auto"/>
                      <w:sz w:val="21"/>
                    </w:rPr>
                    <w:t>t/a、TP0.000</w:t>
                  </w:r>
                  <w:r>
                    <w:rPr>
                      <w:rFonts w:hint="eastAsia" w:ascii="Times New Roman" w:hAnsi="Times New Roman"/>
                      <w:color w:val="auto"/>
                      <w:sz w:val="21"/>
                      <w:lang w:val="en-US" w:eastAsia="zh-CN"/>
                    </w:rPr>
                    <w:t>8</w:t>
                  </w:r>
                  <w:r>
                    <w:rPr>
                      <w:rFonts w:hint="eastAsia" w:ascii="Times New Roman" w:hAnsi="Times New Roman"/>
                      <w:color w:val="auto"/>
                      <w:sz w:val="21"/>
                    </w:rPr>
                    <w:t>t/a；废水环境排放量为：COD0.00</w:t>
                  </w:r>
                  <w:r>
                    <w:rPr>
                      <w:rFonts w:hint="eastAsia" w:ascii="Times New Roman" w:hAnsi="Times New Roman"/>
                      <w:color w:val="auto"/>
                      <w:sz w:val="21"/>
                      <w:lang w:val="en-US" w:eastAsia="zh-CN"/>
                    </w:rPr>
                    <w:t>96</w:t>
                  </w:r>
                  <w:r>
                    <w:rPr>
                      <w:rFonts w:hint="eastAsia" w:ascii="Times New Roman" w:hAnsi="Times New Roman"/>
                      <w:color w:val="auto"/>
                      <w:sz w:val="21"/>
                    </w:rPr>
                    <w:t>t/a、NH</w:t>
                  </w:r>
                  <w:r>
                    <w:rPr>
                      <w:rFonts w:hint="eastAsia" w:ascii="Times New Roman" w:hAnsi="Times New Roman"/>
                      <w:color w:val="auto"/>
                      <w:sz w:val="21"/>
                      <w:vertAlign w:val="subscript"/>
                    </w:rPr>
                    <w:t>3</w:t>
                  </w:r>
                  <w:r>
                    <w:rPr>
                      <w:rFonts w:hint="eastAsia" w:ascii="Times New Roman" w:hAnsi="Times New Roman"/>
                      <w:color w:val="auto"/>
                      <w:sz w:val="21"/>
                    </w:rPr>
                    <w:t>-N0.00</w:t>
                  </w:r>
                  <w:r>
                    <w:rPr>
                      <w:rFonts w:hint="eastAsia" w:ascii="Times New Roman" w:hAnsi="Times New Roman"/>
                      <w:color w:val="auto"/>
                      <w:sz w:val="21"/>
                      <w:lang w:val="en-US" w:eastAsia="zh-CN"/>
                    </w:rPr>
                    <w:t>1</w:t>
                  </w:r>
                  <w:r>
                    <w:rPr>
                      <w:rFonts w:hint="eastAsia" w:ascii="Times New Roman" w:hAnsi="Times New Roman"/>
                      <w:color w:val="auto"/>
                      <w:sz w:val="21"/>
                    </w:rPr>
                    <w:t>t/a、TN0.00</w:t>
                  </w:r>
                  <w:r>
                    <w:rPr>
                      <w:rFonts w:hint="eastAsia" w:ascii="Times New Roman" w:hAnsi="Times New Roman"/>
                      <w:color w:val="auto"/>
                      <w:sz w:val="21"/>
                      <w:lang w:val="en-US" w:eastAsia="zh-CN"/>
                    </w:rPr>
                    <w:t>29</w:t>
                  </w:r>
                  <w:r>
                    <w:rPr>
                      <w:rFonts w:hint="eastAsia" w:ascii="Times New Roman" w:hAnsi="Times New Roman"/>
                      <w:color w:val="auto"/>
                      <w:sz w:val="21"/>
                    </w:rPr>
                    <w:t>t/a、TP0.0001t/a。废水在涟水经济开发区西区污水处理厂内平衡。</w:t>
                  </w:r>
                </w:p>
                <w:p w14:paraId="1E778830">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固废：本项目的固体废物全部合理处置，可以实现零排放。</w:t>
                  </w:r>
                </w:p>
              </w:tc>
              <w:tc>
                <w:tcPr>
                  <w:tcW w:w="455" w:type="pct"/>
                  <w:noWrap w:val="0"/>
                  <w:vAlign w:val="center"/>
                </w:tcPr>
                <w:p w14:paraId="531B4C5F">
                  <w:pPr>
                    <w:pStyle w:val="16"/>
                    <w:spacing w:before="0" w:beforeAutospacing="0" w:after="0" w:afterAutospacing="0"/>
                    <w:jc w:val="center"/>
                    <w:outlineLvl w:val="0"/>
                    <w:rPr>
                      <w:rFonts w:hint="eastAsia" w:ascii="Times New Roman" w:hAnsi="Times New Roman"/>
                      <w:color w:val="auto"/>
                      <w:sz w:val="21"/>
                    </w:rPr>
                  </w:pPr>
                </w:p>
                <w:p w14:paraId="54A13833">
                  <w:pPr>
                    <w:pStyle w:val="16"/>
                    <w:spacing w:before="0" w:beforeAutospacing="0" w:after="0" w:afterAutospacing="0"/>
                    <w:jc w:val="center"/>
                    <w:outlineLvl w:val="0"/>
                    <w:rPr>
                      <w:rFonts w:hint="eastAsia" w:ascii="Times New Roman" w:hAnsi="Times New Roman"/>
                      <w:color w:val="auto"/>
                      <w:sz w:val="21"/>
                    </w:rPr>
                  </w:pPr>
                </w:p>
                <w:p w14:paraId="46158970">
                  <w:pPr>
                    <w:pStyle w:val="16"/>
                    <w:spacing w:before="0" w:beforeAutospacing="0" w:after="0" w:afterAutospacing="0"/>
                    <w:jc w:val="center"/>
                    <w:outlineLvl w:val="0"/>
                    <w:rPr>
                      <w:rFonts w:hint="eastAsia" w:ascii="Times New Roman" w:hAnsi="Times New Roman"/>
                      <w:color w:val="auto"/>
                      <w:sz w:val="21"/>
                    </w:rPr>
                  </w:pPr>
                </w:p>
                <w:p w14:paraId="7AC2305D">
                  <w:pPr>
                    <w:pStyle w:val="16"/>
                    <w:spacing w:before="0" w:beforeAutospacing="0" w:after="0" w:afterAutospacing="0"/>
                    <w:jc w:val="center"/>
                    <w:outlineLvl w:val="0"/>
                    <w:rPr>
                      <w:rFonts w:hint="eastAsia" w:ascii="Times New Roman" w:hAnsi="Times New Roman"/>
                      <w:color w:val="auto"/>
                      <w:sz w:val="21"/>
                    </w:rPr>
                  </w:pPr>
                </w:p>
                <w:p w14:paraId="5ED93C85">
                  <w:pPr>
                    <w:pStyle w:val="16"/>
                    <w:spacing w:before="0" w:beforeAutospacing="0" w:after="0" w:afterAutospacing="0"/>
                    <w:jc w:val="center"/>
                    <w:outlineLvl w:val="0"/>
                    <w:rPr>
                      <w:rFonts w:hint="eastAsia" w:ascii="Times New Roman" w:hAnsi="Times New Roman"/>
                      <w:color w:val="auto"/>
                      <w:sz w:val="21"/>
                    </w:rPr>
                  </w:pPr>
                </w:p>
                <w:p w14:paraId="6ECCF479">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407C8E8C">
                  <w:pPr>
                    <w:pStyle w:val="16"/>
                    <w:spacing w:before="0" w:beforeAutospacing="0" w:after="0" w:afterAutospacing="0"/>
                    <w:jc w:val="center"/>
                    <w:outlineLvl w:val="0"/>
                    <w:rPr>
                      <w:rFonts w:ascii="Times New Roman" w:hAnsi="Times New Roman"/>
                      <w:color w:val="auto"/>
                      <w:sz w:val="21"/>
                    </w:rPr>
                  </w:pPr>
                </w:p>
              </w:tc>
            </w:tr>
            <w:tr w14:paraId="2CF21E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0096BCAC">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szCs w:val="18"/>
                    </w:rPr>
                    <w:t>卫生防护距离设置（以设施或厂界设置，敏感保护目标情况等）</w:t>
                  </w:r>
                </w:p>
              </w:tc>
              <w:tc>
                <w:tcPr>
                  <w:tcW w:w="3589" w:type="pct"/>
                  <w:gridSpan w:val="4"/>
                  <w:noWrap w:val="0"/>
                  <w:vAlign w:val="center"/>
                </w:tcPr>
                <w:p w14:paraId="43362D1A">
                  <w:pPr>
                    <w:pStyle w:val="16"/>
                    <w:spacing w:before="0" w:beforeAutospacing="0" w:after="0" w:afterAutospacing="0"/>
                    <w:jc w:val="center"/>
                    <w:outlineLvl w:val="0"/>
                    <w:rPr>
                      <w:rFonts w:hint="eastAsia" w:ascii="Times New Roman" w:hAnsi="Times New Roman"/>
                      <w:color w:val="auto"/>
                      <w:sz w:val="21"/>
                    </w:rPr>
                  </w:pPr>
                </w:p>
                <w:p w14:paraId="7B3AB9E9">
                  <w:pPr>
                    <w:pStyle w:val="16"/>
                    <w:spacing w:before="0" w:beforeAutospacing="0" w:after="0" w:afterAutospacing="0"/>
                    <w:jc w:val="center"/>
                    <w:outlineLvl w:val="0"/>
                    <w:rPr>
                      <w:rFonts w:hint="eastAsia" w:ascii="Times New Roman" w:hAnsi="Times New Roman"/>
                      <w:color w:val="auto"/>
                      <w:sz w:val="21"/>
                    </w:rPr>
                  </w:pPr>
                </w:p>
                <w:p w14:paraId="39C38986">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本项目</w:t>
                  </w:r>
                  <w:r>
                    <w:rPr>
                      <w:rFonts w:hint="eastAsia" w:ascii="Times New Roman" w:hAnsi="Times New Roman"/>
                      <w:color w:val="auto"/>
                      <w:sz w:val="21"/>
                      <w:lang w:val="en-US" w:eastAsia="zh-CN"/>
                    </w:rPr>
                    <w:t>以生产</w:t>
                  </w:r>
                  <w:r>
                    <w:rPr>
                      <w:rFonts w:hint="eastAsia" w:ascii="Times New Roman" w:hAnsi="Times New Roman"/>
                      <w:color w:val="auto"/>
                      <w:sz w:val="21"/>
                    </w:rPr>
                    <w:t>厂房边界为起点设置</w:t>
                  </w:r>
                  <w:r>
                    <w:rPr>
                      <w:rFonts w:hint="eastAsia" w:ascii="Times New Roman" w:hAnsi="Times New Roman"/>
                      <w:color w:val="auto"/>
                      <w:sz w:val="21"/>
                      <w:lang w:val="en-US" w:eastAsia="zh-CN"/>
                    </w:rPr>
                    <w:t>50</w:t>
                  </w:r>
                  <w:r>
                    <w:rPr>
                      <w:rFonts w:hint="eastAsia" w:ascii="Times New Roman" w:hAnsi="Times New Roman"/>
                      <w:color w:val="auto"/>
                      <w:sz w:val="21"/>
                    </w:rPr>
                    <w:t>m卫生防护距离，卫生防护距离内无环境敏感目标。</w:t>
                  </w:r>
                </w:p>
              </w:tc>
              <w:tc>
                <w:tcPr>
                  <w:tcW w:w="455" w:type="pct"/>
                  <w:noWrap w:val="0"/>
                  <w:vAlign w:val="center"/>
                </w:tcPr>
                <w:p w14:paraId="7E3C02CC">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57301DD3">
                  <w:pPr>
                    <w:pStyle w:val="16"/>
                    <w:spacing w:before="0" w:beforeAutospacing="0" w:after="0" w:afterAutospacing="0"/>
                    <w:jc w:val="center"/>
                    <w:outlineLvl w:val="0"/>
                    <w:rPr>
                      <w:rFonts w:ascii="Times New Roman" w:hAnsi="Times New Roman"/>
                      <w:color w:val="auto"/>
                      <w:sz w:val="21"/>
                    </w:rPr>
                  </w:pPr>
                </w:p>
              </w:tc>
            </w:tr>
            <w:tr w14:paraId="214E99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15" w:type="pct"/>
                  <w:gridSpan w:val="5"/>
                  <w:noWrap w:val="0"/>
                  <w:vAlign w:val="center"/>
                </w:tcPr>
                <w:p w14:paraId="2E9F6B92">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rPr>
                    <w:t>合计</w:t>
                  </w:r>
                </w:p>
              </w:tc>
              <w:tc>
                <w:tcPr>
                  <w:tcW w:w="455" w:type="pct"/>
                  <w:noWrap w:val="0"/>
                  <w:vAlign w:val="center"/>
                </w:tcPr>
                <w:p w14:paraId="27291C21">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20</w:t>
                  </w:r>
                </w:p>
              </w:tc>
              <w:tc>
                <w:tcPr>
                  <w:tcW w:w="229" w:type="pct"/>
                  <w:vMerge w:val="continue"/>
                  <w:noWrap w:val="0"/>
                  <w:vAlign w:val="center"/>
                </w:tcPr>
                <w:p w14:paraId="1E7FFEEA">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bl>
          <w:p w14:paraId="3D926E30">
            <w:pPr>
              <w:pStyle w:val="16"/>
              <w:spacing w:before="0" w:beforeAutospacing="0" w:after="0" w:afterAutospacing="0"/>
              <w:jc w:val="both"/>
              <w:outlineLvl w:val="0"/>
              <w:rPr>
                <w:rFonts w:cs="宋体"/>
                <w:snapToGrid w:val="0"/>
                <w:color w:val="auto"/>
                <w:sz w:val="21"/>
                <w:szCs w:val="21"/>
              </w:rPr>
            </w:pPr>
          </w:p>
        </w:tc>
      </w:tr>
    </w:tbl>
    <w:p w14:paraId="20C89977">
      <w:pPr>
        <w:adjustRightInd w:val="0"/>
        <w:snapToGrid w:val="0"/>
        <w:spacing w:line="360" w:lineRule="auto"/>
        <w:rPr>
          <w:rFonts w:hint="eastAsia" w:ascii="宋体" w:cs="宋体"/>
          <w:b/>
          <w:color w:val="auto"/>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26A934FA">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0" w:name="_Hlk54167917"/>
      <w:r>
        <w:rPr>
          <w:rFonts w:hint="eastAsia" w:ascii="黑体" w:hAnsi="黑体" w:eastAsia="黑体"/>
          <w:snapToGrid w:val="0"/>
          <w:color w:val="auto"/>
          <w:sz w:val="30"/>
          <w:szCs w:val="30"/>
        </w:rPr>
        <w:t>环境保护措施监督检查清单</w:t>
      </w:r>
      <w:bookmarkEnd w:id="0"/>
    </w:p>
    <w:tbl>
      <w:tblPr>
        <w:tblStyle w:val="22"/>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00"/>
        <w:gridCol w:w="1740"/>
        <w:gridCol w:w="1852"/>
        <w:gridCol w:w="2017"/>
      </w:tblGrid>
      <w:tr w14:paraId="3B3D1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6674399C">
            <w:pPr>
              <w:adjustRightInd w:val="0"/>
              <w:snapToGrid w:val="0"/>
              <w:ind w:firstLine="840"/>
              <w:jc w:val="center"/>
              <w:rPr>
                <w:rFonts w:cs="宋体"/>
                <w:color w:val="auto"/>
                <w:szCs w:val="21"/>
              </w:rPr>
            </w:pPr>
            <w:r>
              <w:rPr>
                <w:rFonts w:hint="eastAsia" w:cs="宋体"/>
                <w:color w:val="auto"/>
                <w:szCs w:val="21"/>
              </w:rPr>
              <w:t>内容</w:t>
            </w:r>
          </w:p>
          <w:p w14:paraId="60015D56">
            <w:pPr>
              <w:adjustRightInd w:val="0"/>
              <w:snapToGrid w:val="0"/>
              <w:jc w:val="center"/>
              <w:rPr>
                <w:rFonts w:hint="eastAsia" w:eastAsia="宋体" w:cs="宋体"/>
                <w:color w:val="auto"/>
                <w:szCs w:val="21"/>
                <w:lang w:eastAsia="zh-CN"/>
              </w:rPr>
            </w:pPr>
            <w:r>
              <w:rPr>
                <w:rFonts w:hint="eastAsia" w:cs="宋体"/>
                <w:color w:val="auto"/>
                <w:szCs w:val="21"/>
              </w:rPr>
              <w:t>要素</w:t>
            </w:r>
          </w:p>
        </w:tc>
        <w:tc>
          <w:tcPr>
            <w:tcW w:w="1500" w:type="dxa"/>
            <w:noWrap w:val="0"/>
            <w:vAlign w:val="center"/>
          </w:tcPr>
          <w:p w14:paraId="43C45353">
            <w:pPr>
              <w:adjustRightInd w:val="0"/>
              <w:snapToGrid w:val="0"/>
              <w:jc w:val="center"/>
              <w:rPr>
                <w:rFonts w:cs="宋体"/>
                <w:color w:val="auto"/>
                <w:szCs w:val="21"/>
              </w:rPr>
            </w:pPr>
            <w:r>
              <w:rPr>
                <w:rFonts w:hint="eastAsia" w:cs="宋体"/>
                <w:color w:val="auto"/>
                <w:szCs w:val="21"/>
              </w:rPr>
              <w:t>排放口</w:t>
            </w:r>
            <w:r>
              <w:rPr>
                <w:rFonts w:hint="eastAsia" w:cs="宋体"/>
                <w:color w:val="auto"/>
                <w:szCs w:val="21"/>
                <w:lang w:eastAsia="zh-CN"/>
              </w:rPr>
              <w:t>（</w:t>
            </w:r>
            <w:r>
              <w:rPr>
                <w:rFonts w:hint="eastAsia" w:cs="宋体"/>
                <w:color w:val="auto"/>
                <w:szCs w:val="21"/>
              </w:rPr>
              <w:t>编号、</w:t>
            </w:r>
          </w:p>
          <w:p w14:paraId="05DE372B">
            <w:pPr>
              <w:adjustRightInd w:val="0"/>
              <w:snapToGrid w:val="0"/>
              <w:jc w:val="center"/>
              <w:rPr>
                <w:rFonts w:cs="宋体"/>
                <w:color w:val="auto"/>
                <w:szCs w:val="21"/>
              </w:rPr>
            </w:pPr>
            <w:r>
              <w:rPr>
                <w:rFonts w:hint="eastAsia" w:cs="宋体"/>
                <w:color w:val="auto"/>
                <w:szCs w:val="21"/>
              </w:rPr>
              <w:t>名称</w:t>
            </w:r>
            <w:r>
              <w:rPr>
                <w:rFonts w:hint="eastAsia" w:cs="宋体"/>
                <w:color w:val="auto"/>
                <w:szCs w:val="21"/>
                <w:lang w:eastAsia="zh-CN"/>
              </w:rPr>
              <w:t>）</w:t>
            </w:r>
            <w:r>
              <w:rPr>
                <w:rFonts w:hint="eastAsia" w:cs="宋体"/>
                <w:color w:val="auto"/>
                <w:szCs w:val="21"/>
              </w:rPr>
              <w:t>/污染源</w:t>
            </w:r>
          </w:p>
        </w:tc>
        <w:tc>
          <w:tcPr>
            <w:tcW w:w="1740" w:type="dxa"/>
            <w:noWrap w:val="0"/>
            <w:vAlign w:val="center"/>
          </w:tcPr>
          <w:p w14:paraId="02D87290">
            <w:pPr>
              <w:adjustRightInd w:val="0"/>
              <w:snapToGrid w:val="0"/>
              <w:jc w:val="center"/>
              <w:rPr>
                <w:rFonts w:cs="宋体"/>
                <w:color w:val="auto"/>
                <w:szCs w:val="21"/>
              </w:rPr>
            </w:pPr>
            <w:r>
              <w:rPr>
                <w:rFonts w:hint="eastAsia" w:cs="宋体"/>
                <w:color w:val="auto"/>
                <w:szCs w:val="21"/>
              </w:rPr>
              <w:t>污染物项目</w:t>
            </w:r>
          </w:p>
        </w:tc>
        <w:tc>
          <w:tcPr>
            <w:tcW w:w="1852" w:type="dxa"/>
            <w:noWrap w:val="0"/>
            <w:vAlign w:val="center"/>
          </w:tcPr>
          <w:p w14:paraId="3066D156">
            <w:pPr>
              <w:adjustRightInd w:val="0"/>
              <w:snapToGrid w:val="0"/>
              <w:jc w:val="center"/>
              <w:rPr>
                <w:rFonts w:cs="宋体"/>
                <w:color w:val="auto"/>
                <w:szCs w:val="21"/>
              </w:rPr>
            </w:pPr>
            <w:r>
              <w:rPr>
                <w:rFonts w:hint="eastAsia" w:cs="宋体"/>
                <w:color w:val="auto"/>
                <w:szCs w:val="21"/>
              </w:rPr>
              <w:t>环境保护措施</w:t>
            </w:r>
          </w:p>
        </w:tc>
        <w:tc>
          <w:tcPr>
            <w:tcW w:w="2017" w:type="dxa"/>
            <w:noWrap w:val="0"/>
            <w:vAlign w:val="center"/>
          </w:tcPr>
          <w:p w14:paraId="3282BE3C">
            <w:pPr>
              <w:adjustRightInd w:val="0"/>
              <w:snapToGrid w:val="0"/>
              <w:jc w:val="center"/>
              <w:rPr>
                <w:rFonts w:cs="宋体"/>
                <w:color w:val="auto"/>
                <w:szCs w:val="21"/>
              </w:rPr>
            </w:pPr>
            <w:r>
              <w:rPr>
                <w:rFonts w:hint="eastAsia" w:cs="宋体"/>
                <w:color w:val="auto"/>
                <w:szCs w:val="21"/>
              </w:rPr>
              <w:t>执行标准</w:t>
            </w:r>
          </w:p>
        </w:tc>
      </w:tr>
      <w:tr w14:paraId="21182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4420D1D9">
            <w:pPr>
              <w:adjustRightInd w:val="0"/>
              <w:snapToGrid w:val="0"/>
              <w:jc w:val="center"/>
              <w:rPr>
                <w:rFonts w:cs="宋体"/>
                <w:color w:val="auto"/>
                <w:szCs w:val="21"/>
              </w:rPr>
            </w:pPr>
            <w:r>
              <w:rPr>
                <w:rFonts w:hint="eastAsia" w:cs="宋体"/>
                <w:color w:val="auto"/>
                <w:szCs w:val="21"/>
              </w:rPr>
              <w:t>大气环境</w:t>
            </w:r>
          </w:p>
        </w:tc>
        <w:tc>
          <w:tcPr>
            <w:tcW w:w="1500" w:type="dxa"/>
            <w:noWrap w:val="0"/>
            <w:vAlign w:val="center"/>
          </w:tcPr>
          <w:p w14:paraId="52544C3B">
            <w:pPr>
              <w:adjustRightInd w:val="0"/>
              <w:snapToGrid w:val="0"/>
              <w:jc w:val="center"/>
              <w:rPr>
                <w:rFonts w:hint="default" w:eastAsia="宋体" w:cs="宋体"/>
                <w:color w:val="auto"/>
                <w:kern w:val="2"/>
                <w:sz w:val="21"/>
                <w:szCs w:val="21"/>
                <w:lang w:val="en-US" w:eastAsia="zh-CN" w:bidi="ar-SA"/>
              </w:rPr>
            </w:pPr>
            <w:r>
              <w:rPr>
                <w:rFonts w:hint="eastAsia" w:cs="宋体"/>
                <w:color w:val="auto"/>
                <w:szCs w:val="21"/>
              </w:rPr>
              <w:t>DA0</w:t>
            </w:r>
            <w:r>
              <w:rPr>
                <w:rFonts w:hint="eastAsia" w:cs="宋体"/>
                <w:color w:val="auto"/>
                <w:szCs w:val="21"/>
                <w:lang w:val="en-US" w:eastAsia="zh-CN"/>
              </w:rPr>
              <w:t>01</w:t>
            </w:r>
          </w:p>
        </w:tc>
        <w:tc>
          <w:tcPr>
            <w:tcW w:w="1740" w:type="dxa"/>
            <w:noWrap w:val="0"/>
            <w:vAlign w:val="center"/>
          </w:tcPr>
          <w:p w14:paraId="7E6D682A">
            <w:pPr>
              <w:adjustRightInd w:val="0"/>
              <w:snapToGrid w:val="0"/>
              <w:jc w:val="center"/>
              <w:rPr>
                <w:rFonts w:hint="default"/>
                <w:color w:val="auto"/>
                <w:szCs w:val="21"/>
                <w:lang w:val="en-US" w:eastAsia="zh-CN"/>
              </w:rPr>
            </w:pPr>
            <w:r>
              <w:rPr>
                <w:rFonts w:hint="eastAsia"/>
                <w:color w:val="auto"/>
                <w:szCs w:val="21"/>
                <w:lang w:val="en-US" w:eastAsia="zh-CN"/>
              </w:rPr>
              <w:t>非甲烷总烃、苯乙烯、苯系物、臭气浓度</w:t>
            </w:r>
          </w:p>
        </w:tc>
        <w:tc>
          <w:tcPr>
            <w:tcW w:w="1852" w:type="dxa"/>
            <w:noWrap w:val="0"/>
            <w:vAlign w:val="center"/>
          </w:tcPr>
          <w:p w14:paraId="7ED68311">
            <w:pPr>
              <w:adjustRightInd w:val="0"/>
              <w:snapToGrid w:val="0"/>
              <w:jc w:val="center"/>
              <w:rPr>
                <w:rFonts w:hint="eastAsia"/>
                <w:color w:val="auto"/>
                <w:szCs w:val="21"/>
                <w:lang w:val="en-US" w:eastAsia="zh-CN"/>
              </w:rPr>
            </w:pPr>
            <w:r>
              <w:rPr>
                <w:rFonts w:hint="eastAsia"/>
                <w:color w:val="auto"/>
                <w:szCs w:val="21"/>
                <w:lang w:val="en-US" w:eastAsia="zh-CN"/>
              </w:rPr>
              <w:t>集气罩+二级活性炭吸附装置（TA001）+15米高排气筒（DA001）排放</w:t>
            </w:r>
          </w:p>
        </w:tc>
        <w:tc>
          <w:tcPr>
            <w:tcW w:w="2017" w:type="dxa"/>
            <w:noWrap w:val="0"/>
            <w:vAlign w:val="center"/>
          </w:tcPr>
          <w:p w14:paraId="210BE9FF">
            <w:pPr>
              <w:adjustRightInd w:val="0"/>
              <w:snapToGrid w:val="0"/>
              <w:jc w:val="center"/>
              <w:rPr>
                <w:rFonts w:hint="eastAsia"/>
                <w:color w:val="auto"/>
                <w:szCs w:val="21"/>
                <w:lang w:val="en-US" w:eastAsia="zh-CN"/>
              </w:rPr>
            </w:pPr>
            <w:r>
              <w:rPr>
                <w:rFonts w:hint="eastAsia" w:ascii="Times New Roman" w:hAnsi="Times New Roman"/>
                <w:color w:val="auto"/>
                <w:sz w:val="21"/>
              </w:rPr>
              <w:t>《合成树脂工业污染物排放标准》（GB31572-2015，含2024年修改单）</w:t>
            </w:r>
            <w:r>
              <w:rPr>
                <w:rFonts w:hint="eastAsia" w:ascii="Times New Roman" w:hAnsi="Times New Roman"/>
                <w:color w:val="auto"/>
                <w:sz w:val="21"/>
                <w:lang w:eastAsia="zh-CN"/>
              </w:rPr>
              <w:t>、</w:t>
            </w:r>
            <w:r>
              <w:rPr>
                <w:rFonts w:hint="eastAsia" w:ascii="Times New Roman" w:hAnsi="Times New Roman"/>
                <w:color w:val="auto"/>
                <w:sz w:val="21"/>
              </w:rPr>
              <w:t>《大气污染物综合排放标准》（DB32/4041-2021）</w:t>
            </w:r>
            <w:r>
              <w:rPr>
                <w:rFonts w:hint="eastAsia" w:ascii="Times New Roman" w:hAnsi="Times New Roman"/>
                <w:color w:val="auto"/>
                <w:sz w:val="21"/>
                <w:lang w:eastAsia="zh-CN"/>
              </w:rPr>
              <w:t>、</w:t>
            </w:r>
            <w:r>
              <w:rPr>
                <w:rFonts w:hint="eastAsia" w:ascii="Times New Roman" w:hAnsi="Times New Roman"/>
                <w:color w:val="auto"/>
                <w:sz w:val="21"/>
              </w:rPr>
              <w:t>《恶臭污染物排放标准》（GB14554-93）</w:t>
            </w:r>
          </w:p>
        </w:tc>
      </w:tr>
      <w:tr w14:paraId="305C8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4415ECD6">
            <w:pPr>
              <w:adjustRightInd w:val="0"/>
              <w:snapToGrid w:val="0"/>
              <w:jc w:val="center"/>
              <w:rPr>
                <w:rFonts w:hint="eastAsia" w:cs="宋体"/>
                <w:color w:val="auto"/>
                <w:szCs w:val="21"/>
              </w:rPr>
            </w:pPr>
          </w:p>
        </w:tc>
        <w:tc>
          <w:tcPr>
            <w:tcW w:w="1500" w:type="dxa"/>
            <w:noWrap w:val="0"/>
            <w:vAlign w:val="center"/>
          </w:tcPr>
          <w:p w14:paraId="7CBE3FDD">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DA002</w:t>
            </w:r>
          </w:p>
        </w:tc>
        <w:tc>
          <w:tcPr>
            <w:tcW w:w="1740" w:type="dxa"/>
            <w:noWrap w:val="0"/>
            <w:vAlign w:val="center"/>
          </w:tcPr>
          <w:p w14:paraId="35F9115F">
            <w:pPr>
              <w:adjustRightInd w:val="0"/>
              <w:snapToGrid w:val="0"/>
              <w:jc w:val="center"/>
              <w:rPr>
                <w:rFonts w:hint="default"/>
                <w:color w:val="auto"/>
                <w:szCs w:val="21"/>
                <w:lang w:val="en-US" w:eastAsia="zh-CN"/>
              </w:rPr>
            </w:pPr>
            <w:r>
              <w:rPr>
                <w:rFonts w:hint="eastAsia"/>
                <w:color w:val="auto"/>
                <w:szCs w:val="21"/>
                <w:lang w:val="en-US" w:eastAsia="zh-CN"/>
              </w:rPr>
              <w:t>颗粒物</w:t>
            </w:r>
          </w:p>
        </w:tc>
        <w:tc>
          <w:tcPr>
            <w:tcW w:w="1852" w:type="dxa"/>
            <w:noWrap w:val="0"/>
            <w:vAlign w:val="center"/>
          </w:tcPr>
          <w:p w14:paraId="3BD71D99">
            <w:pPr>
              <w:adjustRightInd w:val="0"/>
              <w:snapToGrid w:val="0"/>
              <w:jc w:val="center"/>
              <w:rPr>
                <w:rFonts w:hint="eastAsia"/>
                <w:color w:val="auto"/>
                <w:szCs w:val="21"/>
                <w:lang w:val="en-US" w:eastAsia="zh-CN"/>
              </w:rPr>
            </w:pPr>
            <w:r>
              <w:rPr>
                <w:rFonts w:hint="eastAsia"/>
                <w:color w:val="auto"/>
                <w:szCs w:val="21"/>
                <w:lang w:val="en-US" w:eastAsia="zh-CN"/>
              </w:rPr>
              <w:t>集气罩+布袋除尘器（TA002）+15米高排气筒（DA002）排放</w:t>
            </w:r>
          </w:p>
        </w:tc>
        <w:tc>
          <w:tcPr>
            <w:tcW w:w="2017" w:type="dxa"/>
            <w:noWrap w:val="0"/>
            <w:vAlign w:val="center"/>
          </w:tcPr>
          <w:p w14:paraId="5F31DBD6">
            <w:pPr>
              <w:adjustRightInd w:val="0"/>
              <w:snapToGrid w:val="0"/>
              <w:jc w:val="center"/>
              <w:rPr>
                <w:rFonts w:hint="eastAsia"/>
                <w:color w:val="auto"/>
                <w:szCs w:val="21"/>
                <w:lang w:val="en-US" w:eastAsia="zh-CN"/>
              </w:rPr>
            </w:pPr>
            <w:r>
              <w:rPr>
                <w:rFonts w:hint="eastAsia" w:ascii="Times New Roman" w:hAnsi="Times New Roman"/>
                <w:color w:val="auto"/>
                <w:sz w:val="21"/>
              </w:rPr>
              <w:t>《合成树脂工业污染物排放标准》（GB31572-2015，含2024年修改单）</w:t>
            </w:r>
          </w:p>
        </w:tc>
      </w:tr>
      <w:tr w14:paraId="144EB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32303862">
            <w:pPr>
              <w:adjustRightInd w:val="0"/>
              <w:snapToGrid w:val="0"/>
              <w:jc w:val="center"/>
              <w:rPr>
                <w:rFonts w:hint="eastAsia" w:cs="宋体"/>
                <w:color w:val="auto"/>
                <w:szCs w:val="21"/>
              </w:rPr>
            </w:pPr>
          </w:p>
        </w:tc>
        <w:tc>
          <w:tcPr>
            <w:tcW w:w="1500" w:type="dxa"/>
            <w:noWrap w:val="0"/>
            <w:vAlign w:val="center"/>
          </w:tcPr>
          <w:p w14:paraId="16042C06">
            <w:pPr>
              <w:adjustRightInd w:val="0"/>
              <w:snapToGrid w:val="0"/>
              <w:jc w:val="center"/>
              <w:rPr>
                <w:rFonts w:hint="eastAsia" w:eastAsia="宋体" w:cs="宋体"/>
                <w:color w:val="auto"/>
                <w:szCs w:val="21"/>
                <w:lang w:val="en-US" w:eastAsia="zh-CN"/>
              </w:rPr>
            </w:pPr>
            <w:r>
              <w:rPr>
                <w:rFonts w:hint="eastAsia" w:cs="宋体"/>
                <w:color w:val="auto"/>
                <w:szCs w:val="21"/>
                <w:lang w:val="en-US" w:eastAsia="zh-CN"/>
              </w:rPr>
              <w:t>厂界无组织</w:t>
            </w:r>
          </w:p>
        </w:tc>
        <w:tc>
          <w:tcPr>
            <w:tcW w:w="1740" w:type="dxa"/>
            <w:noWrap w:val="0"/>
            <w:vAlign w:val="center"/>
          </w:tcPr>
          <w:p w14:paraId="086FD164">
            <w:pPr>
              <w:adjustRightInd w:val="0"/>
              <w:snapToGrid w:val="0"/>
              <w:jc w:val="center"/>
              <w:rPr>
                <w:rFonts w:hint="default"/>
                <w:color w:val="auto"/>
                <w:szCs w:val="21"/>
                <w:lang w:val="en-US" w:eastAsia="zh-CN"/>
              </w:rPr>
            </w:pPr>
            <w:r>
              <w:rPr>
                <w:rFonts w:hint="eastAsia"/>
                <w:color w:val="auto"/>
                <w:szCs w:val="21"/>
                <w:lang w:val="en-US" w:eastAsia="zh-CN"/>
              </w:rPr>
              <w:t>非甲烷总烃、苯乙烯、苯系物、颗粒物、臭气浓度</w:t>
            </w:r>
          </w:p>
        </w:tc>
        <w:tc>
          <w:tcPr>
            <w:tcW w:w="1852" w:type="dxa"/>
            <w:noWrap w:val="0"/>
            <w:vAlign w:val="center"/>
          </w:tcPr>
          <w:p w14:paraId="66BB9AD0">
            <w:pPr>
              <w:adjustRightInd w:val="0"/>
              <w:snapToGrid w:val="0"/>
              <w:jc w:val="center"/>
              <w:rPr>
                <w:rFonts w:hint="default"/>
                <w:color w:val="auto"/>
                <w:szCs w:val="21"/>
                <w:lang w:val="en-US" w:eastAsia="zh-CN"/>
              </w:rPr>
            </w:pPr>
            <w:r>
              <w:rPr>
                <w:rFonts w:hint="eastAsia"/>
                <w:color w:val="auto"/>
                <w:szCs w:val="21"/>
                <w:lang w:val="en-US" w:eastAsia="zh-CN"/>
              </w:rPr>
              <w:t>车间生产时封闭、产污点设置集气罩收集</w:t>
            </w:r>
          </w:p>
        </w:tc>
        <w:tc>
          <w:tcPr>
            <w:tcW w:w="2017" w:type="dxa"/>
            <w:noWrap w:val="0"/>
            <w:vAlign w:val="center"/>
          </w:tcPr>
          <w:p w14:paraId="52A46065">
            <w:pPr>
              <w:adjustRightInd w:val="0"/>
              <w:snapToGrid w:val="0"/>
              <w:jc w:val="center"/>
              <w:rPr>
                <w:rFonts w:hint="eastAsia"/>
                <w:color w:val="auto"/>
                <w:szCs w:val="21"/>
                <w:lang w:val="en-US" w:eastAsia="zh-CN"/>
              </w:rPr>
            </w:pPr>
            <w:r>
              <w:rPr>
                <w:rFonts w:hint="eastAsia" w:ascii="Times New Roman" w:hAnsi="Times New Roman"/>
                <w:color w:val="auto"/>
                <w:sz w:val="21"/>
              </w:rPr>
              <w:t>《合成树脂工业污染物排放标准》（GB31572-2015，含2024年修改单）</w:t>
            </w:r>
            <w:r>
              <w:rPr>
                <w:rFonts w:hint="eastAsia" w:ascii="Times New Roman" w:hAnsi="Times New Roman"/>
                <w:color w:val="auto"/>
                <w:sz w:val="21"/>
                <w:lang w:eastAsia="zh-CN"/>
              </w:rPr>
              <w:t>、</w:t>
            </w:r>
            <w:r>
              <w:rPr>
                <w:rFonts w:hint="eastAsia" w:ascii="Times New Roman" w:hAnsi="Times New Roman"/>
                <w:color w:val="auto"/>
                <w:sz w:val="21"/>
              </w:rPr>
              <w:t>《大气污染物综合排放标准》（DB32/4041-2021）</w:t>
            </w:r>
            <w:r>
              <w:rPr>
                <w:rFonts w:hint="eastAsia" w:ascii="Times New Roman" w:hAnsi="Times New Roman"/>
                <w:color w:val="auto"/>
                <w:sz w:val="21"/>
                <w:lang w:eastAsia="zh-CN"/>
              </w:rPr>
              <w:t>、</w:t>
            </w:r>
            <w:r>
              <w:rPr>
                <w:rFonts w:hint="eastAsia" w:ascii="Times New Roman" w:hAnsi="Times New Roman"/>
                <w:color w:val="auto"/>
                <w:sz w:val="21"/>
              </w:rPr>
              <w:t>《恶臭污染物排放标准》（GB14554-93）</w:t>
            </w:r>
          </w:p>
        </w:tc>
      </w:tr>
      <w:tr w14:paraId="1BB50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0B310158">
            <w:pPr>
              <w:adjustRightInd w:val="0"/>
              <w:snapToGrid w:val="0"/>
              <w:jc w:val="center"/>
              <w:rPr>
                <w:rFonts w:cs="宋体"/>
                <w:color w:val="auto"/>
                <w:szCs w:val="21"/>
              </w:rPr>
            </w:pPr>
          </w:p>
        </w:tc>
        <w:tc>
          <w:tcPr>
            <w:tcW w:w="1500" w:type="dxa"/>
            <w:noWrap w:val="0"/>
            <w:vAlign w:val="center"/>
          </w:tcPr>
          <w:p w14:paraId="1B3DFD5B">
            <w:pPr>
              <w:adjustRightInd w:val="0"/>
              <w:snapToGrid w:val="0"/>
              <w:jc w:val="center"/>
              <w:rPr>
                <w:rFonts w:cs="宋体"/>
                <w:color w:val="auto"/>
                <w:szCs w:val="21"/>
              </w:rPr>
            </w:pPr>
            <w:r>
              <w:rPr>
                <w:rFonts w:hint="eastAsia" w:cs="宋体"/>
                <w:color w:val="auto"/>
                <w:szCs w:val="21"/>
              </w:rPr>
              <w:t>厂区内无组织</w:t>
            </w:r>
          </w:p>
        </w:tc>
        <w:tc>
          <w:tcPr>
            <w:tcW w:w="1740" w:type="dxa"/>
            <w:noWrap w:val="0"/>
            <w:vAlign w:val="center"/>
          </w:tcPr>
          <w:p w14:paraId="2E9B624C">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469A36A5">
            <w:pPr>
              <w:adjustRightInd w:val="0"/>
              <w:snapToGrid w:val="0"/>
              <w:jc w:val="center"/>
              <w:rPr>
                <w:rFonts w:hint="eastAsia"/>
                <w:color w:val="auto"/>
                <w:szCs w:val="21"/>
                <w:lang w:val="en-US" w:eastAsia="zh-CN"/>
              </w:rPr>
            </w:pPr>
            <w:r>
              <w:rPr>
                <w:rFonts w:hint="eastAsia"/>
                <w:color w:val="auto"/>
                <w:szCs w:val="21"/>
                <w:lang w:val="en-US" w:eastAsia="zh-CN"/>
              </w:rPr>
              <w:t>车间生产时封闭、产污点设置集气罩收集等</w:t>
            </w:r>
          </w:p>
        </w:tc>
        <w:tc>
          <w:tcPr>
            <w:tcW w:w="2017" w:type="dxa"/>
            <w:noWrap w:val="0"/>
            <w:vAlign w:val="center"/>
          </w:tcPr>
          <w:p w14:paraId="45B42743">
            <w:pPr>
              <w:adjustRightInd w:val="0"/>
              <w:snapToGrid w:val="0"/>
              <w:jc w:val="center"/>
              <w:rPr>
                <w:rFonts w:hint="eastAsia"/>
                <w:color w:val="auto"/>
                <w:szCs w:val="21"/>
                <w:lang w:val="en-US" w:eastAsia="zh-CN"/>
              </w:rPr>
            </w:pPr>
            <w:r>
              <w:rPr>
                <w:rFonts w:hint="eastAsia"/>
                <w:color w:val="auto"/>
                <w:szCs w:val="21"/>
                <w:lang w:val="en-US" w:eastAsia="zh-CN"/>
              </w:rPr>
              <w:t>江苏省地方标准《大气污染物综合排放标准》（DB32/4041-2021）</w:t>
            </w:r>
          </w:p>
        </w:tc>
      </w:tr>
      <w:tr w14:paraId="1695B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08E078F">
            <w:pPr>
              <w:adjustRightInd w:val="0"/>
              <w:snapToGrid w:val="0"/>
              <w:jc w:val="center"/>
              <w:rPr>
                <w:rFonts w:cs="宋体"/>
                <w:color w:val="auto"/>
                <w:szCs w:val="21"/>
              </w:rPr>
            </w:pPr>
            <w:r>
              <w:rPr>
                <w:rFonts w:hint="eastAsia" w:cs="宋体"/>
                <w:color w:val="auto"/>
                <w:szCs w:val="21"/>
              </w:rPr>
              <w:t>地表水环境</w:t>
            </w:r>
          </w:p>
        </w:tc>
        <w:tc>
          <w:tcPr>
            <w:tcW w:w="1500" w:type="dxa"/>
            <w:noWrap w:val="0"/>
            <w:vAlign w:val="center"/>
          </w:tcPr>
          <w:p w14:paraId="6074DE4D">
            <w:pPr>
              <w:adjustRightInd w:val="0"/>
              <w:snapToGrid w:val="0"/>
              <w:jc w:val="center"/>
              <w:rPr>
                <w:rFonts w:hint="eastAsia" w:cs="宋体"/>
                <w:color w:val="auto"/>
                <w:szCs w:val="21"/>
              </w:rPr>
            </w:pPr>
            <w:r>
              <w:rPr>
                <w:rFonts w:hint="eastAsia" w:cs="宋体"/>
                <w:color w:val="auto"/>
                <w:szCs w:val="21"/>
              </w:rPr>
              <w:t>生活污水</w:t>
            </w:r>
          </w:p>
        </w:tc>
        <w:tc>
          <w:tcPr>
            <w:tcW w:w="1740" w:type="dxa"/>
            <w:noWrap w:val="0"/>
            <w:vAlign w:val="center"/>
          </w:tcPr>
          <w:p w14:paraId="3EAB7C51">
            <w:pPr>
              <w:adjustRightInd w:val="0"/>
              <w:snapToGrid w:val="0"/>
              <w:jc w:val="center"/>
              <w:rPr>
                <w:rFonts w:hint="default" w:cs="宋体"/>
                <w:color w:val="auto"/>
                <w:szCs w:val="21"/>
                <w:lang w:val="en-US"/>
              </w:rPr>
            </w:pPr>
            <w:r>
              <w:rPr>
                <w:rFonts w:hint="eastAsia" w:cs="宋体"/>
                <w:color w:val="auto"/>
                <w:szCs w:val="21"/>
              </w:rPr>
              <w:t>COD、SS、NH</w:t>
            </w:r>
            <w:r>
              <w:rPr>
                <w:rFonts w:hint="eastAsia" w:cs="宋体"/>
                <w:color w:val="auto"/>
                <w:szCs w:val="21"/>
                <w:vertAlign w:val="subscript"/>
              </w:rPr>
              <w:t>3</w:t>
            </w:r>
            <w:r>
              <w:rPr>
                <w:rFonts w:hint="eastAsia" w:cs="宋体"/>
                <w:color w:val="auto"/>
                <w:szCs w:val="21"/>
              </w:rPr>
              <w:t>-N、T</w:t>
            </w:r>
            <w:r>
              <w:rPr>
                <w:rFonts w:hint="eastAsia" w:cs="宋体"/>
                <w:color w:val="auto"/>
                <w:szCs w:val="21"/>
                <w:lang w:val="en-US" w:eastAsia="zh-CN"/>
              </w:rPr>
              <w:t>N</w:t>
            </w:r>
            <w:r>
              <w:rPr>
                <w:rFonts w:hint="eastAsia" w:cs="宋体"/>
                <w:color w:val="auto"/>
                <w:szCs w:val="21"/>
              </w:rPr>
              <w:t>、T</w:t>
            </w:r>
            <w:r>
              <w:rPr>
                <w:rFonts w:hint="eastAsia" w:cs="宋体"/>
                <w:color w:val="auto"/>
                <w:szCs w:val="21"/>
                <w:lang w:val="en-US" w:eastAsia="zh-CN"/>
              </w:rPr>
              <w:t>P</w:t>
            </w:r>
          </w:p>
        </w:tc>
        <w:tc>
          <w:tcPr>
            <w:tcW w:w="1852" w:type="dxa"/>
            <w:noWrap w:val="0"/>
            <w:vAlign w:val="center"/>
          </w:tcPr>
          <w:p w14:paraId="61A21F59">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经</w:t>
            </w:r>
            <w:r>
              <w:rPr>
                <w:rFonts w:hint="eastAsia" w:cs="宋体"/>
                <w:color w:val="auto"/>
                <w:szCs w:val="21"/>
              </w:rPr>
              <w:t>化粪池预处理</w:t>
            </w:r>
            <w:r>
              <w:rPr>
                <w:rFonts w:hint="eastAsia" w:cs="宋体"/>
                <w:color w:val="auto"/>
                <w:szCs w:val="21"/>
                <w:lang w:val="en-US" w:eastAsia="zh-CN"/>
              </w:rPr>
              <w:t>后接管至涟水经济开发区西区污水处理厂</w:t>
            </w:r>
          </w:p>
        </w:tc>
        <w:tc>
          <w:tcPr>
            <w:tcW w:w="2017" w:type="dxa"/>
            <w:noWrap w:val="0"/>
            <w:vAlign w:val="center"/>
          </w:tcPr>
          <w:p w14:paraId="5A2AC573">
            <w:pPr>
              <w:adjustRightInd w:val="0"/>
              <w:snapToGrid w:val="0"/>
              <w:jc w:val="center"/>
              <w:rPr>
                <w:rFonts w:hint="default" w:cs="宋体"/>
                <w:color w:val="auto"/>
                <w:szCs w:val="21"/>
                <w:lang w:val="en-US"/>
              </w:rPr>
            </w:pPr>
            <w:r>
              <w:rPr>
                <w:rFonts w:hint="eastAsia" w:ascii="Times New Roman" w:hAnsi="Times New Roman"/>
                <w:color w:val="auto"/>
                <w:sz w:val="21"/>
                <w:lang w:val="en-US" w:eastAsia="zh-CN"/>
              </w:rPr>
              <w:t>达到涟水经济开发区西区污水处理厂</w:t>
            </w:r>
            <w:r>
              <w:rPr>
                <w:rFonts w:hint="eastAsia"/>
                <w:color w:val="auto"/>
                <w:sz w:val="21"/>
                <w:lang w:val="en-US" w:eastAsia="zh-CN"/>
              </w:rPr>
              <w:t>接管标准</w:t>
            </w:r>
          </w:p>
        </w:tc>
      </w:tr>
      <w:tr w14:paraId="7513D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44B99D0D">
            <w:pPr>
              <w:adjustRightInd w:val="0"/>
              <w:snapToGrid w:val="0"/>
              <w:jc w:val="center"/>
              <w:rPr>
                <w:rFonts w:cs="宋体"/>
                <w:color w:val="auto"/>
                <w:szCs w:val="21"/>
              </w:rPr>
            </w:pPr>
            <w:r>
              <w:rPr>
                <w:rFonts w:hint="eastAsia" w:cs="宋体"/>
                <w:color w:val="auto"/>
                <w:szCs w:val="21"/>
              </w:rPr>
              <w:t>声环境</w:t>
            </w:r>
          </w:p>
        </w:tc>
        <w:tc>
          <w:tcPr>
            <w:tcW w:w="1500" w:type="dxa"/>
            <w:noWrap w:val="0"/>
            <w:vAlign w:val="center"/>
          </w:tcPr>
          <w:p w14:paraId="32BB83F0">
            <w:pPr>
              <w:adjustRightInd w:val="0"/>
              <w:snapToGrid w:val="0"/>
              <w:jc w:val="center"/>
              <w:rPr>
                <w:rFonts w:cs="宋体"/>
                <w:color w:val="auto"/>
                <w:szCs w:val="21"/>
              </w:rPr>
            </w:pPr>
            <w:r>
              <w:rPr>
                <w:rFonts w:hint="eastAsia" w:cs="宋体"/>
                <w:color w:val="auto"/>
                <w:szCs w:val="21"/>
              </w:rPr>
              <w:t>设备</w:t>
            </w:r>
          </w:p>
        </w:tc>
        <w:tc>
          <w:tcPr>
            <w:tcW w:w="1740" w:type="dxa"/>
            <w:noWrap w:val="0"/>
            <w:vAlign w:val="center"/>
          </w:tcPr>
          <w:p w14:paraId="1F5D7F45">
            <w:pPr>
              <w:adjustRightInd w:val="0"/>
              <w:snapToGrid w:val="0"/>
              <w:jc w:val="center"/>
              <w:rPr>
                <w:rFonts w:cs="宋体"/>
                <w:color w:val="auto"/>
                <w:szCs w:val="21"/>
              </w:rPr>
            </w:pPr>
            <w:r>
              <w:rPr>
                <w:rFonts w:hint="eastAsia" w:cs="宋体"/>
                <w:color w:val="auto"/>
                <w:szCs w:val="21"/>
              </w:rPr>
              <w:t>等效连续A声级</w:t>
            </w:r>
          </w:p>
        </w:tc>
        <w:tc>
          <w:tcPr>
            <w:tcW w:w="1852" w:type="dxa"/>
            <w:noWrap w:val="0"/>
            <w:vAlign w:val="center"/>
          </w:tcPr>
          <w:p w14:paraId="035BABB9">
            <w:pPr>
              <w:jc w:val="center"/>
              <w:rPr>
                <w:color w:val="auto"/>
                <w:szCs w:val="21"/>
              </w:rPr>
            </w:pPr>
            <w:r>
              <w:rPr>
                <w:rFonts w:hint="eastAsia"/>
                <w:color w:val="auto"/>
                <w:szCs w:val="21"/>
              </w:rPr>
              <w:t>合理布局</w:t>
            </w:r>
          </w:p>
          <w:p w14:paraId="5C9A7537">
            <w:pPr>
              <w:jc w:val="center"/>
              <w:rPr>
                <w:color w:val="auto"/>
                <w:szCs w:val="21"/>
              </w:rPr>
            </w:pPr>
            <w:r>
              <w:rPr>
                <w:rFonts w:hint="eastAsia"/>
                <w:color w:val="auto"/>
                <w:szCs w:val="21"/>
              </w:rPr>
              <w:t>基础减震</w:t>
            </w:r>
          </w:p>
          <w:p w14:paraId="6ECDC616">
            <w:pPr>
              <w:adjustRightInd w:val="0"/>
              <w:snapToGrid w:val="0"/>
              <w:jc w:val="center"/>
              <w:rPr>
                <w:rFonts w:cs="宋体"/>
                <w:color w:val="auto"/>
                <w:szCs w:val="21"/>
              </w:rPr>
            </w:pPr>
            <w:r>
              <w:rPr>
                <w:rFonts w:hint="eastAsia"/>
                <w:color w:val="auto"/>
                <w:szCs w:val="21"/>
              </w:rPr>
              <w:t>墙体隔声</w:t>
            </w:r>
          </w:p>
        </w:tc>
        <w:tc>
          <w:tcPr>
            <w:tcW w:w="2017" w:type="dxa"/>
            <w:noWrap w:val="0"/>
            <w:vAlign w:val="center"/>
          </w:tcPr>
          <w:p w14:paraId="439556CD">
            <w:pPr>
              <w:adjustRightInd w:val="0"/>
              <w:snapToGrid w:val="0"/>
              <w:jc w:val="center"/>
              <w:rPr>
                <w:rFonts w:cs="宋体"/>
                <w:color w:val="auto"/>
                <w:szCs w:val="21"/>
              </w:rPr>
            </w:pPr>
            <w:r>
              <w:rPr>
                <w:color w:val="auto"/>
                <w:szCs w:val="21"/>
              </w:rPr>
              <w:t>《工业企业厂界环境噪声排放标准》（GB12348-2008）</w:t>
            </w:r>
          </w:p>
        </w:tc>
      </w:tr>
      <w:tr w14:paraId="1ED17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6055704D">
            <w:pPr>
              <w:adjustRightInd w:val="0"/>
              <w:snapToGrid w:val="0"/>
              <w:jc w:val="center"/>
              <w:rPr>
                <w:rFonts w:cs="宋体"/>
                <w:color w:val="auto"/>
                <w:szCs w:val="21"/>
              </w:rPr>
            </w:pPr>
            <w:r>
              <w:rPr>
                <w:rFonts w:hint="eastAsia" w:cs="宋体"/>
                <w:color w:val="auto"/>
                <w:szCs w:val="21"/>
              </w:rPr>
              <w:t>电磁辐射</w:t>
            </w:r>
          </w:p>
        </w:tc>
        <w:tc>
          <w:tcPr>
            <w:tcW w:w="1500" w:type="dxa"/>
            <w:noWrap w:val="0"/>
            <w:vAlign w:val="center"/>
          </w:tcPr>
          <w:p w14:paraId="6657B837">
            <w:pPr>
              <w:adjustRightInd w:val="0"/>
              <w:snapToGrid w:val="0"/>
              <w:jc w:val="center"/>
              <w:rPr>
                <w:rFonts w:cs="宋体"/>
                <w:color w:val="auto"/>
                <w:szCs w:val="21"/>
              </w:rPr>
            </w:pPr>
            <w:r>
              <w:rPr>
                <w:rFonts w:hint="eastAsia" w:cs="宋体"/>
                <w:color w:val="auto"/>
                <w:szCs w:val="21"/>
              </w:rPr>
              <w:t>无</w:t>
            </w:r>
          </w:p>
        </w:tc>
        <w:tc>
          <w:tcPr>
            <w:tcW w:w="1740" w:type="dxa"/>
            <w:noWrap w:val="0"/>
            <w:vAlign w:val="center"/>
          </w:tcPr>
          <w:p w14:paraId="5DBE954A">
            <w:pPr>
              <w:adjustRightInd w:val="0"/>
              <w:snapToGrid w:val="0"/>
              <w:jc w:val="center"/>
              <w:rPr>
                <w:rFonts w:cs="宋体"/>
                <w:color w:val="auto"/>
                <w:szCs w:val="21"/>
              </w:rPr>
            </w:pPr>
            <w:r>
              <w:rPr>
                <w:rFonts w:hint="eastAsia" w:cs="宋体"/>
                <w:color w:val="auto"/>
                <w:szCs w:val="21"/>
              </w:rPr>
              <w:t>无</w:t>
            </w:r>
          </w:p>
        </w:tc>
        <w:tc>
          <w:tcPr>
            <w:tcW w:w="1852" w:type="dxa"/>
            <w:noWrap w:val="0"/>
            <w:vAlign w:val="center"/>
          </w:tcPr>
          <w:p w14:paraId="1CC59BB4">
            <w:pPr>
              <w:adjustRightInd w:val="0"/>
              <w:snapToGrid w:val="0"/>
              <w:jc w:val="center"/>
              <w:rPr>
                <w:rFonts w:cs="宋体"/>
                <w:color w:val="auto"/>
                <w:szCs w:val="21"/>
              </w:rPr>
            </w:pPr>
            <w:r>
              <w:rPr>
                <w:rFonts w:hint="eastAsia" w:cs="宋体"/>
                <w:color w:val="auto"/>
                <w:szCs w:val="21"/>
              </w:rPr>
              <w:t>无</w:t>
            </w:r>
          </w:p>
        </w:tc>
        <w:tc>
          <w:tcPr>
            <w:tcW w:w="2017" w:type="dxa"/>
            <w:noWrap w:val="0"/>
            <w:vAlign w:val="center"/>
          </w:tcPr>
          <w:p w14:paraId="0A93747D">
            <w:pPr>
              <w:adjustRightInd w:val="0"/>
              <w:snapToGrid w:val="0"/>
              <w:jc w:val="center"/>
              <w:rPr>
                <w:rFonts w:cs="宋体"/>
                <w:color w:val="auto"/>
                <w:szCs w:val="21"/>
              </w:rPr>
            </w:pPr>
            <w:r>
              <w:rPr>
                <w:rFonts w:hint="eastAsia" w:cs="宋体"/>
                <w:color w:val="auto"/>
                <w:szCs w:val="21"/>
              </w:rPr>
              <w:t>无</w:t>
            </w:r>
          </w:p>
        </w:tc>
      </w:tr>
      <w:tr w14:paraId="1DB0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78" w:type="dxa"/>
            <w:vMerge w:val="restart"/>
            <w:noWrap w:val="0"/>
            <w:vAlign w:val="center"/>
          </w:tcPr>
          <w:p w14:paraId="0D4EE2D1">
            <w:pPr>
              <w:adjustRightInd w:val="0"/>
              <w:snapToGrid w:val="0"/>
              <w:jc w:val="center"/>
              <w:rPr>
                <w:rFonts w:cs="宋体"/>
                <w:color w:val="auto"/>
                <w:szCs w:val="21"/>
              </w:rPr>
            </w:pPr>
            <w:r>
              <w:rPr>
                <w:rFonts w:hint="eastAsia" w:cs="宋体"/>
                <w:color w:val="auto"/>
                <w:szCs w:val="21"/>
              </w:rPr>
              <w:t>固体废物</w:t>
            </w:r>
          </w:p>
        </w:tc>
        <w:tc>
          <w:tcPr>
            <w:tcW w:w="1500" w:type="dxa"/>
            <w:noWrap w:val="0"/>
            <w:vAlign w:val="center"/>
          </w:tcPr>
          <w:p w14:paraId="0702F56C">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eastAsia="宋体" w:cs="Times New Roman"/>
                <w:color w:val="auto"/>
                <w:sz w:val="21"/>
                <w:lang w:val="en-US" w:eastAsia="zh-CN"/>
              </w:rPr>
              <w:t>原辅料</w:t>
            </w:r>
            <w:r>
              <w:rPr>
                <w:rFonts w:hint="eastAsia" w:ascii="Times New Roman" w:hAnsi="Times New Roman" w:eastAsia="宋体" w:cs="Times New Roman"/>
                <w:color w:val="auto"/>
                <w:sz w:val="21"/>
              </w:rPr>
              <w:t>包装</w:t>
            </w:r>
          </w:p>
        </w:tc>
        <w:tc>
          <w:tcPr>
            <w:tcW w:w="1740" w:type="dxa"/>
            <w:noWrap w:val="0"/>
            <w:vAlign w:val="center"/>
          </w:tcPr>
          <w:p w14:paraId="1C9DC2FA">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eastAsia="宋体" w:cs="Times New Roman"/>
                <w:color w:val="auto"/>
                <w:sz w:val="21"/>
                <w:lang w:val="en-US" w:eastAsia="zh-CN"/>
              </w:rPr>
              <w:t>废</w:t>
            </w:r>
            <w:r>
              <w:rPr>
                <w:rFonts w:hint="eastAsia" w:ascii="Times New Roman" w:hAnsi="Times New Roman" w:eastAsia="宋体" w:cs="Times New Roman"/>
                <w:color w:val="auto"/>
                <w:sz w:val="21"/>
              </w:rPr>
              <w:t>包装袋</w:t>
            </w:r>
          </w:p>
        </w:tc>
        <w:tc>
          <w:tcPr>
            <w:tcW w:w="1852" w:type="dxa"/>
            <w:vMerge w:val="restart"/>
            <w:noWrap w:val="0"/>
            <w:vAlign w:val="center"/>
          </w:tcPr>
          <w:p w14:paraId="51C68281">
            <w:pPr>
              <w:pStyle w:val="16"/>
              <w:spacing w:before="0" w:beforeAutospacing="0" w:after="0" w:afterAutospacing="0"/>
              <w:jc w:val="center"/>
              <w:outlineLvl w:val="0"/>
              <w:rPr>
                <w:rFonts w:hint="default" w:eastAsia="宋体" w:cs="宋体"/>
                <w:color w:val="auto"/>
                <w:szCs w:val="21"/>
                <w:lang w:val="en-US" w:eastAsia="zh-CN"/>
              </w:rPr>
            </w:pPr>
            <w:r>
              <w:rPr>
                <w:rFonts w:ascii="Times New Roman" w:hAnsi="Times New Roman"/>
                <w:color w:val="auto"/>
                <w:sz w:val="21"/>
              </w:rPr>
              <w:t>设置1个</w:t>
            </w:r>
            <w:r>
              <w:rPr>
                <w:rFonts w:hint="eastAsia" w:ascii="Times New Roman" w:hAnsi="Times New Roman"/>
                <w:color w:val="auto"/>
                <w:sz w:val="21"/>
                <w:lang w:val="en-US" w:eastAsia="zh-CN"/>
              </w:rPr>
              <w:t>20</w:t>
            </w:r>
            <w:r>
              <w:rPr>
                <w:rFonts w:ascii="Times New Roman" w:hAnsi="Times New Roman"/>
                <w:color w:val="auto"/>
                <w:sz w:val="21"/>
              </w:rPr>
              <w:t>m</w:t>
            </w:r>
            <w:r>
              <w:rPr>
                <w:rFonts w:ascii="Times New Roman" w:hAnsi="Times New Roman"/>
                <w:color w:val="auto"/>
                <w:sz w:val="21"/>
                <w:vertAlign w:val="superscript"/>
              </w:rPr>
              <w:t>2</w:t>
            </w:r>
            <w:r>
              <w:rPr>
                <w:rFonts w:ascii="Times New Roman" w:hAnsi="Times New Roman"/>
                <w:color w:val="auto"/>
                <w:sz w:val="21"/>
              </w:rPr>
              <w:t>一般固废暂存区，废包装袋</w:t>
            </w:r>
            <w:r>
              <w:rPr>
                <w:rFonts w:hint="eastAsia" w:ascii="Times New Roman" w:hAnsi="Times New Roman"/>
                <w:color w:val="auto"/>
                <w:sz w:val="21"/>
                <w:lang w:eastAsia="zh-CN"/>
              </w:rPr>
              <w:t>、</w:t>
            </w:r>
            <w:r>
              <w:rPr>
                <w:rFonts w:hint="eastAsia" w:ascii="Times New Roman" w:hAnsi="Times New Roman"/>
                <w:color w:val="auto"/>
                <w:sz w:val="21"/>
                <w:lang w:val="en-US" w:eastAsia="zh-CN"/>
              </w:rPr>
              <w:t>不合格品、边角料</w:t>
            </w:r>
            <w:r>
              <w:rPr>
                <w:rFonts w:ascii="Times New Roman" w:hAnsi="Times New Roman"/>
                <w:color w:val="auto"/>
                <w:sz w:val="21"/>
              </w:rPr>
              <w:t>外售给废旧资源回收公司</w:t>
            </w:r>
          </w:p>
        </w:tc>
        <w:tc>
          <w:tcPr>
            <w:tcW w:w="2017" w:type="dxa"/>
            <w:vMerge w:val="restart"/>
            <w:noWrap w:val="0"/>
            <w:vAlign w:val="center"/>
          </w:tcPr>
          <w:p w14:paraId="5425C2EA">
            <w:pPr>
              <w:adjustRightInd w:val="0"/>
              <w:snapToGrid w:val="0"/>
              <w:jc w:val="center"/>
              <w:rPr>
                <w:rFonts w:cs="宋体"/>
                <w:color w:val="auto"/>
                <w:szCs w:val="21"/>
              </w:rPr>
            </w:pPr>
            <w:r>
              <w:rPr>
                <w:rFonts w:hint="eastAsia" w:cs="宋体"/>
                <w:color w:val="auto"/>
                <w:szCs w:val="21"/>
              </w:rPr>
              <w:t>《一般工业固体废物贮存和填埋污染控制标准》（GB18599-2020）</w:t>
            </w:r>
          </w:p>
        </w:tc>
      </w:tr>
      <w:tr w14:paraId="5BC34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0B80E174">
            <w:pPr>
              <w:adjustRightInd w:val="0"/>
              <w:snapToGrid w:val="0"/>
              <w:jc w:val="center"/>
              <w:rPr>
                <w:rFonts w:hint="eastAsia" w:cs="宋体"/>
                <w:color w:val="auto"/>
                <w:szCs w:val="21"/>
              </w:rPr>
            </w:pPr>
          </w:p>
        </w:tc>
        <w:tc>
          <w:tcPr>
            <w:tcW w:w="1500" w:type="dxa"/>
            <w:noWrap w:val="0"/>
            <w:vAlign w:val="center"/>
          </w:tcPr>
          <w:p w14:paraId="4DAA22D7">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切割、钻孔</w:t>
            </w:r>
          </w:p>
        </w:tc>
        <w:tc>
          <w:tcPr>
            <w:tcW w:w="1740" w:type="dxa"/>
            <w:noWrap w:val="0"/>
            <w:vAlign w:val="center"/>
          </w:tcPr>
          <w:p w14:paraId="6628043F">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边角料</w:t>
            </w:r>
          </w:p>
        </w:tc>
        <w:tc>
          <w:tcPr>
            <w:tcW w:w="1852" w:type="dxa"/>
            <w:vMerge w:val="continue"/>
            <w:noWrap w:val="0"/>
            <w:vAlign w:val="center"/>
          </w:tcPr>
          <w:p w14:paraId="6368C6CC">
            <w:pPr>
              <w:pStyle w:val="16"/>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2A8F7CEB">
            <w:pPr>
              <w:adjustRightInd w:val="0"/>
              <w:snapToGrid w:val="0"/>
              <w:jc w:val="center"/>
              <w:rPr>
                <w:rFonts w:hint="eastAsia" w:cs="宋体"/>
                <w:color w:val="auto"/>
                <w:szCs w:val="21"/>
              </w:rPr>
            </w:pPr>
          </w:p>
        </w:tc>
      </w:tr>
      <w:tr w14:paraId="021F2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6DEEB3C8">
            <w:pPr>
              <w:adjustRightInd w:val="0"/>
              <w:snapToGrid w:val="0"/>
              <w:jc w:val="center"/>
              <w:rPr>
                <w:rFonts w:hint="eastAsia" w:cs="宋体"/>
                <w:color w:val="auto"/>
                <w:szCs w:val="21"/>
              </w:rPr>
            </w:pPr>
          </w:p>
        </w:tc>
        <w:tc>
          <w:tcPr>
            <w:tcW w:w="1500" w:type="dxa"/>
            <w:noWrap w:val="0"/>
            <w:vAlign w:val="center"/>
          </w:tcPr>
          <w:p w14:paraId="2B9DA4D0">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颗粒物治理</w:t>
            </w:r>
          </w:p>
        </w:tc>
        <w:tc>
          <w:tcPr>
            <w:tcW w:w="1740" w:type="dxa"/>
            <w:noWrap w:val="0"/>
            <w:vAlign w:val="center"/>
          </w:tcPr>
          <w:p w14:paraId="4E02B387">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收集粉尘</w:t>
            </w:r>
          </w:p>
        </w:tc>
        <w:tc>
          <w:tcPr>
            <w:tcW w:w="1852" w:type="dxa"/>
            <w:vMerge w:val="continue"/>
            <w:noWrap w:val="0"/>
            <w:vAlign w:val="center"/>
          </w:tcPr>
          <w:p w14:paraId="71F1A48C">
            <w:pPr>
              <w:pStyle w:val="16"/>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16B05E99">
            <w:pPr>
              <w:adjustRightInd w:val="0"/>
              <w:snapToGrid w:val="0"/>
              <w:jc w:val="center"/>
              <w:rPr>
                <w:rFonts w:hint="eastAsia" w:cs="宋体"/>
                <w:color w:val="auto"/>
                <w:szCs w:val="21"/>
              </w:rPr>
            </w:pPr>
          </w:p>
        </w:tc>
      </w:tr>
      <w:tr w14:paraId="37649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1B7F579A">
            <w:pPr>
              <w:adjustRightInd w:val="0"/>
              <w:snapToGrid w:val="0"/>
              <w:jc w:val="center"/>
              <w:rPr>
                <w:rFonts w:hint="eastAsia" w:cs="宋体"/>
                <w:color w:val="auto"/>
                <w:szCs w:val="21"/>
              </w:rPr>
            </w:pPr>
          </w:p>
        </w:tc>
        <w:tc>
          <w:tcPr>
            <w:tcW w:w="1500" w:type="dxa"/>
            <w:shd w:val="clear" w:color="auto" w:fill="auto"/>
            <w:noWrap w:val="0"/>
            <w:vAlign w:val="center"/>
          </w:tcPr>
          <w:p w14:paraId="05BE5A6A">
            <w:pPr>
              <w:pStyle w:val="16"/>
              <w:spacing w:before="0" w:beforeAutospacing="0" w:after="0" w:afterAutospacing="0"/>
              <w:jc w:val="center"/>
              <w:outlineLvl w:val="0"/>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color w:val="auto"/>
                <w:sz w:val="21"/>
              </w:rPr>
              <w:t>有机废气治理</w:t>
            </w:r>
          </w:p>
        </w:tc>
        <w:tc>
          <w:tcPr>
            <w:tcW w:w="1740" w:type="dxa"/>
            <w:shd w:val="clear" w:color="auto" w:fill="auto"/>
            <w:noWrap w:val="0"/>
            <w:vAlign w:val="center"/>
          </w:tcPr>
          <w:p w14:paraId="7EF8048E">
            <w:pPr>
              <w:pStyle w:val="16"/>
              <w:spacing w:before="0" w:beforeAutospacing="0" w:after="0" w:afterAutospacing="0"/>
              <w:jc w:val="center"/>
              <w:outlineLvl w:val="0"/>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color w:val="auto"/>
                <w:sz w:val="21"/>
              </w:rPr>
              <w:t>废活性炭</w:t>
            </w:r>
          </w:p>
        </w:tc>
        <w:tc>
          <w:tcPr>
            <w:tcW w:w="1852" w:type="dxa"/>
            <w:vMerge w:val="restart"/>
            <w:noWrap w:val="0"/>
            <w:vAlign w:val="center"/>
          </w:tcPr>
          <w:p w14:paraId="53987D89">
            <w:pPr>
              <w:pStyle w:val="16"/>
              <w:spacing w:before="0" w:beforeAutospacing="0" w:after="0" w:afterAutospacing="0"/>
              <w:jc w:val="center"/>
              <w:outlineLvl w:val="0"/>
              <w:rPr>
                <w:rFonts w:hint="eastAsia" w:ascii="Times New Roman" w:hAnsi="Times New Roman"/>
                <w:color w:val="auto"/>
                <w:sz w:val="21"/>
              </w:rPr>
            </w:pPr>
            <w:r>
              <w:rPr>
                <w:rFonts w:ascii="Times New Roman" w:hAnsi="Times New Roman"/>
                <w:color w:val="auto"/>
                <w:sz w:val="21"/>
              </w:rPr>
              <w:t>设置</w:t>
            </w:r>
            <w:r>
              <w:rPr>
                <w:rFonts w:ascii="Times New Roman" w:hAnsi="Times New Roman" w:eastAsia="宋体" w:cs="Times New Roman"/>
                <w:color w:val="auto"/>
                <w:sz w:val="21"/>
              </w:rPr>
              <w:t>1个</w:t>
            </w:r>
            <w:r>
              <w:rPr>
                <w:rFonts w:hint="eastAsia" w:ascii="Times New Roman" w:hAnsi="Times New Roman" w:cs="Times New Roman"/>
                <w:color w:val="auto"/>
                <w:sz w:val="21"/>
                <w:lang w:val="en-US" w:eastAsia="zh-CN"/>
              </w:rPr>
              <w:t>45</w:t>
            </w:r>
            <w:r>
              <w:rPr>
                <w:rFonts w:ascii="Times New Roman" w:hAnsi="Times New Roman" w:eastAsia="宋体" w:cs="Times New Roman"/>
                <w:color w:val="auto"/>
                <w:sz w:val="21"/>
              </w:rPr>
              <w:t>m</w:t>
            </w:r>
            <w:r>
              <w:rPr>
                <w:rFonts w:ascii="Times New Roman" w:hAnsi="Times New Roman" w:eastAsia="宋体" w:cs="Times New Roman"/>
                <w:color w:val="auto"/>
                <w:sz w:val="21"/>
                <w:vertAlign w:val="superscript"/>
              </w:rPr>
              <w:t>2</w:t>
            </w:r>
            <w:r>
              <w:rPr>
                <w:rFonts w:ascii="Times New Roman" w:hAnsi="Times New Roman" w:eastAsia="宋体" w:cs="Times New Roman"/>
                <w:color w:val="auto"/>
                <w:sz w:val="21"/>
              </w:rPr>
              <w:t>危废</w:t>
            </w:r>
            <w:r>
              <w:rPr>
                <w:rFonts w:hint="eastAsia" w:ascii="Times New Roman" w:hAnsi="Times New Roman" w:cs="Times New Roman"/>
                <w:color w:val="auto"/>
                <w:sz w:val="21"/>
                <w:lang w:val="en-US" w:eastAsia="zh-CN"/>
              </w:rPr>
              <w:t>贮存</w:t>
            </w:r>
            <w:r>
              <w:rPr>
                <w:rFonts w:ascii="Times New Roman" w:hAnsi="Times New Roman" w:eastAsia="宋体" w:cs="Times New Roman"/>
                <w:color w:val="auto"/>
                <w:sz w:val="21"/>
              </w:rPr>
              <w:t>库，委托有危</w:t>
            </w:r>
            <w:r>
              <w:rPr>
                <w:rFonts w:ascii="Times New Roman" w:hAnsi="Times New Roman"/>
                <w:color w:val="auto"/>
                <w:sz w:val="21"/>
              </w:rPr>
              <w:t>废处置资质单位处置</w:t>
            </w:r>
          </w:p>
        </w:tc>
        <w:tc>
          <w:tcPr>
            <w:tcW w:w="2017" w:type="dxa"/>
            <w:vMerge w:val="restart"/>
            <w:noWrap w:val="0"/>
            <w:vAlign w:val="center"/>
          </w:tcPr>
          <w:p w14:paraId="7D79AF93">
            <w:pPr>
              <w:adjustRightInd w:val="0"/>
              <w:snapToGrid w:val="0"/>
              <w:jc w:val="center"/>
              <w:rPr>
                <w:rFonts w:hint="default" w:cs="宋体"/>
                <w:color w:val="auto"/>
                <w:szCs w:val="21"/>
                <w:lang w:val="en-US"/>
              </w:rPr>
            </w:pPr>
            <w:r>
              <w:rPr>
                <w:rFonts w:hint="eastAsia" w:ascii="Times New Roman" w:hAnsi="Times New Roman" w:eastAsia="宋体" w:cs="Times New Roman"/>
                <w:color w:val="auto"/>
                <w:kern w:val="0"/>
                <w:sz w:val="21"/>
                <w:szCs w:val="20"/>
                <w:lang w:val="en-US" w:eastAsia="zh-CN" w:bidi="ar-SA"/>
              </w:rPr>
              <w:t>《危险废物贮存污染控制标准》（GB18597-2023）</w:t>
            </w:r>
          </w:p>
        </w:tc>
      </w:tr>
      <w:tr w14:paraId="4010B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3E9410C1">
            <w:pPr>
              <w:adjustRightInd w:val="0"/>
              <w:snapToGrid w:val="0"/>
              <w:jc w:val="center"/>
              <w:rPr>
                <w:rFonts w:cs="宋体"/>
                <w:color w:val="auto"/>
                <w:szCs w:val="21"/>
              </w:rPr>
            </w:pPr>
          </w:p>
        </w:tc>
        <w:tc>
          <w:tcPr>
            <w:tcW w:w="1500" w:type="dxa"/>
            <w:noWrap w:val="0"/>
            <w:vAlign w:val="center"/>
          </w:tcPr>
          <w:p w14:paraId="725C30DA">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设备维护</w:t>
            </w:r>
          </w:p>
        </w:tc>
        <w:tc>
          <w:tcPr>
            <w:tcW w:w="1740" w:type="dxa"/>
            <w:noWrap w:val="0"/>
            <w:vAlign w:val="center"/>
          </w:tcPr>
          <w:p w14:paraId="3D1835CA">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lang w:val="en-US" w:eastAsia="zh-CN"/>
              </w:rPr>
              <w:t>废液压油</w:t>
            </w:r>
          </w:p>
        </w:tc>
        <w:tc>
          <w:tcPr>
            <w:tcW w:w="1852" w:type="dxa"/>
            <w:vMerge w:val="continue"/>
            <w:noWrap w:val="0"/>
            <w:vAlign w:val="center"/>
          </w:tcPr>
          <w:p w14:paraId="159B5B3D">
            <w:pPr>
              <w:pStyle w:val="16"/>
              <w:spacing w:before="0" w:beforeAutospacing="0" w:after="0" w:afterAutospacing="0"/>
              <w:jc w:val="center"/>
              <w:outlineLvl w:val="0"/>
              <w:rPr>
                <w:rFonts w:hint="eastAsia" w:ascii="Times New Roman" w:hAnsi="Times New Roman"/>
                <w:color w:val="auto"/>
                <w:sz w:val="21"/>
              </w:rPr>
            </w:pPr>
          </w:p>
        </w:tc>
        <w:tc>
          <w:tcPr>
            <w:tcW w:w="2017" w:type="dxa"/>
            <w:vMerge w:val="continue"/>
            <w:noWrap w:val="0"/>
            <w:vAlign w:val="center"/>
          </w:tcPr>
          <w:p w14:paraId="2454B418">
            <w:pPr>
              <w:adjustRightInd w:val="0"/>
              <w:snapToGrid w:val="0"/>
              <w:jc w:val="center"/>
              <w:rPr>
                <w:rFonts w:hint="default" w:cs="宋体"/>
                <w:color w:val="auto"/>
                <w:szCs w:val="21"/>
                <w:lang w:val="en-US"/>
              </w:rPr>
            </w:pPr>
          </w:p>
        </w:tc>
      </w:tr>
      <w:tr w14:paraId="0A030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56299E6">
            <w:pPr>
              <w:adjustRightInd w:val="0"/>
              <w:snapToGrid w:val="0"/>
              <w:jc w:val="center"/>
              <w:rPr>
                <w:rFonts w:cs="宋体"/>
                <w:color w:val="auto"/>
                <w:szCs w:val="21"/>
              </w:rPr>
            </w:pPr>
          </w:p>
        </w:tc>
        <w:tc>
          <w:tcPr>
            <w:tcW w:w="1500" w:type="dxa"/>
            <w:noWrap w:val="0"/>
            <w:vAlign w:val="center"/>
          </w:tcPr>
          <w:p w14:paraId="359810E2">
            <w:pPr>
              <w:spacing w:before="0" w:beforeAutospacing="0" w:after="0" w:afterAutospacing="0"/>
              <w:jc w:val="center"/>
              <w:outlineLvl w:val="0"/>
              <w:rPr>
                <w:rFonts w:hint="eastAsia" w:ascii="Times New Roman" w:hAnsi="Times New Roman"/>
                <w:color w:val="auto"/>
                <w:sz w:val="21"/>
              </w:rPr>
            </w:pPr>
            <w:r>
              <w:rPr>
                <w:rFonts w:hint="eastAsia"/>
                <w:color w:val="auto"/>
                <w:sz w:val="21"/>
                <w:lang w:val="en-US" w:eastAsia="zh-CN"/>
              </w:rPr>
              <w:t>原辅料包装</w:t>
            </w:r>
          </w:p>
        </w:tc>
        <w:tc>
          <w:tcPr>
            <w:tcW w:w="1740" w:type="dxa"/>
            <w:noWrap w:val="0"/>
            <w:vAlign w:val="center"/>
          </w:tcPr>
          <w:p w14:paraId="1BA451C6">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废包装桶</w:t>
            </w:r>
          </w:p>
        </w:tc>
        <w:tc>
          <w:tcPr>
            <w:tcW w:w="1852" w:type="dxa"/>
            <w:vMerge w:val="continue"/>
            <w:noWrap w:val="0"/>
            <w:vAlign w:val="center"/>
          </w:tcPr>
          <w:p w14:paraId="086095B3">
            <w:pPr>
              <w:pStyle w:val="16"/>
              <w:spacing w:before="0" w:beforeAutospacing="0" w:after="0" w:afterAutospacing="0"/>
              <w:jc w:val="center"/>
              <w:outlineLvl w:val="0"/>
              <w:rPr>
                <w:rFonts w:ascii="Times New Roman" w:hAnsi="Times New Roman"/>
                <w:color w:val="auto"/>
                <w:sz w:val="21"/>
              </w:rPr>
            </w:pPr>
          </w:p>
        </w:tc>
        <w:tc>
          <w:tcPr>
            <w:tcW w:w="2017" w:type="dxa"/>
            <w:vMerge w:val="continue"/>
            <w:noWrap w:val="0"/>
            <w:vAlign w:val="center"/>
          </w:tcPr>
          <w:p w14:paraId="69D27AF0">
            <w:pPr>
              <w:adjustRightInd w:val="0"/>
              <w:snapToGrid w:val="0"/>
              <w:jc w:val="center"/>
              <w:rPr>
                <w:rFonts w:hint="eastAsia" w:ascii="Times New Roman" w:hAnsi="Times New Roman" w:eastAsia="宋体" w:cs="Times New Roman"/>
                <w:color w:val="auto"/>
                <w:kern w:val="0"/>
                <w:sz w:val="21"/>
                <w:szCs w:val="20"/>
                <w:lang w:val="en-US" w:eastAsia="zh-CN" w:bidi="ar-SA"/>
              </w:rPr>
            </w:pPr>
          </w:p>
        </w:tc>
      </w:tr>
      <w:tr w14:paraId="15D33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5F47862F">
            <w:pPr>
              <w:adjustRightInd w:val="0"/>
              <w:snapToGrid w:val="0"/>
              <w:jc w:val="center"/>
              <w:rPr>
                <w:rFonts w:cs="宋体"/>
                <w:color w:val="auto"/>
                <w:szCs w:val="21"/>
              </w:rPr>
            </w:pPr>
          </w:p>
        </w:tc>
        <w:tc>
          <w:tcPr>
            <w:tcW w:w="1500" w:type="dxa"/>
            <w:noWrap w:val="0"/>
            <w:vAlign w:val="center"/>
          </w:tcPr>
          <w:p w14:paraId="7EC90809">
            <w:pPr>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设备维护</w:t>
            </w:r>
          </w:p>
        </w:tc>
        <w:tc>
          <w:tcPr>
            <w:tcW w:w="1740" w:type="dxa"/>
            <w:noWrap w:val="0"/>
            <w:vAlign w:val="center"/>
          </w:tcPr>
          <w:p w14:paraId="5EF64B04">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废劳保用品</w:t>
            </w:r>
          </w:p>
        </w:tc>
        <w:tc>
          <w:tcPr>
            <w:tcW w:w="1852" w:type="dxa"/>
            <w:vMerge w:val="continue"/>
            <w:noWrap w:val="0"/>
            <w:vAlign w:val="center"/>
          </w:tcPr>
          <w:p w14:paraId="5D0A8F8E">
            <w:pPr>
              <w:pStyle w:val="16"/>
              <w:spacing w:before="0" w:beforeAutospacing="0" w:after="0" w:afterAutospacing="0"/>
              <w:jc w:val="center"/>
              <w:outlineLvl w:val="0"/>
              <w:rPr>
                <w:rFonts w:ascii="Times New Roman" w:hAnsi="Times New Roman"/>
                <w:color w:val="auto"/>
                <w:sz w:val="21"/>
              </w:rPr>
            </w:pPr>
          </w:p>
        </w:tc>
        <w:tc>
          <w:tcPr>
            <w:tcW w:w="2017" w:type="dxa"/>
            <w:vMerge w:val="continue"/>
            <w:noWrap w:val="0"/>
            <w:vAlign w:val="center"/>
          </w:tcPr>
          <w:p w14:paraId="71653668">
            <w:pPr>
              <w:adjustRightInd w:val="0"/>
              <w:snapToGrid w:val="0"/>
              <w:jc w:val="center"/>
              <w:rPr>
                <w:rFonts w:hint="eastAsia" w:ascii="Times New Roman" w:hAnsi="Times New Roman" w:eastAsia="宋体" w:cs="Times New Roman"/>
                <w:color w:val="auto"/>
                <w:kern w:val="0"/>
                <w:sz w:val="21"/>
                <w:szCs w:val="20"/>
                <w:lang w:val="en-US" w:eastAsia="zh-CN" w:bidi="ar-SA"/>
              </w:rPr>
            </w:pPr>
          </w:p>
        </w:tc>
      </w:tr>
      <w:tr w14:paraId="0BCD5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noWrap w:val="0"/>
            <w:vAlign w:val="center"/>
          </w:tcPr>
          <w:p w14:paraId="6C1FB3B3">
            <w:pPr>
              <w:adjustRightInd w:val="0"/>
              <w:snapToGrid w:val="0"/>
              <w:jc w:val="center"/>
              <w:rPr>
                <w:rFonts w:cs="宋体"/>
                <w:color w:val="auto"/>
                <w:szCs w:val="21"/>
              </w:rPr>
            </w:pPr>
          </w:p>
        </w:tc>
        <w:tc>
          <w:tcPr>
            <w:tcW w:w="1500" w:type="dxa"/>
            <w:noWrap w:val="0"/>
            <w:vAlign w:val="center"/>
          </w:tcPr>
          <w:p w14:paraId="343625A6">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员工日常生活</w:t>
            </w:r>
          </w:p>
        </w:tc>
        <w:tc>
          <w:tcPr>
            <w:tcW w:w="1740" w:type="dxa"/>
            <w:noWrap w:val="0"/>
            <w:vAlign w:val="center"/>
          </w:tcPr>
          <w:p w14:paraId="471BC3A1">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生活垃圾</w:t>
            </w:r>
          </w:p>
        </w:tc>
        <w:tc>
          <w:tcPr>
            <w:tcW w:w="1852" w:type="dxa"/>
            <w:noWrap w:val="0"/>
            <w:vAlign w:val="center"/>
          </w:tcPr>
          <w:p w14:paraId="30B45902">
            <w:pPr>
              <w:adjustRightInd w:val="0"/>
              <w:snapToGrid w:val="0"/>
              <w:jc w:val="center"/>
              <w:rPr>
                <w:rFonts w:cs="宋体"/>
                <w:color w:val="auto"/>
                <w:szCs w:val="21"/>
              </w:rPr>
            </w:pPr>
            <w:r>
              <w:rPr>
                <w:color w:val="auto"/>
              </w:rPr>
              <w:t>设置垃圾桶、垃圾箱，委托环卫部门统一清运</w:t>
            </w:r>
          </w:p>
        </w:tc>
        <w:tc>
          <w:tcPr>
            <w:tcW w:w="2017" w:type="dxa"/>
            <w:noWrap w:val="0"/>
            <w:vAlign w:val="center"/>
          </w:tcPr>
          <w:p w14:paraId="66B9C91B">
            <w:pPr>
              <w:adjustRightInd w:val="0"/>
              <w:snapToGrid w:val="0"/>
              <w:jc w:val="center"/>
              <w:rPr>
                <w:rFonts w:cs="宋体"/>
                <w:color w:val="auto"/>
                <w:szCs w:val="21"/>
              </w:rPr>
            </w:pPr>
            <w:r>
              <w:rPr>
                <w:rFonts w:hint="eastAsia" w:cs="宋体"/>
                <w:color w:val="auto"/>
                <w:szCs w:val="21"/>
              </w:rPr>
              <w:t>《城市生活垃圾管理办法》</w:t>
            </w:r>
          </w:p>
        </w:tc>
      </w:tr>
      <w:tr w14:paraId="38B35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DF972FB">
            <w:pPr>
              <w:adjustRightInd w:val="0"/>
              <w:snapToGrid w:val="0"/>
              <w:jc w:val="center"/>
              <w:rPr>
                <w:rFonts w:cs="宋体"/>
                <w:color w:val="auto"/>
                <w:szCs w:val="21"/>
              </w:rPr>
            </w:pPr>
            <w:r>
              <w:rPr>
                <w:rFonts w:hint="eastAsia" w:cs="宋体"/>
                <w:color w:val="auto"/>
                <w:szCs w:val="21"/>
              </w:rPr>
              <w:t>土壤及地下水</w:t>
            </w:r>
          </w:p>
          <w:p w14:paraId="1187EDDD">
            <w:pPr>
              <w:adjustRightInd w:val="0"/>
              <w:snapToGrid w:val="0"/>
              <w:jc w:val="center"/>
              <w:rPr>
                <w:rFonts w:cs="宋体"/>
                <w:color w:val="auto"/>
                <w:szCs w:val="21"/>
              </w:rPr>
            </w:pPr>
            <w:r>
              <w:rPr>
                <w:rFonts w:hint="eastAsia" w:cs="宋体"/>
                <w:color w:val="auto"/>
                <w:szCs w:val="21"/>
              </w:rPr>
              <w:t>污染防治措施</w:t>
            </w:r>
          </w:p>
        </w:tc>
        <w:tc>
          <w:tcPr>
            <w:tcW w:w="7109" w:type="dxa"/>
            <w:gridSpan w:val="4"/>
            <w:noWrap w:val="0"/>
            <w:vAlign w:val="center"/>
          </w:tcPr>
          <w:p w14:paraId="65481D98">
            <w:pPr>
              <w:adjustRightInd w:val="0"/>
              <w:snapToGrid w:val="0"/>
              <w:spacing w:line="280" w:lineRule="exact"/>
              <w:ind w:firstLine="420" w:firstLineChars="200"/>
              <w:rPr>
                <w:color w:val="auto"/>
                <w:szCs w:val="21"/>
              </w:rPr>
            </w:pPr>
            <w:r>
              <w:rPr>
                <w:color w:val="auto"/>
                <w:szCs w:val="21"/>
              </w:rPr>
              <w:t>根据《环境影响评价技术导则地下水环境》（HJ610-2016）与</w:t>
            </w:r>
            <w:r>
              <w:rPr>
                <w:rFonts w:ascii="Times New Roman" w:hAnsi="Times New Roman" w:eastAsia="宋体" w:cs="Times New Roman"/>
                <w:color w:val="auto"/>
                <w:szCs w:val="21"/>
              </w:rPr>
              <w:t>《危险废物贮存污染控制标准》（GB18597-20</w:t>
            </w:r>
            <w:r>
              <w:rPr>
                <w:rFonts w:hint="eastAsia" w:ascii="Times New Roman" w:hAnsi="Times New Roman" w:eastAsia="宋体" w:cs="Times New Roman"/>
                <w:color w:val="auto"/>
                <w:szCs w:val="21"/>
                <w:lang w:val="en-US" w:eastAsia="zh-CN"/>
              </w:rPr>
              <w:t>23</w:t>
            </w:r>
            <w:r>
              <w:rPr>
                <w:rFonts w:ascii="Times New Roman" w:hAnsi="Times New Roman" w:eastAsia="宋体" w:cs="Times New Roman"/>
                <w:color w:val="auto"/>
                <w:szCs w:val="21"/>
              </w:rPr>
              <w:t>）</w:t>
            </w:r>
            <w:r>
              <w:rPr>
                <w:color w:val="auto"/>
                <w:szCs w:val="21"/>
              </w:rPr>
              <w:t>，企业必须满足下列要求：</w:t>
            </w:r>
          </w:p>
          <w:p w14:paraId="531D7FBC">
            <w:pPr>
              <w:adjustRightInd w:val="0"/>
              <w:snapToGrid w:val="0"/>
              <w:spacing w:line="280" w:lineRule="exact"/>
              <w:ind w:firstLine="420" w:firstLineChars="200"/>
              <w:rPr>
                <w:color w:val="auto"/>
                <w:szCs w:val="21"/>
              </w:rPr>
            </w:pPr>
            <w:r>
              <w:rPr>
                <w:color w:val="auto"/>
                <w:szCs w:val="21"/>
              </w:rPr>
              <w:t>①</w:t>
            </w:r>
            <w:r>
              <w:rPr>
                <w:rFonts w:hint="eastAsia"/>
                <w:color w:val="auto"/>
                <w:szCs w:val="21"/>
                <w:lang w:val="en-US" w:eastAsia="zh-CN"/>
              </w:rPr>
              <w:t>生产厂房除危废贮存库外</w:t>
            </w:r>
            <w:r>
              <w:rPr>
                <w:color w:val="auto"/>
                <w:szCs w:val="21"/>
              </w:rPr>
              <w:t>为简单防渗区，进行一般地面硬化处理。</w:t>
            </w:r>
          </w:p>
          <w:p w14:paraId="1A252C63">
            <w:pPr>
              <w:adjustRightInd w:val="0"/>
              <w:snapToGrid w:val="0"/>
              <w:spacing w:line="280" w:lineRule="exact"/>
              <w:ind w:firstLine="420" w:firstLineChars="200"/>
              <w:rPr>
                <w:color w:val="auto"/>
                <w:szCs w:val="21"/>
              </w:rPr>
            </w:pPr>
            <w:r>
              <w:rPr>
                <w:color w:val="auto"/>
                <w:szCs w:val="21"/>
              </w:rPr>
              <w:t>②</w:t>
            </w:r>
            <w:r>
              <w:rPr>
                <w:rFonts w:hint="eastAsia"/>
                <w:color w:val="auto"/>
                <w:szCs w:val="21"/>
                <w:lang w:eastAsia="zh-CN"/>
              </w:rPr>
              <w:t>危废贮存库</w:t>
            </w:r>
            <w:r>
              <w:rPr>
                <w:color w:val="auto"/>
                <w:szCs w:val="21"/>
              </w:rPr>
              <w:t>为</w:t>
            </w:r>
            <w:r>
              <w:rPr>
                <w:rFonts w:hint="eastAsia"/>
                <w:color w:val="auto"/>
                <w:szCs w:val="21"/>
              </w:rPr>
              <w:t>重点</w:t>
            </w:r>
            <w:r>
              <w:rPr>
                <w:color w:val="auto"/>
                <w:szCs w:val="21"/>
              </w:rPr>
              <w:t>污染防渗区，地面采用10cm厚C25抗渗等级为P8的抗渗混凝土或者符合要求的环氧树脂进行防渗处理。</w:t>
            </w:r>
          </w:p>
          <w:p w14:paraId="4AF54BD8">
            <w:pPr>
              <w:adjustRightInd w:val="0"/>
              <w:snapToGrid w:val="0"/>
              <w:spacing w:line="280" w:lineRule="exact"/>
              <w:ind w:firstLine="420" w:firstLineChars="200"/>
              <w:rPr>
                <w:rFonts w:cs="宋体"/>
                <w:color w:val="auto"/>
                <w:szCs w:val="21"/>
              </w:rPr>
            </w:pPr>
            <w:r>
              <w:rPr>
                <w:color w:val="auto"/>
                <w:szCs w:val="21"/>
              </w:rPr>
              <w:t>采用上述措施后，</w:t>
            </w:r>
            <w:r>
              <w:rPr>
                <w:rFonts w:hint="eastAsia"/>
                <w:color w:val="auto"/>
                <w:szCs w:val="21"/>
                <w:lang w:eastAsia="zh-CN"/>
              </w:rPr>
              <w:t>危废贮存库</w:t>
            </w:r>
            <w:r>
              <w:rPr>
                <w:color w:val="auto"/>
                <w:szCs w:val="21"/>
              </w:rPr>
              <w:t>的渗透系数不大于1×10</w:t>
            </w:r>
            <w:r>
              <w:rPr>
                <w:rFonts w:hint="eastAsia"/>
                <w:color w:val="auto"/>
                <w:szCs w:val="21"/>
                <w:lang w:eastAsia="zh-CN"/>
              </w:rPr>
              <w:t>—</w:t>
            </w:r>
            <w:r>
              <w:rPr>
                <w:color w:val="auto"/>
                <w:szCs w:val="21"/>
                <w:vertAlign w:val="superscript"/>
              </w:rPr>
              <w:t>7</w:t>
            </w:r>
            <w:r>
              <w:rPr>
                <w:color w:val="auto"/>
                <w:szCs w:val="21"/>
              </w:rPr>
              <w:t>cm/s，可有效阻止污染物下渗。</w:t>
            </w:r>
          </w:p>
        </w:tc>
      </w:tr>
      <w:tr w14:paraId="5E77A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136FCF0">
            <w:pPr>
              <w:adjustRightInd w:val="0"/>
              <w:snapToGrid w:val="0"/>
              <w:jc w:val="center"/>
              <w:rPr>
                <w:rFonts w:cs="宋体"/>
                <w:color w:val="auto"/>
                <w:szCs w:val="21"/>
              </w:rPr>
            </w:pPr>
            <w:r>
              <w:rPr>
                <w:rFonts w:hint="eastAsia" w:cs="宋体"/>
                <w:color w:val="auto"/>
                <w:szCs w:val="21"/>
              </w:rPr>
              <w:t>生态保护措施</w:t>
            </w:r>
          </w:p>
        </w:tc>
        <w:tc>
          <w:tcPr>
            <w:tcW w:w="7109" w:type="dxa"/>
            <w:gridSpan w:val="4"/>
            <w:noWrap w:val="0"/>
            <w:vAlign w:val="center"/>
          </w:tcPr>
          <w:p w14:paraId="7CA321F8">
            <w:pPr>
              <w:adjustRightInd w:val="0"/>
              <w:snapToGrid w:val="0"/>
              <w:jc w:val="center"/>
              <w:rPr>
                <w:rFonts w:cs="宋体"/>
                <w:color w:val="auto"/>
                <w:szCs w:val="21"/>
              </w:rPr>
            </w:pPr>
            <w:r>
              <w:rPr>
                <w:rFonts w:hint="eastAsia" w:cs="宋体"/>
                <w:color w:val="auto"/>
                <w:szCs w:val="21"/>
              </w:rPr>
              <w:t>无</w:t>
            </w:r>
          </w:p>
        </w:tc>
      </w:tr>
      <w:tr w14:paraId="3ACD0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31434CC2">
            <w:pPr>
              <w:adjustRightInd w:val="0"/>
              <w:snapToGrid w:val="0"/>
              <w:jc w:val="center"/>
              <w:rPr>
                <w:rFonts w:cs="宋体"/>
                <w:color w:val="auto"/>
                <w:spacing w:val="-8"/>
                <w:szCs w:val="21"/>
              </w:rPr>
            </w:pPr>
            <w:r>
              <w:rPr>
                <w:rFonts w:hint="eastAsia" w:cs="宋体"/>
                <w:color w:val="auto"/>
                <w:spacing w:val="-8"/>
                <w:szCs w:val="21"/>
              </w:rPr>
              <w:t>环境风险</w:t>
            </w:r>
          </w:p>
          <w:p w14:paraId="260A67A9">
            <w:pPr>
              <w:adjustRightInd w:val="0"/>
              <w:snapToGrid w:val="0"/>
              <w:jc w:val="center"/>
              <w:rPr>
                <w:rFonts w:cs="宋体"/>
                <w:color w:val="auto"/>
                <w:szCs w:val="21"/>
              </w:rPr>
            </w:pPr>
            <w:r>
              <w:rPr>
                <w:rFonts w:hint="eastAsia" w:cs="宋体"/>
                <w:color w:val="auto"/>
                <w:spacing w:val="-8"/>
                <w:szCs w:val="21"/>
              </w:rPr>
              <w:t>防范措施</w:t>
            </w:r>
          </w:p>
        </w:tc>
        <w:tc>
          <w:tcPr>
            <w:tcW w:w="7109" w:type="dxa"/>
            <w:gridSpan w:val="4"/>
            <w:noWrap w:val="0"/>
            <w:vAlign w:val="bottom"/>
          </w:tcPr>
          <w:p w14:paraId="2AA8DBB6">
            <w:pPr>
              <w:adjustRightInd w:val="0"/>
              <w:snapToGrid w:val="0"/>
              <w:spacing w:line="240" w:lineRule="auto"/>
              <w:ind w:firstLine="0" w:firstLineChars="0"/>
              <w:jc w:val="center"/>
              <w:rPr>
                <w:rFonts w:cs="宋体"/>
                <w:color w:val="auto"/>
                <w:szCs w:val="21"/>
              </w:rPr>
            </w:pPr>
            <w:r>
              <w:rPr>
                <w:rFonts w:hint="eastAsia" w:cs="宋体"/>
                <w:color w:val="auto"/>
                <w:szCs w:val="21"/>
              </w:rPr>
              <w:t>①建立健全并严格执行活性炭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14:paraId="26082693">
            <w:pPr>
              <w:adjustRightInd w:val="0"/>
              <w:snapToGrid w:val="0"/>
              <w:spacing w:line="240" w:lineRule="auto"/>
              <w:ind w:firstLine="0" w:firstLineChars="0"/>
              <w:jc w:val="center"/>
              <w:rPr>
                <w:rFonts w:cs="宋体"/>
                <w:color w:val="auto"/>
                <w:szCs w:val="21"/>
              </w:rPr>
            </w:pPr>
            <w:r>
              <w:rPr>
                <w:rFonts w:hint="eastAsia" w:cs="宋体"/>
                <w:color w:val="auto"/>
                <w:szCs w:val="21"/>
              </w:rPr>
              <w:t>②安排专员定期对</w:t>
            </w:r>
            <w:r>
              <w:rPr>
                <w:rFonts w:hint="eastAsia" w:cs="宋体"/>
                <w:color w:val="auto"/>
                <w:szCs w:val="21"/>
                <w:lang w:eastAsia="zh-CN"/>
              </w:rPr>
              <w:t>危废贮存库</w:t>
            </w:r>
            <w:r>
              <w:rPr>
                <w:rFonts w:hint="eastAsia" w:cs="宋体"/>
                <w:color w:val="auto"/>
                <w:szCs w:val="21"/>
              </w:rPr>
              <w:t>和一般固废暂存区进行检查，严格遵守安全操作规程和消防安全管理制度，远离火种、热源，工作场所严禁吸烟，从源头杜绝火灾事故发生。</w:t>
            </w:r>
          </w:p>
          <w:p w14:paraId="10783563">
            <w:pPr>
              <w:adjustRightInd w:val="0"/>
              <w:snapToGrid w:val="0"/>
              <w:spacing w:line="240" w:lineRule="auto"/>
              <w:ind w:firstLine="0" w:firstLineChars="0"/>
              <w:jc w:val="center"/>
              <w:rPr>
                <w:rFonts w:hint="eastAsia" w:cs="宋体"/>
                <w:color w:val="auto"/>
                <w:szCs w:val="21"/>
              </w:rPr>
            </w:pPr>
            <w:r>
              <w:rPr>
                <w:rFonts w:hint="eastAsia" w:cs="宋体"/>
                <w:color w:val="auto"/>
                <w:szCs w:val="21"/>
              </w:rPr>
              <w:t>③定期进行安全环保宣传教育以及紧急事故模拟演习，提高事故应变能力。</w:t>
            </w:r>
          </w:p>
          <w:p w14:paraId="7E467DBE">
            <w:pPr>
              <w:adjustRightInd w:val="0"/>
              <w:snapToGrid w:val="0"/>
              <w:spacing w:line="240" w:lineRule="auto"/>
              <w:ind w:firstLine="0" w:firstLineChars="0"/>
              <w:jc w:val="center"/>
              <w:rPr>
                <w:rFonts w:hint="eastAsia" w:cs="宋体"/>
                <w:color w:val="auto"/>
                <w:szCs w:val="21"/>
              </w:rPr>
            </w:pPr>
          </w:p>
          <w:p w14:paraId="23E22F65">
            <w:pPr>
              <w:adjustRightInd w:val="0"/>
              <w:snapToGrid w:val="0"/>
              <w:spacing w:line="360" w:lineRule="exact"/>
              <w:ind w:firstLine="420" w:firstLineChars="200"/>
              <w:jc w:val="center"/>
              <w:rPr>
                <w:rFonts w:hint="eastAsia" w:cs="宋体"/>
                <w:color w:val="auto"/>
                <w:szCs w:val="21"/>
              </w:rPr>
            </w:pPr>
          </w:p>
        </w:tc>
      </w:tr>
      <w:tr w14:paraId="3EFF0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141BCC46">
            <w:pPr>
              <w:adjustRightInd w:val="0"/>
              <w:snapToGrid w:val="0"/>
              <w:jc w:val="center"/>
              <w:rPr>
                <w:rFonts w:cs="宋体"/>
                <w:color w:val="auto"/>
                <w:spacing w:val="-8"/>
                <w:szCs w:val="21"/>
              </w:rPr>
            </w:pPr>
            <w:r>
              <w:rPr>
                <w:rFonts w:hint="eastAsia" w:cs="宋体"/>
                <w:color w:val="auto"/>
                <w:spacing w:val="-8"/>
                <w:szCs w:val="21"/>
              </w:rPr>
              <w:t>其他环境</w:t>
            </w:r>
          </w:p>
          <w:p w14:paraId="42F96C9A">
            <w:pPr>
              <w:adjustRightInd w:val="0"/>
              <w:snapToGrid w:val="0"/>
              <w:jc w:val="center"/>
              <w:rPr>
                <w:rFonts w:hint="eastAsia" w:cs="宋体"/>
                <w:color w:val="auto"/>
                <w:spacing w:val="-8"/>
                <w:szCs w:val="21"/>
              </w:rPr>
            </w:pPr>
            <w:r>
              <w:rPr>
                <w:rFonts w:hint="eastAsia" w:cs="宋体"/>
                <w:color w:val="auto"/>
                <w:spacing w:val="-8"/>
                <w:szCs w:val="21"/>
              </w:rPr>
              <w:t>管理要求</w:t>
            </w:r>
          </w:p>
        </w:tc>
        <w:tc>
          <w:tcPr>
            <w:tcW w:w="7109" w:type="dxa"/>
            <w:gridSpan w:val="4"/>
            <w:noWrap w:val="0"/>
            <w:vAlign w:val="bottom"/>
          </w:tcPr>
          <w:p w14:paraId="4A1F5E2F">
            <w:pPr>
              <w:adjustRightInd w:val="0"/>
              <w:snapToGrid w:val="0"/>
              <w:spacing w:line="360" w:lineRule="exact"/>
              <w:ind w:firstLine="420" w:firstLineChars="200"/>
              <w:jc w:val="center"/>
              <w:rPr>
                <w:color w:val="auto"/>
              </w:rPr>
            </w:pPr>
            <w:r>
              <w:rPr>
                <w:rFonts w:hint="eastAsia"/>
                <w:color w:val="auto"/>
              </w:rPr>
              <w:t>①根据《排污许可管理办法（试行）》（</w:t>
            </w:r>
            <w:r>
              <w:rPr>
                <w:rFonts w:hint="eastAsia"/>
                <w:color w:val="auto"/>
                <w:lang w:eastAsia="zh-CN"/>
              </w:rPr>
              <w:t>生态环境部</w:t>
            </w:r>
            <w:r>
              <w:rPr>
                <w:rFonts w:hint="eastAsia"/>
                <w:color w:val="auto"/>
              </w:rPr>
              <w:t>部令第48号）和《排污许可管理条例》（中华人民共和国国务院令第736号）文件规定，纳入固定污染源排污许可分类管理名录的企业事业单位和其他生产经营者（简称排污单位）应当按照规定申请并取得排污许可证，未取得排污许可证的，不得排放污染物。排污许可实行分类管理，根据污染物产生量、排放量、对环境的影响程度等因素，分为重点管理、简化管理和登记管理3种类别。本项目属于名录中“62塑料制品业 292”中的“其他”类别和“67玻璃纤维和玻璃纤维增强塑料制品制造306”中的“其他”类别，均为登记管理，应进行登记管理。建设单位在投入运行前，应按照排污许可证管理规定，进行排污许可</w:t>
            </w:r>
            <w:r>
              <w:rPr>
                <w:rFonts w:hint="eastAsia"/>
                <w:color w:val="auto"/>
                <w:lang w:val="en-US" w:eastAsia="zh-CN"/>
              </w:rPr>
              <w:t>登记</w:t>
            </w:r>
            <w:r>
              <w:rPr>
                <w:rFonts w:hint="eastAsia"/>
                <w:color w:val="auto"/>
              </w:rPr>
              <w:t>申报。</w:t>
            </w:r>
          </w:p>
          <w:p w14:paraId="5B045A1F">
            <w:pPr>
              <w:adjustRightInd w:val="0"/>
              <w:snapToGrid w:val="0"/>
              <w:spacing w:line="360" w:lineRule="exact"/>
              <w:ind w:firstLine="420" w:firstLineChars="200"/>
              <w:jc w:val="center"/>
              <w:rPr>
                <w:rFonts w:hint="eastAsia" w:ascii="Times New Roman" w:hAnsi="Times New Roman"/>
                <w:b w:val="0"/>
                <w:bCs/>
                <w:color w:val="auto"/>
                <w:sz w:val="21"/>
                <w:szCs w:val="21"/>
              </w:rPr>
            </w:pPr>
            <w:r>
              <w:rPr>
                <w:rFonts w:hint="eastAsia" w:ascii="Times New Roman" w:hAnsi="Times New Roman"/>
                <w:b w:val="0"/>
                <w:bCs/>
                <w:color w:val="auto"/>
                <w:sz w:val="21"/>
                <w:szCs w:val="21"/>
              </w:rPr>
              <w:t>②项目的建设应切实履行配套的环境保护设施与主体工程同时设计、同时施工、同时投入运行的“三同时”制度。本项目配套建设的环境保护设施必须与主体工程同时设计、同时建成和投产使用，并按规定程序实施竣工环境保护验收，验收合格后方可正式投入生产。</w:t>
            </w:r>
          </w:p>
          <w:p w14:paraId="4D9985B5">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2992257E">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6F0FDB98">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5F5E90C8">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0702C4BC">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0F1F1658">
            <w:pPr>
              <w:adjustRightInd w:val="0"/>
              <w:snapToGrid w:val="0"/>
              <w:spacing w:line="360" w:lineRule="exact"/>
              <w:jc w:val="both"/>
              <w:rPr>
                <w:rFonts w:hint="eastAsia" w:ascii="Times New Roman" w:hAnsi="Times New Roman"/>
                <w:b w:val="0"/>
                <w:bCs/>
                <w:color w:val="auto"/>
                <w:sz w:val="21"/>
                <w:szCs w:val="21"/>
              </w:rPr>
            </w:pPr>
          </w:p>
          <w:p w14:paraId="3207D237">
            <w:pPr>
              <w:pStyle w:val="2"/>
              <w:rPr>
                <w:rFonts w:hint="eastAsia" w:ascii="Times New Roman" w:hAnsi="Times New Roman"/>
                <w:b w:val="0"/>
                <w:bCs/>
                <w:color w:val="auto"/>
                <w:sz w:val="21"/>
                <w:szCs w:val="21"/>
              </w:rPr>
            </w:pPr>
          </w:p>
          <w:p w14:paraId="52275A24">
            <w:pPr>
              <w:rPr>
                <w:rFonts w:hint="eastAsia"/>
                <w:color w:val="auto"/>
              </w:rPr>
            </w:pPr>
          </w:p>
          <w:p w14:paraId="454748C6">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110C89A2">
            <w:pPr>
              <w:pStyle w:val="2"/>
              <w:rPr>
                <w:rFonts w:hint="eastAsia" w:ascii="Times New Roman" w:hAnsi="Times New Roman"/>
                <w:b w:val="0"/>
                <w:bCs/>
                <w:color w:val="auto"/>
                <w:sz w:val="21"/>
                <w:szCs w:val="21"/>
              </w:rPr>
            </w:pPr>
          </w:p>
          <w:p w14:paraId="5B6C57BB">
            <w:pPr>
              <w:rPr>
                <w:rFonts w:hint="eastAsia" w:ascii="Times New Roman" w:hAnsi="Times New Roman"/>
                <w:b w:val="0"/>
                <w:bCs/>
                <w:color w:val="auto"/>
                <w:sz w:val="21"/>
                <w:szCs w:val="21"/>
              </w:rPr>
            </w:pPr>
          </w:p>
          <w:p w14:paraId="3AA73668">
            <w:pPr>
              <w:pStyle w:val="2"/>
              <w:rPr>
                <w:rFonts w:hint="eastAsia" w:ascii="Times New Roman" w:hAnsi="Times New Roman"/>
                <w:b w:val="0"/>
                <w:bCs/>
                <w:color w:val="auto"/>
                <w:sz w:val="21"/>
                <w:szCs w:val="21"/>
              </w:rPr>
            </w:pPr>
          </w:p>
          <w:p w14:paraId="37E82792">
            <w:pPr>
              <w:rPr>
                <w:rFonts w:hint="eastAsia" w:ascii="Times New Roman" w:hAnsi="Times New Roman"/>
                <w:b w:val="0"/>
                <w:bCs/>
                <w:color w:val="auto"/>
                <w:sz w:val="21"/>
                <w:szCs w:val="21"/>
              </w:rPr>
            </w:pPr>
          </w:p>
          <w:p w14:paraId="4FED076A">
            <w:pPr>
              <w:pStyle w:val="2"/>
              <w:rPr>
                <w:rFonts w:hint="eastAsia" w:ascii="Times New Roman" w:hAnsi="Times New Roman"/>
                <w:b w:val="0"/>
                <w:bCs/>
                <w:color w:val="auto"/>
                <w:sz w:val="21"/>
                <w:szCs w:val="21"/>
              </w:rPr>
            </w:pPr>
          </w:p>
          <w:p w14:paraId="6C4DE3F7">
            <w:pPr>
              <w:rPr>
                <w:rFonts w:hint="eastAsia" w:ascii="Times New Roman" w:hAnsi="Times New Roman"/>
                <w:b w:val="0"/>
                <w:bCs/>
                <w:color w:val="auto"/>
                <w:sz w:val="21"/>
                <w:szCs w:val="21"/>
              </w:rPr>
            </w:pPr>
          </w:p>
          <w:p w14:paraId="316BD291">
            <w:pPr>
              <w:pStyle w:val="2"/>
              <w:rPr>
                <w:rFonts w:hint="eastAsia" w:ascii="Times New Roman" w:hAnsi="Times New Roman"/>
                <w:b w:val="0"/>
                <w:bCs/>
                <w:color w:val="auto"/>
                <w:sz w:val="21"/>
                <w:szCs w:val="21"/>
              </w:rPr>
            </w:pPr>
          </w:p>
          <w:p w14:paraId="310919DE">
            <w:pPr>
              <w:rPr>
                <w:rFonts w:hint="eastAsia" w:ascii="Times New Roman" w:hAnsi="Times New Roman"/>
                <w:b w:val="0"/>
                <w:bCs/>
                <w:color w:val="auto"/>
                <w:sz w:val="21"/>
                <w:szCs w:val="21"/>
              </w:rPr>
            </w:pPr>
          </w:p>
          <w:p w14:paraId="23F90A71">
            <w:pPr>
              <w:pStyle w:val="2"/>
              <w:rPr>
                <w:rFonts w:hint="eastAsia" w:ascii="Times New Roman" w:hAnsi="Times New Roman"/>
                <w:b w:val="0"/>
                <w:bCs/>
                <w:color w:val="auto"/>
                <w:sz w:val="21"/>
                <w:szCs w:val="21"/>
              </w:rPr>
            </w:pPr>
          </w:p>
          <w:p w14:paraId="17CDB9B0">
            <w:pPr>
              <w:rPr>
                <w:rFonts w:hint="eastAsia" w:ascii="Times New Roman" w:hAnsi="Times New Roman"/>
                <w:b w:val="0"/>
                <w:bCs/>
                <w:color w:val="auto"/>
                <w:sz w:val="21"/>
                <w:szCs w:val="21"/>
              </w:rPr>
            </w:pPr>
          </w:p>
          <w:p w14:paraId="305E0505">
            <w:pPr>
              <w:pStyle w:val="2"/>
              <w:rPr>
                <w:rFonts w:hint="eastAsia" w:ascii="Times New Roman" w:hAnsi="Times New Roman"/>
                <w:b w:val="0"/>
                <w:bCs/>
                <w:color w:val="auto"/>
                <w:sz w:val="21"/>
                <w:szCs w:val="21"/>
              </w:rPr>
            </w:pPr>
          </w:p>
          <w:p w14:paraId="1743F011">
            <w:pPr>
              <w:rPr>
                <w:rFonts w:hint="eastAsia" w:ascii="Times New Roman" w:hAnsi="Times New Roman"/>
                <w:b w:val="0"/>
                <w:bCs/>
                <w:color w:val="auto"/>
                <w:sz w:val="21"/>
                <w:szCs w:val="21"/>
              </w:rPr>
            </w:pPr>
          </w:p>
          <w:p w14:paraId="51DFA96A">
            <w:pPr>
              <w:pStyle w:val="2"/>
              <w:rPr>
                <w:rFonts w:hint="eastAsia" w:ascii="Times New Roman" w:hAnsi="Times New Roman"/>
                <w:b w:val="0"/>
                <w:bCs/>
                <w:color w:val="auto"/>
                <w:sz w:val="21"/>
                <w:szCs w:val="21"/>
              </w:rPr>
            </w:pPr>
          </w:p>
          <w:p w14:paraId="4ACC367E">
            <w:pPr>
              <w:rPr>
                <w:rFonts w:hint="eastAsia" w:ascii="Times New Roman" w:hAnsi="Times New Roman"/>
                <w:b w:val="0"/>
                <w:bCs/>
                <w:color w:val="auto"/>
                <w:sz w:val="21"/>
                <w:szCs w:val="21"/>
              </w:rPr>
            </w:pPr>
          </w:p>
          <w:p w14:paraId="5D7C6CB4">
            <w:pPr>
              <w:pStyle w:val="2"/>
              <w:rPr>
                <w:rFonts w:hint="eastAsia" w:ascii="Times New Roman" w:hAnsi="Times New Roman"/>
                <w:b w:val="0"/>
                <w:bCs/>
                <w:color w:val="auto"/>
                <w:sz w:val="21"/>
                <w:szCs w:val="21"/>
              </w:rPr>
            </w:pPr>
          </w:p>
          <w:p w14:paraId="20FF3FDC">
            <w:pPr>
              <w:rPr>
                <w:rFonts w:hint="eastAsia" w:ascii="Times New Roman" w:hAnsi="Times New Roman"/>
                <w:b w:val="0"/>
                <w:bCs/>
                <w:color w:val="auto"/>
                <w:sz w:val="21"/>
                <w:szCs w:val="21"/>
              </w:rPr>
            </w:pPr>
          </w:p>
          <w:p w14:paraId="458E68BD">
            <w:pPr>
              <w:pStyle w:val="2"/>
              <w:rPr>
                <w:rFonts w:hint="eastAsia" w:ascii="Times New Roman" w:hAnsi="Times New Roman"/>
                <w:b w:val="0"/>
                <w:bCs/>
                <w:color w:val="auto"/>
                <w:sz w:val="21"/>
                <w:szCs w:val="21"/>
              </w:rPr>
            </w:pPr>
          </w:p>
          <w:p w14:paraId="66A3A54A">
            <w:pPr>
              <w:rPr>
                <w:rFonts w:hint="eastAsia" w:ascii="Times New Roman" w:hAnsi="Times New Roman"/>
                <w:b w:val="0"/>
                <w:bCs/>
                <w:color w:val="auto"/>
                <w:sz w:val="21"/>
                <w:szCs w:val="21"/>
              </w:rPr>
            </w:pPr>
          </w:p>
          <w:p w14:paraId="35F98628">
            <w:pPr>
              <w:pStyle w:val="2"/>
              <w:rPr>
                <w:rFonts w:hint="eastAsia" w:ascii="Times New Roman" w:hAnsi="Times New Roman"/>
                <w:b w:val="0"/>
                <w:bCs/>
                <w:color w:val="auto"/>
                <w:sz w:val="21"/>
                <w:szCs w:val="21"/>
              </w:rPr>
            </w:pPr>
          </w:p>
          <w:p w14:paraId="612F9E25">
            <w:pPr>
              <w:rPr>
                <w:rFonts w:hint="eastAsia" w:ascii="Times New Roman" w:hAnsi="Times New Roman"/>
                <w:b w:val="0"/>
                <w:bCs/>
                <w:color w:val="auto"/>
                <w:sz w:val="21"/>
                <w:szCs w:val="21"/>
              </w:rPr>
            </w:pPr>
          </w:p>
          <w:p w14:paraId="4C4496E1">
            <w:pPr>
              <w:pStyle w:val="2"/>
              <w:rPr>
                <w:rFonts w:hint="eastAsia" w:ascii="Times New Roman" w:hAnsi="Times New Roman"/>
                <w:b w:val="0"/>
                <w:bCs/>
                <w:color w:val="auto"/>
                <w:sz w:val="21"/>
                <w:szCs w:val="21"/>
              </w:rPr>
            </w:pPr>
          </w:p>
          <w:p w14:paraId="2180B6F2">
            <w:pPr>
              <w:rPr>
                <w:rFonts w:hint="eastAsia" w:ascii="Times New Roman" w:hAnsi="Times New Roman"/>
                <w:b w:val="0"/>
                <w:bCs/>
                <w:color w:val="auto"/>
                <w:sz w:val="21"/>
                <w:szCs w:val="21"/>
              </w:rPr>
            </w:pPr>
          </w:p>
          <w:p w14:paraId="5CE0F560">
            <w:pPr>
              <w:pStyle w:val="2"/>
              <w:rPr>
                <w:rFonts w:hint="eastAsia" w:ascii="Times New Roman" w:hAnsi="Times New Roman"/>
                <w:b w:val="0"/>
                <w:bCs/>
                <w:color w:val="auto"/>
                <w:sz w:val="21"/>
                <w:szCs w:val="21"/>
              </w:rPr>
            </w:pPr>
          </w:p>
          <w:p w14:paraId="4691895A">
            <w:pPr>
              <w:rPr>
                <w:rFonts w:hint="eastAsia" w:ascii="Times New Roman" w:hAnsi="Times New Roman"/>
                <w:b w:val="0"/>
                <w:bCs/>
                <w:color w:val="auto"/>
                <w:sz w:val="21"/>
                <w:szCs w:val="21"/>
              </w:rPr>
            </w:pPr>
          </w:p>
          <w:p w14:paraId="082BD3A9">
            <w:pPr>
              <w:pStyle w:val="2"/>
              <w:rPr>
                <w:rFonts w:hint="eastAsia" w:ascii="Times New Roman" w:hAnsi="Times New Roman"/>
                <w:b w:val="0"/>
                <w:bCs/>
                <w:color w:val="auto"/>
                <w:sz w:val="21"/>
                <w:szCs w:val="21"/>
              </w:rPr>
            </w:pPr>
          </w:p>
          <w:p w14:paraId="06A0D1D7">
            <w:pPr>
              <w:rPr>
                <w:rFonts w:hint="eastAsia" w:ascii="Times New Roman" w:hAnsi="Times New Roman"/>
                <w:b w:val="0"/>
                <w:bCs/>
                <w:color w:val="auto"/>
                <w:sz w:val="21"/>
                <w:szCs w:val="21"/>
              </w:rPr>
            </w:pPr>
          </w:p>
          <w:p w14:paraId="7B7DCCD8">
            <w:pPr>
              <w:pStyle w:val="2"/>
              <w:rPr>
                <w:rFonts w:hint="eastAsia" w:ascii="Times New Roman" w:hAnsi="Times New Roman"/>
                <w:b w:val="0"/>
                <w:bCs/>
                <w:color w:val="auto"/>
                <w:sz w:val="21"/>
                <w:szCs w:val="21"/>
              </w:rPr>
            </w:pPr>
          </w:p>
          <w:p w14:paraId="116B45A8">
            <w:pPr>
              <w:rPr>
                <w:rFonts w:hint="eastAsia" w:ascii="Times New Roman" w:hAnsi="Times New Roman"/>
                <w:b w:val="0"/>
                <w:bCs/>
                <w:color w:val="auto"/>
                <w:sz w:val="21"/>
                <w:szCs w:val="21"/>
              </w:rPr>
            </w:pPr>
          </w:p>
          <w:p w14:paraId="5EACDCF4">
            <w:pPr>
              <w:pStyle w:val="2"/>
              <w:rPr>
                <w:rFonts w:hint="eastAsia" w:ascii="Times New Roman" w:hAnsi="Times New Roman"/>
                <w:b w:val="0"/>
                <w:bCs/>
                <w:color w:val="auto"/>
                <w:sz w:val="21"/>
                <w:szCs w:val="21"/>
              </w:rPr>
            </w:pPr>
          </w:p>
          <w:p w14:paraId="7DCC4DAE">
            <w:pPr>
              <w:rPr>
                <w:rFonts w:hint="eastAsia" w:ascii="Times New Roman" w:hAnsi="Times New Roman"/>
                <w:b w:val="0"/>
                <w:bCs/>
                <w:color w:val="auto"/>
                <w:sz w:val="21"/>
                <w:szCs w:val="21"/>
              </w:rPr>
            </w:pPr>
          </w:p>
          <w:p w14:paraId="71B3C4F6">
            <w:pPr>
              <w:pStyle w:val="2"/>
              <w:rPr>
                <w:rFonts w:hint="eastAsia" w:ascii="Times New Roman" w:hAnsi="Times New Roman"/>
                <w:b w:val="0"/>
                <w:bCs/>
                <w:color w:val="auto"/>
                <w:sz w:val="21"/>
                <w:szCs w:val="21"/>
              </w:rPr>
            </w:pPr>
          </w:p>
          <w:p w14:paraId="074ECE31">
            <w:pPr>
              <w:rPr>
                <w:rFonts w:hint="eastAsia" w:ascii="Times New Roman" w:hAnsi="Times New Roman"/>
                <w:b w:val="0"/>
                <w:bCs/>
                <w:color w:val="auto"/>
                <w:sz w:val="21"/>
                <w:szCs w:val="21"/>
              </w:rPr>
            </w:pPr>
          </w:p>
          <w:p w14:paraId="689253E9">
            <w:pPr>
              <w:pStyle w:val="2"/>
              <w:rPr>
                <w:rFonts w:hint="eastAsia" w:ascii="Times New Roman" w:hAnsi="Times New Roman"/>
                <w:b w:val="0"/>
                <w:bCs/>
                <w:color w:val="auto"/>
                <w:sz w:val="21"/>
                <w:szCs w:val="21"/>
              </w:rPr>
            </w:pPr>
          </w:p>
          <w:p w14:paraId="3CD76F78">
            <w:pPr>
              <w:rPr>
                <w:rFonts w:hint="eastAsia" w:ascii="Times New Roman" w:hAnsi="Times New Roman"/>
                <w:b w:val="0"/>
                <w:bCs/>
                <w:color w:val="auto"/>
                <w:sz w:val="21"/>
                <w:szCs w:val="21"/>
              </w:rPr>
            </w:pPr>
          </w:p>
          <w:p w14:paraId="1CBD37AD">
            <w:pPr>
              <w:pStyle w:val="2"/>
              <w:rPr>
                <w:rFonts w:hint="eastAsia"/>
                <w:color w:val="auto"/>
              </w:rPr>
            </w:pPr>
          </w:p>
          <w:p w14:paraId="51FB2EDB">
            <w:pPr>
              <w:adjustRightInd w:val="0"/>
              <w:snapToGrid w:val="0"/>
              <w:spacing w:line="360" w:lineRule="exact"/>
              <w:jc w:val="center"/>
              <w:rPr>
                <w:rFonts w:hint="eastAsia" w:ascii="Times New Roman" w:hAnsi="Times New Roman"/>
                <w:b w:val="0"/>
                <w:bCs/>
                <w:color w:val="auto"/>
                <w:sz w:val="21"/>
                <w:szCs w:val="21"/>
              </w:rPr>
            </w:pPr>
          </w:p>
        </w:tc>
      </w:tr>
    </w:tbl>
    <w:p w14:paraId="7000EFCE">
      <w:pPr>
        <w:pStyle w:val="16"/>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5B3D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35A15339">
            <w:pPr>
              <w:adjustRightInd w:val="0"/>
              <w:snapToGrid w:val="0"/>
              <w:spacing w:line="360" w:lineRule="auto"/>
              <w:ind w:firstLine="482" w:firstLineChars="200"/>
              <w:rPr>
                <w:b/>
                <w:bCs/>
                <w:color w:val="auto"/>
                <w:kern w:val="0"/>
                <w:sz w:val="24"/>
              </w:rPr>
            </w:pPr>
          </w:p>
          <w:p w14:paraId="6F29F3FD">
            <w:pPr>
              <w:adjustRightInd w:val="0"/>
              <w:snapToGrid w:val="0"/>
              <w:spacing w:line="360" w:lineRule="auto"/>
              <w:ind w:firstLine="482" w:firstLineChars="200"/>
              <w:rPr>
                <w:b/>
                <w:bCs/>
                <w:color w:val="auto"/>
                <w:kern w:val="0"/>
                <w:sz w:val="24"/>
              </w:rPr>
            </w:pPr>
          </w:p>
          <w:p w14:paraId="6F3C23DD">
            <w:pPr>
              <w:adjustRightInd w:val="0"/>
              <w:snapToGrid w:val="0"/>
              <w:spacing w:line="360" w:lineRule="auto"/>
              <w:ind w:firstLine="482" w:firstLineChars="200"/>
              <w:rPr>
                <w:b/>
                <w:bCs/>
                <w:color w:val="auto"/>
                <w:kern w:val="0"/>
                <w:sz w:val="24"/>
              </w:rPr>
            </w:pPr>
          </w:p>
          <w:p w14:paraId="2FDF8A08">
            <w:pPr>
              <w:adjustRightInd w:val="0"/>
              <w:snapToGrid w:val="0"/>
              <w:spacing w:line="360" w:lineRule="auto"/>
              <w:ind w:firstLine="482" w:firstLineChars="200"/>
              <w:rPr>
                <w:b/>
                <w:bCs/>
                <w:color w:val="auto"/>
                <w:kern w:val="0"/>
                <w:sz w:val="24"/>
              </w:rPr>
            </w:pPr>
          </w:p>
          <w:p w14:paraId="4BA4E611">
            <w:pPr>
              <w:adjustRightInd w:val="0"/>
              <w:snapToGrid w:val="0"/>
              <w:spacing w:line="360" w:lineRule="auto"/>
              <w:ind w:firstLine="482" w:firstLineChars="200"/>
              <w:rPr>
                <w:b/>
                <w:bCs/>
                <w:color w:val="auto"/>
                <w:kern w:val="0"/>
                <w:sz w:val="24"/>
              </w:rPr>
            </w:pPr>
          </w:p>
          <w:p w14:paraId="7AD184D8">
            <w:pPr>
              <w:adjustRightInd w:val="0"/>
              <w:snapToGrid w:val="0"/>
              <w:spacing w:line="360" w:lineRule="auto"/>
              <w:ind w:firstLine="482" w:firstLineChars="200"/>
              <w:rPr>
                <w:b/>
                <w:bCs/>
                <w:color w:val="auto"/>
                <w:kern w:val="0"/>
                <w:sz w:val="24"/>
              </w:rPr>
            </w:pPr>
          </w:p>
          <w:p w14:paraId="7230594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kern w:val="0"/>
                <w:sz w:val="24"/>
              </w:rPr>
            </w:pPr>
            <w:r>
              <w:rPr>
                <w:b/>
                <w:bCs/>
                <w:color w:val="auto"/>
                <w:kern w:val="0"/>
                <w:sz w:val="24"/>
              </w:rPr>
              <w:t>综上所述：本项目符合国家和地方产业政策</w:t>
            </w:r>
            <w:r>
              <w:rPr>
                <w:rFonts w:hint="eastAsia"/>
                <w:b/>
                <w:bCs/>
                <w:color w:val="auto"/>
                <w:kern w:val="0"/>
                <w:sz w:val="24"/>
              </w:rPr>
              <w:t>要求</w:t>
            </w:r>
            <w:r>
              <w:rPr>
                <w:b/>
                <w:bCs/>
                <w:color w:val="auto"/>
                <w:kern w:val="0"/>
                <w:sz w:val="24"/>
              </w:rPr>
              <w:t>，</w:t>
            </w:r>
            <w:r>
              <w:rPr>
                <w:rFonts w:hint="eastAsia"/>
                <w:b/>
                <w:bCs/>
                <w:color w:val="auto"/>
                <w:kern w:val="0"/>
                <w:sz w:val="24"/>
              </w:rPr>
              <w:t>选址合理，</w:t>
            </w:r>
            <w:r>
              <w:rPr>
                <w:b/>
                <w:bCs/>
                <w:color w:val="auto"/>
                <w:kern w:val="0"/>
                <w:sz w:val="24"/>
              </w:rPr>
              <w:t>采用的各项污染防治措施合理、有效，</w:t>
            </w:r>
            <w:r>
              <w:rPr>
                <w:rFonts w:hint="eastAsia"/>
                <w:b/>
                <w:bCs/>
                <w:color w:val="auto"/>
                <w:kern w:val="0"/>
                <w:sz w:val="24"/>
              </w:rPr>
              <w:t>废</w:t>
            </w:r>
            <w:r>
              <w:rPr>
                <w:b/>
                <w:bCs/>
                <w:color w:val="auto"/>
                <w:kern w:val="0"/>
                <w:sz w:val="24"/>
              </w:rPr>
              <w:t>水、</w:t>
            </w:r>
            <w:r>
              <w:rPr>
                <w:rFonts w:hint="eastAsia"/>
                <w:b/>
                <w:bCs/>
                <w:color w:val="auto"/>
                <w:kern w:val="0"/>
                <w:sz w:val="24"/>
              </w:rPr>
              <w:t>废气</w:t>
            </w:r>
            <w:r>
              <w:rPr>
                <w:b/>
                <w:bCs/>
                <w:color w:val="auto"/>
                <w:kern w:val="0"/>
                <w:sz w:val="24"/>
              </w:rPr>
              <w:t>、噪声</w:t>
            </w:r>
            <w:r>
              <w:rPr>
                <w:rFonts w:hint="eastAsia"/>
                <w:b/>
                <w:bCs/>
                <w:color w:val="auto"/>
                <w:kern w:val="0"/>
                <w:sz w:val="24"/>
              </w:rPr>
              <w:t>等污染经采取相应治理设施治理后</w:t>
            </w:r>
            <w:r>
              <w:rPr>
                <w:b/>
                <w:bCs/>
                <w:color w:val="auto"/>
                <w:kern w:val="0"/>
                <w:sz w:val="24"/>
              </w:rPr>
              <w:t>均可实现达标排放，固体废物可实现零排放；项目</w:t>
            </w:r>
            <w:r>
              <w:rPr>
                <w:rFonts w:hint="eastAsia"/>
                <w:b/>
                <w:bCs/>
                <w:color w:val="auto"/>
                <w:kern w:val="0"/>
                <w:sz w:val="24"/>
              </w:rPr>
              <w:t>营运期</w:t>
            </w:r>
            <w:r>
              <w:rPr>
                <w:b/>
                <w:bCs/>
                <w:color w:val="auto"/>
                <w:kern w:val="0"/>
                <w:sz w:val="24"/>
              </w:rPr>
              <w:t>对周边环境污染影响</w:t>
            </w:r>
            <w:r>
              <w:rPr>
                <w:rFonts w:hint="eastAsia"/>
                <w:b/>
                <w:bCs/>
                <w:color w:val="auto"/>
                <w:kern w:val="0"/>
                <w:sz w:val="24"/>
              </w:rPr>
              <w:t>较小，在可接受范围内</w:t>
            </w:r>
            <w:r>
              <w:rPr>
                <w:b/>
                <w:bCs/>
                <w:color w:val="auto"/>
                <w:kern w:val="0"/>
                <w:sz w:val="24"/>
              </w:rPr>
              <w:t>。因此</w:t>
            </w:r>
            <w:r>
              <w:rPr>
                <w:rFonts w:hint="eastAsia"/>
                <w:b/>
                <w:bCs/>
                <w:color w:val="auto"/>
                <w:kern w:val="0"/>
                <w:sz w:val="24"/>
              </w:rPr>
              <w:t>，</w:t>
            </w:r>
            <w:r>
              <w:rPr>
                <w:b/>
                <w:bCs/>
                <w:color w:val="auto"/>
                <w:kern w:val="0"/>
                <w:sz w:val="24"/>
              </w:rPr>
              <w:t>在</w:t>
            </w:r>
            <w:r>
              <w:rPr>
                <w:rFonts w:hint="eastAsia"/>
                <w:b/>
                <w:bCs/>
                <w:color w:val="auto"/>
                <w:kern w:val="0"/>
                <w:sz w:val="24"/>
              </w:rPr>
              <w:t>本项目</w:t>
            </w:r>
            <w:r>
              <w:rPr>
                <w:b/>
                <w:bCs/>
                <w:color w:val="auto"/>
                <w:kern w:val="0"/>
                <w:sz w:val="24"/>
              </w:rPr>
              <w:t>设计和建设中，如能严格落实</w:t>
            </w:r>
            <w:r>
              <w:rPr>
                <w:rFonts w:hint="eastAsia"/>
                <w:b/>
                <w:bCs/>
                <w:color w:val="auto"/>
                <w:kern w:val="0"/>
                <w:sz w:val="24"/>
              </w:rPr>
              <w:t>本报告中提出</w:t>
            </w:r>
            <w:r>
              <w:rPr>
                <w:b/>
                <w:bCs/>
                <w:color w:val="auto"/>
                <w:kern w:val="0"/>
                <w:sz w:val="24"/>
              </w:rPr>
              <w:t>的</w:t>
            </w:r>
            <w:r>
              <w:rPr>
                <w:rFonts w:hint="eastAsia"/>
                <w:b/>
                <w:bCs/>
                <w:color w:val="auto"/>
                <w:kern w:val="0"/>
                <w:sz w:val="24"/>
              </w:rPr>
              <w:t>各项</w:t>
            </w:r>
            <w:r>
              <w:rPr>
                <w:b/>
                <w:bCs/>
                <w:color w:val="auto"/>
                <w:kern w:val="0"/>
                <w:sz w:val="24"/>
              </w:rPr>
              <w:t>污染防治措施，从环保角度分析，</w:t>
            </w:r>
            <w:r>
              <w:rPr>
                <w:rFonts w:hint="eastAsia"/>
                <w:b/>
                <w:bCs/>
                <w:color w:val="auto"/>
                <w:kern w:val="0"/>
                <w:sz w:val="24"/>
                <w:lang w:val="en-US" w:eastAsia="zh-CN"/>
              </w:rPr>
              <w:t>涟水呈颖模塑有限公司</w:t>
            </w:r>
            <w:r>
              <w:rPr>
                <w:rFonts w:hint="eastAsia"/>
                <w:b/>
                <w:bCs/>
                <w:color w:val="auto"/>
                <w:kern w:val="0"/>
                <w:sz w:val="24"/>
              </w:rPr>
              <w:t>年产50万件塑料手柄加工项目</w:t>
            </w:r>
            <w:r>
              <w:rPr>
                <w:b/>
                <w:bCs/>
                <w:color w:val="auto"/>
                <w:kern w:val="0"/>
                <w:sz w:val="24"/>
              </w:rPr>
              <w:t>在</w:t>
            </w:r>
            <w:r>
              <w:rPr>
                <w:rFonts w:hint="eastAsia"/>
                <w:b/>
                <w:bCs/>
                <w:color w:val="auto"/>
                <w:kern w:val="0"/>
                <w:sz w:val="24"/>
              </w:rPr>
              <w:t>涟水县</w:t>
            </w:r>
            <w:r>
              <w:rPr>
                <w:rFonts w:hint="eastAsia"/>
                <w:b/>
                <w:bCs/>
                <w:color w:val="auto"/>
                <w:kern w:val="0"/>
                <w:sz w:val="24"/>
                <w:lang w:val="en-US" w:eastAsia="zh-CN"/>
              </w:rPr>
              <w:t>经济开发区炎黄大道99号上水创业园28号厂房内</w:t>
            </w:r>
            <w:r>
              <w:rPr>
                <w:b/>
                <w:bCs/>
                <w:color w:val="auto"/>
                <w:kern w:val="0"/>
                <w:sz w:val="24"/>
              </w:rPr>
              <w:t>建设是可行的。</w:t>
            </w:r>
          </w:p>
          <w:p w14:paraId="73CA6093">
            <w:pPr>
              <w:spacing w:line="360" w:lineRule="auto"/>
              <w:rPr>
                <w:rFonts w:ascii="宋体" w:cs="宋体"/>
                <w:color w:val="auto"/>
                <w:sz w:val="24"/>
              </w:rPr>
            </w:pPr>
          </w:p>
        </w:tc>
      </w:tr>
    </w:tbl>
    <w:p w14:paraId="7C0C7CFA">
      <w:pPr>
        <w:pStyle w:val="16"/>
        <w:adjustRightInd w:val="0"/>
        <w:snapToGrid w:val="0"/>
        <w:spacing w:before="0" w:beforeAutospacing="0" w:after="0" w:afterAutospacing="0" w:line="500" w:lineRule="exact"/>
        <w:jc w:val="center"/>
        <w:outlineLvl w:val="0"/>
        <w:rPr>
          <w:rFonts w:ascii="方正小标宋_GBK" w:hAnsi="黑体" w:eastAsia="方正小标宋_GBK"/>
          <w:snapToGrid w:val="0"/>
          <w:color w:val="auto"/>
          <w:sz w:val="38"/>
          <w:szCs w:val="38"/>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5C37D0C3">
      <w:pPr>
        <w:pStyle w:val="16"/>
        <w:adjustRightInd w:val="0"/>
        <w:snapToGrid w:val="0"/>
        <w:spacing w:before="0" w:beforeAutospacing="0" w:after="0" w:afterAutospacing="0" w:line="500" w:lineRule="exact"/>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2"/>
        <w:tblW w:w="143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58"/>
        <w:gridCol w:w="1482"/>
        <w:gridCol w:w="1499"/>
        <w:gridCol w:w="1114"/>
        <w:gridCol w:w="1739"/>
        <w:gridCol w:w="1594"/>
        <w:gridCol w:w="1404"/>
        <w:gridCol w:w="1770"/>
        <w:gridCol w:w="1778"/>
      </w:tblGrid>
      <w:tr w14:paraId="3266E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7" w:type="dxa"/>
            <w:tcBorders>
              <w:tl2br w:val="single" w:color="auto" w:sz="4" w:space="0"/>
            </w:tcBorders>
            <w:noWrap w:val="0"/>
            <w:tcMar>
              <w:left w:w="28" w:type="dxa"/>
              <w:right w:w="28" w:type="dxa"/>
            </w:tcMar>
            <w:vAlign w:val="center"/>
          </w:tcPr>
          <w:p w14:paraId="5EDD4DE8">
            <w:pPr>
              <w:pStyle w:val="30"/>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36F66DF1">
            <w:pPr>
              <w:pStyle w:val="30"/>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2340" w:type="dxa"/>
            <w:gridSpan w:val="2"/>
            <w:noWrap w:val="0"/>
            <w:tcMar>
              <w:left w:w="28" w:type="dxa"/>
              <w:right w:w="28" w:type="dxa"/>
            </w:tcMar>
            <w:vAlign w:val="center"/>
          </w:tcPr>
          <w:p w14:paraId="5E1DF8B3">
            <w:pPr>
              <w:pStyle w:val="30"/>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499" w:type="dxa"/>
            <w:noWrap w:val="0"/>
            <w:tcMar>
              <w:left w:w="28" w:type="dxa"/>
              <w:right w:w="28" w:type="dxa"/>
            </w:tcMar>
            <w:vAlign w:val="center"/>
          </w:tcPr>
          <w:p w14:paraId="634DF483">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5FBED82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114" w:type="dxa"/>
            <w:noWrap w:val="0"/>
            <w:tcMar>
              <w:left w:w="28" w:type="dxa"/>
              <w:right w:w="28" w:type="dxa"/>
            </w:tcMar>
            <w:vAlign w:val="center"/>
          </w:tcPr>
          <w:p w14:paraId="50FB2216">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1A8CB07D">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697051DB">
            <w:pPr>
              <w:pStyle w:val="30"/>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39" w:type="dxa"/>
            <w:noWrap w:val="0"/>
            <w:tcMar>
              <w:left w:w="28" w:type="dxa"/>
              <w:right w:w="28" w:type="dxa"/>
            </w:tcMar>
            <w:vAlign w:val="center"/>
          </w:tcPr>
          <w:p w14:paraId="4362D4FB">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5BF1986E">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94" w:type="dxa"/>
            <w:noWrap w:val="0"/>
            <w:tcMar>
              <w:left w:w="28" w:type="dxa"/>
              <w:right w:w="28" w:type="dxa"/>
            </w:tcMar>
            <w:vAlign w:val="center"/>
          </w:tcPr>
          <w:p w14:paraId="698D6C9C">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5CBBFF38">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404" w:type="dxa"/>
            <w:noWrap w:val="0"/>
            <w:tcMar>
              <w:left w:w="28" w:type="dxa"/>
              <w:right w:w="28" w:type="dxa"/>
            </w:tcMar>
            <w:vAlign w:val="center"/>
          </w:tcPr>
          <w:p w14:paraId="3EE699D4">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42E72752">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770" w:type="dxa"/>
            <w:noWrap w:val="0"/>
            <w:tcMar>
              <w:left w:w="28" w:type="dxa"/>
              <w:right w:w="28" w:type="dxa"/>
            </w:tcMar>
            <w:vAlign w:val="center"/>
          </w:tcPr>
          <w:p w14:paraId="31E300EF">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18BCF963">
            <w:pPr>
              <w:pStyle w:val="30"/>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778" w:type="dxa"/>
            <w:noWrap w:val="0"/>
            <w:tcMar>
              <w:left w:w="28" w:type="dxa"/>
              <w:right w:w="28" w:type="dxa"/>
            </w:tcMar>
            <w:vAlign w:val="center"/>
          </w:tcPr>
          <w:p w14:paraId="38B8474E">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0737ADB7">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43AAE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restart"/>
            <w:noWrap w:val="0"/>
            <w:vAlign w:val="center"/>
          </w:tcPr>
          <w:p w14:paraId="410A4F37">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858" w:type="dxa"/>
            <w:vMerge w:val="restart"/>
            <w:noWrap w:val="0"/>
            <w:vAlign w:val="center"/>
          </w:tcPr>
          <w:p w14:paraId="25182815">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有组织</w:t>
            </w:r>
          </w:p>
        </w:tc>
        <w:tc>
          <w:tcPr>
            <w:tcW w:w="1482" w:type="dxa"/>
            <w:noWrap w:val="0"/>
            <w:vAlign w:val="center"/>
          </w:tcPr>
          <w:p w14:paraId="55B08B87">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1499" w:type="dxa"/>
            <w:noWrap w:val="0"/>
            <w:vAlign w:val="center"/>
          </w:tcPr>
          <w:p w14:paraId="7C903BB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381FB5A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26BB86C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7B02034">
            <w:pPr>
              <w:jc w:val="center"/>
              <w:rPr>
                <w:rFonts w:hint="eastAsia" w:cs="Times New Roman"/>
                <w:color w:val="auto"/>
                <w:szCs w:val="21"/>
                <w:lang w:val="en-US" w:eastAsia="zh-CN"/>
              </w:rPr>
            </w:pPr>
            <w:r>
              <w:rPr>
                <w:rFonts w:hint="eastAsia" w:cs="Times New Roman"/>
                <w:color w:val="auto"/>
                <w:szCs w:val="21"/>
                <w:lang w:val="en-US" w:eastAsia="zh-CN"/>
              </w:rPr>
              <w:t>0.587</w:t>
            </w:r>
            <w:r>
              <w:rPr>
                <w:rFonts w:hint="default" w:ascii="Times New Roman" w:hAnsi="Times New Roman" w:cs="Times New Roman"/>
                <w:color w:val="auto"/>
                <w:szCs w:val="21"/>
                <w:lang w:val="en-US" w:eastAsia="zh-CN"/>
              </w:rPr>
              <w:t>t/a</w:t>
            </w:r>
          </w:p>
        </w:tc>
        <w:tc>
          <w:tcPr>
            <w:tcW w:w="1404" w:type="dxa"/>
            <w:noWrap w:val="0"/>
            <w:vAlign w:val="center"/>
          </w:tcPr>
          <w:p w14:paraId="3FFE277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83DDD85">
            <w:pPr>
              <w:jc w:val="center"/>
              <w:rPr>
                <w:rFonts w:hint="eastAsia" w:cs="Times New Roman"/>
                <w:color w:val="auto"/>
                <w:szCs w:val="21"/>
                <w:lang w:val="en-US" w:eastAsia="zh-CN"/>
              </w:rPr>
            </w:pPr>
            <w:r>
              <w:rPr>
                <w:rFonts w:hint="eastAsia" w:cs="Times New Roman"/>
                <w:color w:val="auto"/>
                <w:szCs w:val="21"/>
                <w:lang w:val="en-US" w:eastAsia="zh-CN"/>
              </w:rPr>
              <w:t>0.587</w:t>
            </w:r>
            <w:r>
              <w:rPr>
                <w:rFonts w:hint="default" w:ascii="Times New Roman" w:hAnsi="Times New Roman" w:cs="Times New Roman"/>
                <w:color w:val="auto"/>
                <w:szCs w:val="21"/>
                <w:lang w:val="en-US" w:eastAsia="zh-CN"/>
              </w:rPr>
              <w:t>t/a</w:t>
            </w:r>
          </w:p>
        </w:tc>
        <w:tc>
          <w:tcPr>
            <w:tcW w:w="1778" w:type="dxa"/>
            <w:noWrap w:val="0"/>
            <w:vAlign w:val="center"/>
          </w:tcPr>
          <w:p w14:paraId="55A20556">
            <w:pPr>
              <w:jc w:val="center"/>
              <w:rPr>
                <w:rFonts w:hint="eastAsia" w:cs="Times New Roman"/>
                <w:color w:val="auto"/>
                <w:szCs w:val="21"/>
                <w:lang w:val="en-US" w:eastAsia="zh-CN"/>
              </w:rPr>
            </w:pPr>
            <w:r>
              <w:rPr>
                <w:rFonts w:hint="eastAsia" w:cs="Times New Roman"/>
                <w:color w:val="auto"/>
                <w:szCs w:val="21"/>
                <w:lang w:val="en-US" w:eastAsia="zh-CN"/>
              </w:rPr>
              <w:t>0.587</w:t>
            </w:r>
            <w:r>
              <w:rPr>
                <w:rFonts w:hint="default" w:ascii="Times New Roman" w:hAnsi="Times New Roman" w:cs="Times New Roman"/>
                <w:color w:val="auto"/>
                <w:szCs w:val="21"/>
                <w:lang w:val="en-US" w:eastAsia="zh-CN"/>
              </w:rPr>
              <w:t>t/a</w:t>
            </w:r>
          </w:p>
        </w:tc>
      </w:tr>
      <w:tr w14:paraId="247EB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3F0D1295">
            <w:pPr>
              <w:pStyle w:val="30"/>
              <w:spacing w:beforeLines="0" w:afterLines="0" w:line="240" w:lineRule="auto"/>
              <w:rPr>
                <w:rFonts w:hAnsi="宋体" w:cs="宋体"/>
                <w:snapToGrid w:val="0"/>
                <w:color w:val="auto"/>
                <w:kern w:val="21"/>
                <w:szCs w:val="21"/>
              </w:rPr>
            </w:pPr>
          </w:p>
        </w:tc>
        <w:tc>
          <w:tcPr>
            <w:tcW w:w="858" w:type="dxa"/>
            <w:vMerge w:val="continue"/>
            <w:noWrap w:val="0"/>
            <w:vAlign w:val="center"/>
          </w:tcPr>
          <w:p w14:paraId="1056DD23">
            <w:pPr>
              <w:jc w:val="center"/>
              <w:rPr>
                <w:rFonts w:hint="default" w:ascii="Times New Roman" w:hAnsi="Times New Roman" w:cs="Times New Roman"/>
                <w:color w:val="auto"/>
                <w:szCs w:val="21"/>
                <w:lang w:val="en-US" w:eastAsia="zh-CN"/>
              </w:rPr>
            </w:pPr>
          </w:p>
        </w:tc>
        <w:tc>
          <w:tcPr>
            <w:tcW w:w="1482" w:type="dxa"/>
            <w:noWrap w:val="0"/>
            <w:vAlign w:val="center"/>
          </w:tcPr>
          <w:p w14:paraId="23703CA3">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颗粒物</w:t>
            </w:r>
          </w:p>
        </w:tc>
        <w:tc>
          <w:tcPr>
            <w:tcW w:w="1499" w:type="dxa"/>
            <w:noWrap w:val="0"/>
            <w:vAlign w:val="center"/>
          </w:tcPr>
          <w:p w14:paraId="46B200A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63ED30B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2EC68D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368809FD">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0.081</w:t>
            </w:r>
            <w:r>
              <w:rPr>
                <w:rFonts w:hint="default" w:ascii="Times New Roman" w:hAnsi="Times New Roman" w:cs="Times New Roman"/>
                <w:color w:val="auto"/>
                <w:szCs w:val="21"/>
                <w:lang w:val="en-US" w:eastAsia="zh-CN"/>
              </w:rPr>
              <w:t>t/a</w:t>
            </w:r>
          </w:p>
        </w:tc>
        <w:tc>
          <w:tcPr>
            <w:tcW w:w="1404" w:type="dxa"/>
            <w:noWrap w:val="0"/>
            <w:vAlign w:val="center"/>
          </w:tcPr>
          <w:p w14:paraId="5AAA2CF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40494B6">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0.081</w:t>
            </w:r>
            <w:r>
              <w:rPr>
                <w:rFonts w:hint="default" w:ascii="Times New Roman" w:hAnsi="Times New Roman" w:cs="Times New Roman"/>
                <w:color w:val="auto"/>
                <w:szCs w:val="21"/>
                <w:lang w:val="en-US" w:eastAsia="zh-CN"/>
              </w:rPr>
              <w:t>t/a</w:t>
            </w:r>
          </w:p>
        </w:tc>
        <w:tc>
          <w:tcPr>
            <w:tcW w:w="1778" w:type="dxa"/>
            <w:noWrap w:val="0"/>
            <w:vAlign w:val="center"/>
          </w:tcPr>
          <w:p w14:paraId="792BF54D">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0.081</w:t>
            </w:r>
            <w:r>
              <w:rPr>
                <w:rFonts w:hint="default" w:ascii="Times New Roman" w:hAnsi="Times New Roman" w:cs="Times New Roman"/>
                <w:color w:val="auto"/>
                <w:szCs w:val="21"/>
                <w:lang w:val="en-US" w:eastAsia="zh-CN"/>
              </w:rPr>
              <w:t>t/a</w:t>
            </w:r>
          </w:p>
        </w:tc>
      </w:tr>
      <w:tr w14:paraId="0DC91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217FE23D">
            <w:pPr>
              <w:pStyle w:val="30"/>
              <w:spacing w:beforeLines="0" w:afterLines="0" w:line="240" w:lineRule="auto"/>
              <w:rPr>
                <w:rFonts w:hAnsi="宋体" w:cs="宋体"/>
                <w:snapToGrid w:val="0"/>
                <w:color w:val="auto"/>
                <w:kern w:val="21"/>
                <w:szCs w:val="21"/>
              </w:rPr>
            </w:pPr>
          </w:p>
        </w:tc>
        <w:tc>
          <w:tcPr>
            <w:tcW w:w="858" w:type="dxa"/>
            <w:vMerge w:val="continue"/>
            <w:noWrap w:val="0"/>
            <w:vAlign w:val="center"/>
          </w:tcPr>
          <w:p w14:paraId="677BAF53">
            <w:pPr>
              <w:jc w:val="center"/>
              <w:rPr>
                <w:rFonts w:hint="default" w:ascii="Times New Roman" w:hAnsi="Times New Roman" w:cs="Times New Roman"/>
                <w:color w:val="auto"/>
                <w:szCs w:val="21"/>
                <w:lang w:val="en-US" w:eastAsia="zh-CN"/>
              </w:rPr>
            </w:pPr>
          </w:p>
        </w:tc>
        <w:tc>
          <w:tcPr>
            <w:tcW w:w="1482" w:type="dxa"/>
            <w:noWrap w:val="0"/>
            <w:vAlign w:val="center"/>
          </w:tcPr>
          <w:p w14:paraId="15FD1663">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苯乙烯</w:t>
            </w:r>
          </w:p>
        </w:tc>
        <w:tc>
          <w:tcPr>
            <w:tcW w:w="1499" w:type="dxa"/>
            <w:noWrap w:val="0"/>
            <w:vAlign w:val="center"/>
          </w:tcPr>
          <w:p w14:paraId="3BE2EE9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72FA5E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55F3D4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331E0EB">
            <w:pPr>
              <w:jc w:val="center"/>
              <w:rPr>
                <w:rFonts w:hint="default" w:cs="Times New Roman"/>
                <w:color w:val="auto"/>
                <w:szCs w:val="21"/>
                <w:lang w:val="en-US" w:eastAsia="zh-CN"/>
              </w:rPr>
            </w:pPr>
            <w:r>
              <w:rPr>
                <w:rFonts w:hint="eastAsia" w:cs="Times New Roman"/>
                <w:color w:val="auto"/>
                <w:szCs w:val="21"/>
                <w:lang w:val="en-US" w:eastAsia="zh-CN"/>
              </w:rPr>
              <w:t>0.54</w:t>
            </w:r>
            <w:r>
              <w:rPr>
                <w:rFonts w:hint="default" w:ascii="Times New Roman" w:hAnsi="Times New Roman" w:cs="Times New Roman"/>
                <w:color w:val="auto"/>
                <w:szCs w:val="21"/>
                <w:lang w:val="en-US" w:eastAsia="zh-CN"/>
              </w:rPr>
              <w:t>t/a</w:t>
            </w:r>
          </w:p>
        </w:tc>
        <w:tc>
          <w:tcPr>
            <w:tcW w:w="1404" w:type="dxa"/>
            <w:noWrap w:val="0"/>
            <w:vAlign w:val="center"/>
          </w:tcPr>
          <w:p w14:paraId="353A961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4D7AF283">
            <w:pPr>
              <w:jc w:val="center"/>
              <w:rPr>
                <w:rFonts w:hint="eastAsia" w:cs="Times New Roman"/>
                <w:color w:val="auto"/>
                <w:szCs w:val="21"/>
                <w:lang w:val="en-US" w:eastAsia="zh-CN"/>
              </w:rPr>
            </w:pPr>
            <w:r>
              <w:rPr>
                <w:rFonts w:hint="eastAsia" w:cs="Times New Roman"/>
                <w:color w:val="auto"/>
                <w:szCs w:val="21"/>
                <w:lang w:val="en-US" w:eastAsia="zh-CN"/>
              </w:rPr>
              <w:t>0.54</w:t>
            </w:r>
            <w:r>
              <w:rPr>
                <w:rFonts w:hint="default" w:ascii="Times New Roman" w:hAnsi="Times New Roman" w:cs="Times New Roman"/>
                <w:color w:val="auto"/>
                <w:szCs w:val="21"/>
                <w:lang w:val="en-US" w:eastAsia="zh-CN"/>
              </w:rPr>
              <w:t>t/a</w:t>
            </w:r>
          </w:p>
        </w:tc>
        <w:tc>
          <w:tcPr>
            <w:tcW w:w="1778" w:type="dxa"/>
            <w:noWrap w:val="0"/>
            <w:vAlign w:val="center"/>
          </w:tcPr>
          <w:p w14:paraId="38E8928A">
            <w:pPr>
              <w:jc w:val="center"/>
              <w:rPr>
                <w:rFonts w:hint="eastAsia" w:cs="Times New Roman"/>
                <w:color w:val="auto"/>
                <w:szCs w:val="21"/>
                <w:lang w:val="en-US" w:eastAsia="zh-CN"/>
              </w:rPr>
            </w:pPr>
            <w:r>
              <w:rPr>
                <w:rFonts w:hint="eastAsia" w:cs="Times New Roman"/>
                <w:color w:val="auto"/>
                <w:szCs w:val="21"/>
                <w:lang w:val="en-US" w:eastAsia="zh-CN"/>
              </w:rPr>
              <w:t>0.54</w:t>
            </w:r>
            <w:r>
              <w:rPr>
                <w:rFonts w:hint="default" w:ascii="Times New Roman" w:hAnsi="Times New Roman" w:cs="Times New Roman"/>
                <w:color w:val="auto"/>
                <w:szCs w:val="21"/>
                <w:lang w:val="en-US" w:eastAsia="zh-CN"/>
              </w:rPr>
              <w:t>t/a</w:t>
            </w:r>
          </w:p>
        </w:tc>
      </w:tr>
      <w:tr w14:paraId="44B1D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15811817">
            <w:pPr>
              <w:pStyle w:val="30"/>
              <w:spacing w:beforeLines="0" w:afterLines="0" w:line="240" w:lineRule="auto"/>
              <w:rPr>
                <w:rFonts w:hAnsi="宋体" w:cs="宋体"/>
                <w:snapToGrid w:val="0"/>
                <w:color w:val="auto"/>
                <w:kern w:val="21"/>
                <w:szCs w:val="21"/>
              </w:rPr>
            </w:pPr>
          </w:p>
        </w:tc>
        <w:tc>
          <w:tcPr>
            <w:tcW w:w="858" w:type="dxa"/>
            <w:vMerge w:val="continue"/>
            <w:noWrap w:val="0"/>
            <w:vAlign w:val="center"/>
          </w:tcPr>
          <w:p w14:paraId="3A942029">
            <w:pPr>
              <w:jc w:val="center"/>
              <w:rPr>
                <w:rFonts w:hint="default" w:ascii="Times New Roman" w:hAnsi="Times New Roman" w:cs="Times New Roman"/>
                <w:color w:val="auto"/>
                <w:szCs w:val="21"/>
                <w:lang w:val="en-US" w:eastAsia="zh-CN"/>
              </w:rPr>
            </w:pPr>
          </w:p>
        </w:tc>
        <w:tc>
          <w:tcPr>
            <w:tcW w:w="1482" w:type="dxa"/>
            <w:noWrap w:val="0"/>
            <w:vAlign w:val="center"/>
          </w:tcPr>
          <w:p w14:paraId="11E3B753">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苯系物</w:t>
            </w:r>
          </w:p>
        </w:tc>
        <w:tc>
          <w:tcPr>
            <w:tcW w:w="1499" w:type="dxa"/>
            <w:noWrap w:val="0"/>
            <w:vAlign w:val="center"/>
          </w:tcPr>
          <w:p w14:paraId="446BB83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41BB127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39FD6D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F153105">
            <w:pPr>
              <w:jc w:val="center"/>
              <w:rPr>
                <w:rFonts w:hint="default" w:cs="Times New Roman"/>
                <w:color w:val="auto"/>
                <w:szCs w:val="21"/>
                <w:lang w:val="en-US" w:eastAsia="zh-CN"/>
              </w:rPr>
            </w:pPr>
            <w:r>
              <w:rPr>
                <w:rFonts w:hint="eastAsia" w:cs="Times New Roman"/>
                <w:color w:val="auto"/>
                <w:szCs w:val="21"/>
                <w:lang w:val="en-US" w:eastAsia="zh-CN"/>
              </w:rPr>
              <w:t>0.54</w:t>
            </w:r>
            <w:r>
              <w:rPr>
                <w:rFonts w:hint="default" w:ascii="Times New Roman" w:hAnsi="Times New Roman" w:cs="Times New Roman"/>
                <w:color w:val="auto"/>
                <w:szCs w:val="21"/>
                <w:lang w:val="en-US" w:eastAsia="zh-CN"/>
              </w:rPr>
              <w:t>t/a</w:t>
            </w:r>
          </w:p>
        </w:tc>
        <w:tc>
          <w:tcPr>
            <w:tcW w:w="1404" w:type="dxa"/>
            <w:noWrap w:val="0"/>
            <w:vAlign w:val="center"/>
          </w:tcPr>
          <w:p w14:paraId="07CDE18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4D22540">
            <w:pPr>
              <w:jc w:val="center"/>
              <w:rPr>
                <w:rFonts w:hint="eastAsia" w:cs="Times New Roman"/>
                <w:color w:val="auto"/>
                <w:szCs w:val="21"/>
                <w:lang w:val="en-US" w:eastAsia="zh-CN"/>
              </w:rPr>
            </w:pPr>
            <w:r>
              <w:rPr>
                <w:rFonts w:hint="eastAsia" w:cs="Times New Roman"/>
                <w:color w:val="auto"/>
                <w:szCs w:val="21"/>
                <w:lang w:val="en-US" w:eastAsia="zh-CN"/>
              </w:rPr>
              <w:t>0.54</w:t>
            </w:r>
            <w:r>
              <w:rPr>
                <w:rFonts w:hint="default" w:ascii="Times New Roman" w:hAnsi="Times New Roman" w:cs="Times New Roman"/>
                <w:color w:val="auto"/>
                <w:szCs w:val="21"/>
                <w:lang w:val="en-US" w:eastAsia="zh-CN"/>
              </w:rPr>
              <w:t>t/a</w:t>
            </w:r>
          </w:p>
        </w:tc>
        <w:tc>
          <w:tcPr>
            <w:tcW w:w="1778" w:type="dxa"/>
            <w:noWrap w:val="0"/>
            <w:vAlign w:val="center"/>
          </w:tcPr>
          <w:p w14:paraId="4F1693C2">
            <w:pPr>
              <w:jc w:val="center"/>
              <w:rPr>
                <w:rFonts w:hint="eastAsia" w:cs="Times New Roman"/>
                <w:color w:val="auto"/>
                <w:szCs w:val="21"/>
                <w:lang w:val="en-US" w:eastAsia="zh-CN"/>
              </w:rPr>
            </w:pPr>
            <w:r>
              <w:rPr>
                <w:rFonts w:hint="eastAsia" w:cs="Times New Roman"/>
                <w:color w:val="auto"/>
                <w:szCs w:val="21"/>
                <w:lang w:val="en-US" w:eastAsia="zh-CN"/>
              </w:rPr>
              <w:t>0.54</w:t>
            </w:r>
            <w:r>
              <w:rPr>
                <w:rFonts w:hint="default" w:ascii="Times New Roman" w:hAnsi="Times New Roman" w:cs="Times New Roman"/>
                <w:color w:val="auto"/>
                <w:szCs w:val="21"/>
                <w:lang w:val="en-US" w:eastAsia="zh-CN"/>
              </w:rPr>
              <w:t>t/a</w:t>
            </w:r>
          </w:p>
        </w:tc>
      </w:tr>
      <w:tr w14:paraId="6D8B8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4489D75B">
            <w:pPr>
              <w:pStyle w:val="30"/>
              <w:spacing w:beforeLines="0" w:afterLines="0" w:line="240" w:lineRule="auto"/>
              <w:rPr>
                <w:rFonts w:hAnsi="宋体" w:cs="宋体"/>
                <w:snapToGrid w:val="0"/>
                <w:color w:val="auto"/>
                <w:kern w:val="21"/>
                <w:szCs w:val="21"/>
              </w:rPr>
            </w:pPr>
          </w:p>
        </w:tc>
        <w:tc>
          <w:tcPr>
            <w:tcW w:w="858" w:type="dxa"/>
            <w:vMerge w:val="restart"/>
            <w:noWrap w:val="0"/>
            <w:vAlign w:val="center"/>
          </w:tcPr>
          <w:p w14:paraId="302F810C">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无组织</w:t>
            </w:r>
          </w:p>
        </w:tc>
        <w:tc>
          <w:tcPr>
            <w:tcW w:w="1482" w:type="dxa"/>
            <w:noWrap w:val="0"/>
            <w:vAlign w:val="center"/>
          </w:tcPr>
          <w:p w14:paraId="6A799BE3">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1499" w:type="dxa"/>
            <w:noWrap w:val="0"/>
            <w:vAlign w:val="center"/>
          </w:tcPr>
          <w:p w14:paraId="7A3E210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44B0515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3CBD996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17DFE43">
            <w:pPr>
              <w:jc w:val="center"/>
              <w:rPr>
                <w:rFonts w:hint="default" w:cs="Times New Roman"/>
                <w:color w:val="auto"/>
                <w:szCs w:val="21"/>
                <w:lang w:val="en-US" w:eastAsia="zh-CN"/>
              </w:rPr>
            </w:pPr>
            <w:r>
              <w:rPr>
                <w:rFonts w:hint="eastAsia" w:cs="Times New Roman"/>
                <w:color w:val="auto"/>
                <w:szCs w:val="21"/>
                <w:lang w:val="en-US" w:eastAsia="zh-CN"/>
              </w:rPr>
              <w:t>0.653</w:t>
            </w:r>
            <w:r>
              <w:rPr>
                <w:rFonts w:hint="default" w:ascii="Times New Roman" w:hAnsi="Times New Roman" w:cs="Times New Roman"/>
                <w:color w:val="auto"/>
                <w:szCs w:val="21"/>
                <w:lang w:val="en-US" w:eastAsia="zh-CN"/>
              </w:rPr>
              <w:t>t/a</w:t>
            </w:r>
          </w:p>
        </w:tc>
        <w:tc>
          <w:tcPr>
            <w:tcW w:w="1404" w:type="dxa"/>
            <w:noWrap w:val="0"/>
            <w:vAlign w:val="center"/>
          </w:tcPr>
          <w:p w14:paraId="39CAC4D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8DA301C">
            <w:pPr>
              <w:jc w:val="center"/>
              <w:rPr>
                <w:rFonts w:hint="eastAsia" w:cs="Times New Roman"/>
                <w:color w:val="auto"/>
                <w:szCs w:val="21"/>
                <w:lang w:val="en-US" w:eastAsia="zh-CN"/>
              </w:rPr>
            </w:pPr>
            <w:r>
              <w:rPr>
                <w:rFonts w:hint="eastAsia" w:cs="Times New Roman"/>
                <w:color w:val="auto"/>
                <w:szCs w:val="21"/>
                <w:lang w:val="en-US" w:eastAsia="zh-CN"/>
              </w:rPr>
              <w:t>0.653</w:t>
            </w:r>
            <w:r>
              <w:rPr>
                <w:rFonts w:hint="default" w:ascii="Times New Roman" w:hAnsi="Times New Roman" w:cs="Times New Roman"/>
                <w:color w:val="auto"/>
                <w:szCs w:val="21"/>
                <w:lang w:val="en-US" w:eastAsia="zh-CN"/>
              </w:rPr>
              <w:t>t/a</w:t>
            </w:r>
          </w:p>
        </w:tc>
        <w:tc>
          <w:tcPr>
            <w:tcW w:w="1778" w:type="dxa"/>
            <w:noWrap w:val="0"/>
            <w:vAlign w:val="center"/>
          </w:tcPr>
          <w:p w14:paraId="4870AFCB">
            <w:pPr>
              <w:jc w:val="center"/>
              <w:rPr>
                <w:rFonts w:hint="eastAsia" w:cs="Times New Roman"/>
                <w:color w:val="auto"/>
                <w:szCs w:val="21"/>
                <w:lang w:val="en-US" w:eastAsia="zh-CN"/>
              </w:rPr>
            </w:pPr>
            <w:r>
              <w:rPr>
                <w:rFonts w:hint="eastAsia" w:cs="Times New Roman"/>
                <w:color w:val="auto"/>
                <w:szCs w:val="21"/>
                <w:lang w:val="en-US" w:eastAsia="zh-CN"/>
              </w:rPr>
              <w:t>0.653</w:t>
            </w:r>
            <w:r>
              <w:rPr>
                <w:rFonts w:hint="default" w:ascii="Times New Roman" w:hAnsi="Times New Roman" w:cs="Times New Roman"/>
                <w:color w:val="auto"/>
                <w:szCs w:val="21"/>
                <w:lang w:val="en-US" w:eastAsia="zh-CN"/>
              </w:rPr>
              <w:t>t/a</w:t>
            </w:r>
          </w:p>
        </w:tc>
      </w:tr>
      <w:tr w14:paraId="5F798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77FFEE70">
            <w:pPr>
              <w:pStyle w:val="30"/>
              <w:spacing w:beforeLines="0" w:afterLines="0" w:line="240" w:lineRule="auto"/>
              <w:rPr>
                <w:rFonts w:hAnsi="宋体" w:cs="宋体"/>
                <w:snapToGrid w:val="0"/>
                <w:color w:val="auto"/>
                <w:kern w:val="21"/>
                <w:szCs w:val="21"/>
              </w:rPr>
            </w:pPr>
          </w:p>
        </w:tc>
        <w:tc>
          <w:tcPr>
            <w:tcW w:w="858" w:type="dxa"/>
            <w:vMerge w:val="continue"/>
            <w:noWrap w:val="0"/>
            <w:vAlign w:val="center"/>
          </w:tcPr>
          <w:p w14:paraId="5A77B5BF">
            <w:pPr>
              <w:jc w:val="center"/>
              <w:rPr>
                <w:rFonts w:hint="default" w:ascii="Times New Roman" w:hAnsi="Times New Roman" w:cs="Times New Roman"/>
                <w:color w:val="auto"/>
                <w:szCs w:val="21"/>
                <w:lang w:val="en-US" w:eastAsia="zh-CN"/>
              </w:rPr>
            </w:pPr>
          </w:p>
        </w:tc>
        <w:tc>
          <w:tcPr>
            <w:tcW w:w="1482" w:type="dxa"/>
            <w:noWrap w:val="0"/>
            <w:vAlign w:val="center"/>
          </w:tcPr>
          <w:p w14:paraId="01F34C23">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颗粒物</w:t>
            </w:r>
          </w:p>
        </w:tc>
        <w:tc>
          <w:tcPr>
            <w:tcW w:w="1499" w:type="dxa"/>
            <w:noWrap w:val="0"/>
            <w:vAlign w:val="center"/>
          </w:tcPr>
          <w:p w14:paraId="092A0FD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07249B1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2E6712E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482289C">
            <w:pPr>
              <w:jc w:val="center"/>
              <w:rPr>
                <w:rFonts w:hint="default" w:cs="Times New Roman"/>
                <w:color w:val="FF0000"/>
                <w:szCs w:val="21"/>
                <w:lang w:val="en-US" w:eastAsia="zh-CN"/>
              </w:rPr>
            </w:pPr>
            <w:r>
              <w:rPr>
                <w:rFonts w:hint="eastAsia" w:cs="Times New Roman"/>
                <w:color w:val="FF0000"/>
                <w:szCs w:val="21"/>
                <w:lang w:val="en-US" w:eastAsia="zh-CN"/>
              </w:rPr>
              <w:t>0.181</w:t>
            </w:r>
            <w:r>
              <w:rPr>
                <w:rFonts w:hint="default" w:ascii="Times New Roman" w:hAnsi="Times New Roman" w:cs="Times New Roman"/>
                <w:color w:val="FF0000"/>
                <w:szCs w:val="21"/>
                <w:lang w:val="en-US" w:eastAsia="zh-CN"/>
              </w:rPr>
              <w:t>t/a</w:t>
            </w:r>
          </w:p>
        </w:tc>
        <w:tc>
          <w:tcPr>
            <w:tcW w:w="1404" w:type="dxa"/>
            <w:noWrap w:val="0"/>
            <w:vAlign w:val="center"/>
          </w:tcPr>
          <w:p w14:paraId="0DD178CC">
            <w:pPr>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w:t>
            </w:r>
          </w:p>
        </w:tc>
        <w:tc>
          <w:tcPr>
            <w:tcW w:w="1770" w:type="dxa"/>
            <w:noWrap w:val="0"/>
            <w:vAlign w:val="center"/>
          </w:tcPr>
          <w:p w14:paraId="003EC4DF">
            <w:pPr>
              <w:jc w:val="center"/>
              <w:rPr>
                <w:rFonts w:hint="eastAsia" w:cs="Times New Roman"/>
                <w:color w:val="FF0000"/>
                <w:szCs w:val="21"/>
                <w:lang w:val="en-US" w:eastAsia="zh-CN"/>
              </w:rPr>
            </w:pPr>
            <w:r>
              <w:rPr>
                <w:rFonts w:hint="eastAsia" w:cs="Times New Roman"/>
                <w:color w:val="FF0000"/>
                <w:szCs w:val="21"/>
                <w:lang w:val="en-US" w:eastAsia="zh-CN"/>
              </w:rPr>
              <w:t>0.181</w:t>
            </w:r>
            <w:r>
              <w:rPr>
                <w:rFonts w:hint="default" w:ascii="Times New Roman" w:hAnsi="Times New Roman" w:cs="Times New Roman"/>
                <w:color w:val="FF0000"/>
                <w:szCs w:val="21"/>
                <w:lang w:val="en-US" w:eastAsia="zh-CN"/>
              </w:rPr>
              <w:t>t/a</w:t>
            </w:r>
          </w:p>
        </w:tc>
        <w:tc>
          <w:tcPr>
            <w:tcW w:w="1778" w:type="dxa"/>
            <w:noWrap w:val="0"/>
            <w:vAlign w:val="center"/>
          </w:tcPr>
          <w:p w14:paraId="4452945C">
            <w:pPr>
              <w:jc w:val="center"/>
              <w:rPr>
                <w:rFonts w:hint="eastAsia" w:cs="Times New Roman"/>
                <w:color w:val="FF0000"/>
                <w:szCs w:val="21"/>
                <w:lang w:val="en-US" w:eastAsia="zh-CN"/>
              </w:rPr>
            </w:pPr>
            <w:r>
              <w:rPr>
                <w:rFonts w:hint="eastAsia" w:cs="Times New Roman"/>
                <w:color w:val="FF0000"/>
                <w:szCs w:val="21"/>
                <w:lang w:val="en-US" w:eastAsia="zh-CN"/>
              </w:rPr>
              <w:t>0.181</w:t>
            </w:r>
            <w:r>
              <w:rPr>
                <w:rFonts w:hint="default" w:ascii="Times New Roman" w:hAnsi="Times New Roman" w:cs="Times New Roman"/>
                <w:color w:val="FF0000"/>
                <w:szCs w:val="21"/>
                <w:lang w:val="en-US" w:eastAsia="zh-CN"/>
              </w:rPr>
              <w:t>t/a</w:t>
            </w:r>
          </w:p>
        </w:tc>
      </w:tr>
      <w:tr w14:paraId="4FC04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32254F48">
            <w:pPr>
              <w:pStyle w:val="30"/>
              <w:spacing w:beforeLines="0" w:afterLines="0" w:line="240" w:lineRule="auto"/>
              <w:rPr>
                <w:rFonts w:hAnsi="宋体" w:cs="宋体"/>
                <w:snapToGrid w:val="0"/>
                <w:color w:val="auto"/>
                <w:kern w:val="21"/>
                <w:szCs w:val="21"/>
              </w:rPr>
            </w:pPr>
          </w:p>
        </w:tc>
        <w:tc>
          <w:tcPr>
            <w:tcW w:w="858" w:type="dxa"/>
            <w:vMerge w:val="continue"/>
            <w:noWrap w:val="0"/>
            <w:vAlign w:val="center"/>
          </w:tcPr>
          <w:p w14:paraId="70096B68">
            <w:pPr>
              <w:jc w:val="center"/>
              <w:rPr>
                <w:rFonts w:hint="default" w:ascii="Times New Roman" w:hAnsi="Times New Roman" w:cs="Times New Roman"/>
                <w:color w:val="auto"/>
                <w:szCs w:val="21"/>
                <w:lang w:val="en-US" w:eastAsia="zh-CN"/>
              </w:rPr>
            </w:pPr>
          </w:p>
        </w:tc>
        <w:tc>
          <w:tcPr>
            <w:tcW w:w="1482" w:type="dxa"/>
            <w:noWrap w:val="0"/>
            <w:vAlign w:val="center"/>
          </w:tcPr>
          <w:p w14:paraId="0225C14C">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苯乙烯</w:t>
            </w:r>
          </w:p>
        </w:tc>
        <w:tc>
          <w:tcPr>
            <w:tcW w:w="1499" w:type="dxa"/>
            <w:noWrap w:val="0"/>
            <w:vAlign w:val="center"/>
          </w:tcPr>
          <w:p w14:paraId="16BD81F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3E37C91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07FE510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154A171">
            <w:pPr>
              <w:jc w:val="center"/>
              <w:rPr>
                <w:rFonts w:hint="default" w:cs="Times New Roman"/>
                <w:color w:val="auto"/>
                <w:szCs w:val="21"/>
                <w:lang w:val="en-US" w:eastAsia="zh-CN"/>
              </w:rPr>
            </w:pPr>
            <w:r>
              <w:rPr>
                <w:rFonts w:hint="eastAsia" w:cs="Times New Roman"/>
                <w:color w:val="auto"/>
                <w:szCs w:val="21"/>
                <w:lang w:val="en-US" w:eastAsia="zh-CN"/>
              </w:rPr>
              <w:t>0.6</w:t>
            </w:r>
            <w:r>
              <w:rPr>
                <w:rFonts w:hint="default" w:ascii="Times New Roman" w:hAnsi="Times New Roman" w:cs="Times New Roman"/>
                <w:color w:val="auto"/>
                <w:szCs w:val="21"/>
                <w:lang w:val="en-US" w:eastAsia="zh-CN"/>
              </w:rPr>
              <w:t>t/a</w:t>
            </w:r>
          </w:p>
        </w:tc>
        <w:tc>
          <w:tcPr>
            <w:tcW w:w="1404" w:type="dxa"/>
            <w:noWrap w:val="0"/>
            <w:vAlign w:val="center"/>
          </w:tcPr>
          <w:p w14:paraId="6C0C996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459BA35E">
            <w:pPr>
              <w:jc w:val="center"/>
              <w:rPr>
                <w:rFonts w:hint="eastAsia" w:cs="Times New Roman"/>
                <w:color w:val="auto"/>
                <w:szCs w:val="21"/>
                <w:lang w:val="en-US" w:eastAsia="zh-CN"/>
              </w:rPr>
            </w:pPr>
            <w:r>
              <w:rPr>
                <w:rFonts w:hint="eastAsia" w:cs="Times New Roman"/>
                <w:color w:val="auto"/>
                <w:szCs w:val="21"/>
                <w:lang w:val="en-US" w:eastAsia="zh-CN"/>
              </w:rPr>
              <w:t>0.6</w:t>
            </w:r>
            <w:r>
              <w:rPr>
                <w:rFonts w:hint="default" w:ascii="Times New Roman" w:hAnsi="Times New Roman" w:cs="Times New Roman"/>
                <w:color w:val="auto"/>
                <w:szCs w:val="21"/>
                <w:lang w:val="en-US" w:eastAsia="zh-CN"/>
              </w:rPr>
              <w:t>t/a</w:t>
            </w:r>
          </w:p>
        </w:tc>
        <w:tc>
          <w:tcPr>
            <w:tcW w:w="1778" w:type="dxa"/>
            <w:noWrap w:val="0"/>
            <w:vAlign w:val="center"/>
          </w:tcPr>
          <w:p w14:paraId="332460D6">
            <w:pPr>
              <w:jc w:val="center"/>
              <w:rPr>
                <w:rFonts w:hint="eastAsia" w:cs="Times New Roman"/>
                <w:color w:val="auto"/>
                <w:szCs w:val="21"/>
                <w:lang w:val="en-US" w:eastAsia="zh-CN"/>
              </w:rPr>
            </w:pPr>
            <w:r>
              <w:rPr>
                <w:rFonts w:hint="eastAsia" w:cs="Times New Roman"/>
                <w:color w:val="auto"/>
                <w:szCs w:val="21"/>
                <w:lang w:val="en-US" w:eastAsia="zh-CN"/>
              </w:rPr>
              <w:t>0.6</w:t>
            </w:r>
            <w:r>
              <w:rPr>
                <w:rFonts w:hint="default" w:ascii="Times New Roman" w:hAnsi="Times New Roman" w:cs="Times New Roman"/>
                <w:color w:val="auto"/>
                <w:szCs w:val="21"/>
                <w:lang w:val="en-US" w:eastAsia="zh-CN"/>
              </w:rPr>
              <w:t>t/a</w:t>
            </w:r>
          </w:p>
        </w:tc>
      </w:tr>
      <w:tr w14:paraId="68132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50D061D6">
            <w:pPr>
              <w:pStyle w:val="30"/>
              <w:spacing w:beforeLines="0" w:afterLines="0" w:line="240" w:lineRule="auto"/>
              <w:rPr>
                <w:rFonts w:hAnsi="宋体" w:cs="宋体"/>
                <w:snapToGrid w:val="0"/>
                <w:color w:val="auto"/>
                <w:kern w:val="21"/>
                <w:szCs w:val="21"/>
              </w:rPr>
            </w:pPr>
          </w:p>
        </w:tc>
        <w:tc>
          <w:tcPr>
            <w:tcW w:w="858" w:type="dxa"/>
            <w:vMerge w:val="continue"/>
            <w:noWrap w:val="0"/>
            <w:vAlign w:val="center"/>
          </w:tcPr>
          <w:p w14:paraId="4382746C">
            <w:pPr>
              <w:jc w:val="center"/>
              <w:rPr>
                <w:rFonts w:hint="default" w:ascii="Times New Roman" w:hAnsi="Times New Roman" w:cs="Times New Roman"/>
                <w:color w:val="auto"/>
                <w:szCs w:val="21"/>
                <w:lang w:val="en-US" w:eastAsia="zh-CN"/>
              </w:rPr>
            </w:pPr>
          </w:p>
        </w:tc>
        <w:tc>
          <w:tcPr>
            <w:tcW w:w="1482" w:type="dxa"/>
            <w:noWrap w:val="0"/>
            <w:vAlign w:val="center"/>
          </w:tcPr>
          <w:p w14:paraId="2C5FB288">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苯系物</w:t>
            </w:r>
          </w:p>
        </w:tc>
        <w:tc>
          <w:tcPr>
            <w:tcW w:w="1499" w:type="dxa"/>
            <w:noWrap w:val="0"/>
            <w:vAlign w:val="center"/>
          </w:tcPr>
          <w:p w14:paraId="4BF6C31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3F39C44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3891513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B985AFD">
            <w:pPr>
              <w:jc w:val="center"/>
              <w:rPr>
                <w:rFonts w:hint="default" w:cs="Times New Roman"/>
                <w:color w:val="auto"/>
                <w:szCs w:val="21"/>
                <w:lang w:val="en-US" w:eastAsia="zh-CN"/>
              </w:rPr>
            </w:pPr>
            <w:r>
              <w:rPr>
                <w:rFonts w:hint="eastAsia" w:cs="Times New Roman"/>
                <w:color w:val="auto"/>
                <w:szCs w:val="21"/>
                <w:lang w:val="en-US" w:eastAsia="zh-CN"/>
              </w:rPr>
              <w:t>0.6</w:t>
            </w:r>
            <w:r>
              <w:rPr>
                <w:rFonts w:hint="default" w:ascii="Times New Roman" w:hAnsi="Times New Roman" w:cs="Times New Roman"/>
                <w:color w:val="auto"/>
                <w:szCs w:val="21"/>
                <w:lang w:val="en-US" w:eastAsia="zh-CN"/>
              </w:rPr>
              <w:t>t/a</w:t>
            </w:r>
          </w:p>
        </w:tc>
        <w:tc>
          <w:tcPr>
            <w:tcW w:w="1404" w:type="dxa"/>
            <w:noWrap w:val="0"/>
            <w:vAlign w:val="center"/>
          </w:tcPr>
          <w:p w14:paraId="14F9D33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60CBBC37">
            <w:pPr>
              <w:jc w:val="center"/>
              <w:rPr>
                <w:rFonts w:hint="eastAsia" w:cs="Times New Roman"/>
                <w:color w:val="auto"/>
                <w:szCs w:val="21"/>
                <w:lang w:val="en-US" w:eastAsia="zh-CN"/>
              </w:rPr>
            </w:pPr>
            <w:r>
              <w:rPr>
                <w:rFonts w:hint="eastAsia" w:cs="Times New Roman"/>
                <w:color w:val="auto"/>
                <w:szCs w:val="21"/>
                <w:lang w:val="en-US" w:eastAsia="zh-CN"/>
              </w:rPr>
              <w:t>0.6</w:t>
            </w:r>
            <w:r>
              <w:rPr>
                <w:rFonts w:hint="default" w:ascii="Times New Roman" w:hAnsi="Times New Roman" w:cs="Times New Roman"/>
                <w:color w:val="auto"/>
                <w:szCs w:val="21"/>
                <w:lang w:val="en-US" w:eastAsia="zh-CN"/>
              </w:rPr>
              <w:t>t/a</w:t>
            </w:r>
          </w:p>
        </w:tc>
        <w:tc>
          <w:tcPr>
            <w:tcW w:w="1778" w:type="dxa"/>
            <w:noWrap w:val="0"/>
            <w:vAlign w:val="center"/>
          </w:tcPr>
          <w:p w14:paraId="1CB7EC23">
            <w:pPr>
              <w:jc w:val="center"/>
              <w:rPr>
                <w:rFonts w:hint="eastAsia" w:cs="Times New Roman"/>
                <w:color w:val="auto"/>
                <w:szCs w:val="21"/>
                <w:lang w:val="en-US" w:eastAsia="zh-CN"/>
              </w:rPr>
            </w:pPr>
            <w:r>
              <w:rPr>
                <w:rFonts w:hint="eastAsia" w:cs="Times New Roman"/>
                <w:color w:val="auto"/>
                <w:szCs w:val="21"/>
                <w:lang w:val="en-US" w:eastAsia="zh-CN"/>
              </w:rPr>
              <w:t>0.6</w:t>
            </w:r>
            <w:r>
              <w:rPr>
                <w:rFonts w:hint="default" w:ascii="Times New Roman" w:hAnsi="Times New Roman" w:cs="Times New Roman"/>
                <w:color w:val="auto"/>
                <w:szCs w:val="21"/>
                <w:lang w:val="en-US" w:eastAsia="zh-CN"/>
              </w:rPr>
              <w:t>t/a</w:t>
            </w:r>
          </w:p>
        </w:tc>
      </w:tr>
      <w:tr w14:paraId="37A67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restart"/>
            <w:noWrap w:val="0"/>
            <w:vAlign w:val="center"/>
          </w:tcPr>
          <w:p w14:paraId="05552BE2">
            <w:pPr>
              <w:pStyle w:val="30"/>
              <w:spacing w:beforeLines="0" w:afterLines="0" w:line="240" w:lineRule="auto"/>
              <w:rPr>
                <w:rFonts w:hint="eastAsia" w:hAnsi="宋体" w:cs="宋体"/>
                <w:snapToGrid w:val="0"/>
                <w:color w:val="auto"/>
                <w:kern w:val="21"/>
                <w:szCs w:val="21"/>
                <w:lang w:val="en-US" w:eastAsia="zh-CN"/>
              </w:rPr>
            </w:pPr>
            <w:r>
              <w:rPr>
                <w:rFonts w:hint="eastAsia" w:hAnsi="宋体" w:cs="宋体"/>
                <w:snapToGrid w:val="0"/>
                <w:color w:val="auto"/>
                <w:kern w:val="21"/>
                <w:szCs w:val="21"/>
                <w:lang w:val="en-US" w:eastAsia="zh-CN"/>
              </w:rPr>
              <w:t>废水</w:t>
            </w:r>
          </w:p>
          <w:p w14:paraId="327A2320">
            <w:pPr>
              <w:pStyle w:val="30"/>
              <w:spacing w:beforeLines="0" w:afterLines="0" w:line="240" w:lineRule="auto"/>
              <w:rPr>
                <w:rFonts w:hint="default" w:hAnsi="宋体" w:eastAsia="宋体" w:cs="宋体"/>
                <w:snapToGrid w:val="0"/>
                <w:color w:val="auto"/>
                <w:kern w:val="21"/>
                <w:szCs w:val="21"/>
                <w:lang w:val="en-US" w:eastAsia="zh-CN"/>
              </w:rPr>
            </w:pPr>
          </w:p>
        </w:tc>
        <w:tc>
          <w:tcPr>
            <w:tcW w:w="2340" w:type="dxa"/>
            <w:gridSpan w:val="2"/>
            <w:noWrap w:val="0"/>
            <w:vAlign w:val="center"/>
          </w:tcPr>
          <w:p w14:paraId="7FA9643E">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废水量</w:t>
            </w:r>
          </w:p>
        </w:tc>
        <w:tc>
          <w:tcPr>
            <w:tcW w:w="1499" w:type="dxa"/>
            <w:noWrap w:val="0"/>
            <w:vAlign w:val="center"/>
          </w:tcPr>
          <w:p w14:paraId="7EC29C9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2A99C85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E3FED5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3FB0117A">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192</w:t>
            </w:r>
            <w:r>
              <w:rPr>
                <w:rFonts w:hint="default" w:ascii="Times New Roman" w:hAnsi="Times New Roman" w:cs="Times New Roman"/>
                <w:color w:val="auto"/>
                <w:szCs w:val="21"/>
                <w:lang w:val="en-US" w:eastAsia="zh-CN"/>
              </w:rPr>
              <w:t>t/a</w:t>
            </w:r>
          </w:p>
        </w:tc>
        <w:tc>
          <w:tcPr>
            <w:tcW w:w="1404" w:type="dxa"/>
            <w:noWrap w:val="0"/>
            <w:vAlign w:val="center"/>
          </w:tcPr>
          <w:p w14:paraId="6EE2539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6406D545">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192</w:t>
            </w:r>
            <w:r>
              <w:rPr>
                <w:rFonts w:hint="default" w:ascii="Times New Roman" w:hAnsi="Times New Roman" w:cs="Times New Roman"/>
                <w:color w:val="auto"/>
                <w:szCs w:val="21"/>
                <w:lang w:val="en-US" w:eastAsia="zh-CN"/>
              </w:rPr>
              <w:t>t/a</w:t>
            </w:r>
          </w:p>
        </w:tc>
        <w:tc>
          <w:tcPr>
            <w:tcW w:w="1778" w:type="dxa"/>
            <w:noWrap w:val="0"/>
            <w:vAlign w:val="center"/>
          </w:tcPr>
          <w:p w14:paraId="6068E66F">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192</w:t>
            </w:r>
            <w:r>
              <w:rPr>
                <w:rFonts w:hint="default" w:ascii="Times New Roman" w:hAnsi="Times New Roman" w:cs="Times New Roman"/>
                <w:color w:val="auto"/>
                <w:szCs w:val="21"/>
                <w:lang w:val="en-US" w:eastAsia="zh-CN"/>
              </w:rPr>
              <w:t>t/a</w:t>
            </w:r>
          </w:p>
        </w:tc>
      </w:tr>
      <w:tr w14:paraId="4F4B3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189E5896">
            <w:pPr>
              <w:pStyle w:val="30"/>
              <w:spacing w:beforeLines="0" w:afterLines="0" w:line="240" w:lineRule="auto"/>
              <w:rPr>
                <w:rFonts w:hint="default" w:hAnsi="宋体" w:eastAsia="宋体" w:cs="宋体"/>
                <w:snapToGrid w:val="0"/>
                <w:color w:val="auto"/>
                <w:kern w:val="21"/>
                <w:szCs w:val="21"/>
                <w:lang w:val="en-US" w:eastAsia="zh-CN"/>
              </w:rPr>
            </w:pPr>
          </w:p>
        </w:tc>
        <w:tc>
          <w:tcPr>
            <w:tcW w:w="2340" w:type="dxa"/>
            <w:gridSpan w:val="2"/>
            <w:noWrap w:val="0"/>
            <w:vAlign w:val="center"/>
          </w:tcPr>
          <w:p w14:paraId="140BF566">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COD</w:t>
            </w:r>
          </w:p>
        </w:tc>
        <w:tc>
          <w:tcPr>
            <w:tcW w:w="1499" w:type="dxa"/>
            <w:noWrap w:val="0"/>
            <w:vAlign w:val="center"/>
          </w:tcPr>
          <w:p w14:paraId="4694A66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C06AB8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0B3240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FCB90BE">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r>
              <w:rPr>
                <w:rFonts w:hint="eastAsia" w:cs="Times New Roman"/>
                <w:color w:val="auto"/>
                <w:szCs w:val="21"/>
                <w:lang w:val="en-US" w:eastAsia="zh-CN"/>
              </w:rPr>
              <w:t>0096</w:t>
            </w:r>
            <w:r>
              <w:rPr>
                <w:rFonts w:hint="default" w:ascii="Times New Roman" w:hAnsi="Times New Roman" w:cs="Times New Roman"/>
                <w:color w:val="auto"/>
                <w:szCs w:val="21"/>
                <w:lang w:val="en-US" w:eastAsia="zh-CN"/>
              </w:rPr>
              <w:t>t/a</w:t>
            </w:r>
          </w:p>
        </w:tc>
        <w:tc>
          <w:tcPr>
            <w:tcW w:w="1404" w:type="dxa"/>
            <w:noWrap w:val="0"/>
            <w:vAlign w:val="center"/>
          </w:tcPr>
          <w:p w14:paraId="1A4DEE0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56A07B87">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r>
              <w:rPr>
                <w:rFonts w:hint="eastAsia" w:cs="Times New Roman"/>
                <w:color w:val="auto"/>
                <w:szCs w:val="21"/>
                <w:lang w:val="en-US" w:eastAsia="zh-CN"/>
              </w:rPr>
              <w:t>0096</w:t>
            </w:r>
            <w:r>
              <w:rPr>
                <w:rFonts w:hint="default" w:ascii="Times New Roman" w:hAnsi="Times New Roman" w:cs="Times New Roman"/>
                <w:color w:val="auto"/>
                <w:szCs w:val="21"/>
                <w:lang w:val="en-US" w:eastAsia="zh-CN"/>
              </w:rPr>
              <w:t>t/a</w:t>
            </w:r>
          </w:p>
        </w:tc>
        <w:tc>
          <w:tcPr>
            <w:tcW w:w="1778" w:type="dxa"/>
            <w:noWrap w:val="0"/>
            <w:vAlign w:val="center"/>
          </w:tcPr>
          <w:p w14:paraId="3CA96E72">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r>
              <w:rPr>
                <w:rFonts w:hint="eastAsia" w:cs="Times New Roman"/>
                <w:color w:val="auto"/>
                <w:szCs w:val="21"/>
                <w:lang w:val="en-US" w:eastAsia="zh-CN"/>
              </w:rPr>
              <w:t>0096</w:t>
            </w:r>
            <w:r>
              <w:rPr>
                <w:rFonts w:hint="default" w:ascii="Times New Roman" w:hAnsi="Times New Roman" w:cs="Times New Roman"/>
                <w:color w:val="auto"/>
                <w:szCs w:val="21"/>
                <w:lang w:val="en-US" w:eastAsia="zh-CN"/>
              </w:rPr>
              <w:t>t/a</w:t>
            </w:r>
          </w:p>
        </w:tc>
      </w:tr>
      <w:tr w14:paraId="047AB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0669301E">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42790F50">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SS</w:t>
            </w:r>
          </w:p>
        </w:tc>
        <w:tc>
          <w:tcPr>
            <w:tcW w:w="1499" w:type="dxa"/>
            <w:noWrap w:val="0"/>
            <w:vAlign w:val="center"/>
          </w:tcPr>
          <w:p w14:paraId="5EAC68C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2D2A148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040CA04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1EDB16F">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019</w:t>
            </w:r>
            <w:r>
              <w:rPr>
                <w:rFonts w:hint="default" w:ascii="Times New Roman" w:hAnsi="Times New Roman" w:cs="Times New Roman"/>
                <w:color w:val="auto"/>
                <w:szCs w:val="21"/>
                <w:lang w:val="en-US" w:eastAsia="zh-CN"/>
              </w:rPr>
              <w:t>t/a</w:t>
            </w:r>
          </w:p>
        </w:tc>
        <w:tc>
          <w:tcPr>
            <w:tcW w:w="1404" w:type="dxa"/>
            <w:noWrap w:val="0"/>
            <w:vAlign w:val="center"/>
          </w:tcPr>
          <w:p w14:paraId="074C4DB4">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15B02FAC">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019</w:t>
            </w:r>
            <w:r>
              <w:rPr>
                <w:rFonts w:hint="default" w:ascii="Times New Roman" w:hAnsi="Times New Roman" w:cs="Times New Roman"/>
                <w:color w:val="auto"/>
                <w:szCs w:val="21"/>
                <w:lang w:val="en-US" w:eastAsia="zh-CN"/>
              </w:rPr>
              <w:t>t/a</w:t>
            </w:r>
          </w:p>
        </w:tc>
        <w:tc>
          <w:tcPr>
            <w:tcW w:w="1778" w:type="dxa"/>
            <w:noWrap w:val="0"/>
            <w:vAlign w:val="center"/>
          </w:tcPr>
          <w:p w14:paraId="69C54B4B">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019</w:t>
            </w:r>
            <w:r>
              <w:rPr>
                <w:rFonts w:hint="default" w:ascii="Times New Roman" w:hAnsi="Times New Roman" w:cs="Times New Roman"/>
                <w:color w:val="auto"/>
                <w:szCs w:val="21"/>
                <w:lang w:val="en-US" w:eastAsia="zh-CN"/>
              </w:rPr>
              <w:t>t/a</w:t>
            </w:r>
          </w:p>
        </w:tc>
      </w:tr>
      <w:tr w14:paraId="5A1DA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261F0D82">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66AD028A">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NH</w:t>
            </w:r>
            <w:r>
              <w:rPr>
                <w:rFonts w:hint="default" w:ascii="Times New Roman" w:hAnsi="Times New Roman" w:cs="Times New Roman"/>
                <w:color w:val="auto"/>
                <w:szCs w:val="21"/>
                <w:vertAlign w:val="subscript"/>
                <w:lang w:val="en-US" w:eastAsia="zh-CN"/>
              </w:rPr>
              <w:t>3</w:t>
            </w:r>
            <w:r>
              <w:rPr>
                <w:rFonts w:hint="default" w:ascii="Times New Roman" w:hAnsi="Times New Roman" w:cs="Times New Roman"/>
                <w:color w:val="auto"/>
                <w:szCs w:val="21"/>
                <w:lang w:val="en-US" w:eastAsia="zh-CN"/>
              </w:rPr>
              <w:t>-N</w:t>
            </w:r>
          </w:p>
        </w:tc>
        <w:tc>
          <w:tcPr>
            <w:tcW w:w="1499" w:type="dxa"/>
            <w:noWrap w:val="0"/>
            <w:vAlign w:val="center"/>
          </w:tcPr>
          <w:p w14:paraId="4803C18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12D0ECA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167B53D6">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9822363">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404" w:type="dxa"/>
            <w:noWrap w:val="0"/>
            <w:vAlign w:val="center"/>
          </w:tcPr>
          <w:p w14:paraId="5046A60C">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546E40A5">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778" w:type="dxa"/>
            <w:noWrap w:val="0"/>
            <w:vAlign w:val="center"/>
          </w:tcPr>
          <w:p w14:paraId="5465D891">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r>
      <w:tr w14:paraId="32AFA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75DDBFB1">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3ADF0412">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TN</w:t>
            </w:r>
          </w:p>
        </w:tc>
        <w:tc>
          <w:tcPr>
            <w:tcW w:w="1499" w:type="dxa"/>
            <w:noWrap w:val="0"/>
            <w:vAlign w:val="center"/>
          </w:tcPr>
          <w:p w14:paraId="09EC2BA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6C7F095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22FAA14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10DC5FBB">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029</w:t>
            </w:r>
            <w:r>
              <w:rPr>
                <w:rFonts w:hint="default" w:ascii="Times New Roman" w:hAnsi="Times New Roman" w:cs="Times New Roman"/>
                <w:color w:val="auto"/>
                <w:szCs w:val="21"/>
                <w:lang w:val="en-US" w:eastAsia="zh-CN"/>
              </w:rPr>
              <w:t>t/a</w:t>
            </w:r>
          </w:p>
        </w:tc>
        <w:tc>
          <w:tcPr>
            <w:tcW w:w="1404" w:type="dxa"/>
            <w:noWrap w:val="0"/>
            <w:vAlign w:val="center"/>
          </w:tcPr>
          <w:p w14:paraId="5FA847D2">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7B1EAF26">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029</w:t>
            </w:r>
            <w:r>
              <w:rPr>
                <w:rFonts w:hint="default" w:ascii="Times New Roman" w:hAnsi="Times New Roman" w:cs="Times New Roman"/>
                <w:color w:val="auto"/>
                <w:szCs w:val="21"/>
                <w:lang w:val="en-US" w:eastAsia="zh-CN"/>
              </w:rPr>
              <w:t>t/a</w:t>
            </w:r>
          </w:p>
        </w:tc>
        <w:tc>
          <w:tcPr>
            <w:tcW w:w="1778" w:type="dxa"/>
            <w:noWrap w:val="0"/>
            <w:vAlign w:val="center"/>
          </w:tcPr>
          <w:p w14:paraId="18DCCCDB">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029</w:t>
            </w:r>
            <w:r>
              <w:rPr>
                <w:rFonts w:hint="default" w:ascii="Times New Roman" w:hAnsi="Times New Roman" w:cs="Times New Roman"/>
                <w:color w:val="auto"/>
                <w:szCs w:val="21"/>
                <w:lang w:val="en-US" w:eastAsia="zh-CN"/>
              </w:rPr>
              <w:t>t/a</w:t>
            </w:r>
          </w:p>
        </w:tc>
      </w:tr>
      <w:tr w14:paraId="209DA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59061CDD">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6D5AFAA3">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TP</w:t>
            </w:r>
          </w:p>
        </w:tc>
        <w:tc>
          <w:tcPr>
            <w:tcW w:w="1499" w:type="dxa"/>
            <w:noWrap w:val="0"/>
            <w:vAlign w:val="center"/>
          </w:tcPr>
          <w:p w14:paraId="018A6F7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140F3B3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42C465B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B68DCE5">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w:t>
            </w: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404" w:type="dxa"/>
            <w:noWrap w:val="0"/>
            <w:vAlign w:val="center"/>
          </w:tcPr>
          <w:p w14:paraId="2F3680C2">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CD44649">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w:t>
            </w: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778" w:type="dxa"/>
            <w:noWrap w:val="0"/>
            <w:vAlign w:val="center"/>
          </w:tcPr>
          <w:p w14:paraId="18909988">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w:t>
            </w: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r>
      <w:tr w14:paraId="1C54A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restart"/>
            <w:noWrap w:val="0"/>
            <w:vAlign w:val="center"/>
          </w:tcPr>
          <w:p w14:paraId="26517602">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14:paraId="2BFD2E9A">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2340" w:type="dxa"/>
            <w:gridSpan w:val="2"/>
            <w:noWrap w:val="0"/>
            <w:vAlign w:val="center"/>
          </w:tcPr>
          <w:p w14:paraId="32B6C282">
            <w:pPr>
              <w:pStyle w:val="19"/>
              <w:spacing w:line="240" w:lineRule="auto"/>
              <w:ind w:left="0" w:lef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b w:val="0"/>
                <w:color w:val="auto"/>
                <w:sz w:val="21"/>
                <w:szCs w:val="18"/>
              </w:rPr>
              <w:t>废包装袋</w:t>
            </w:r>
          </w:p>
        </w:tc>
        <w:tc>
          <w:tcPr>
            <w:tcW w:w="1499" w:type="dxa"/>
            <w:noWrap w:val="0"/>
            <w:vAlign w:val="center"/>
          </w:tcPr>
          <w:p w14:paraId="0C74BE8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6CAE211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459DB37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1F7E1211">
            <w:pPr>
              <w:adjustRightInd w:val="0"/>
              <w:snapToGrid w:val="0"/>
              <w:jc w:val="center"/>
              <w:rPr>
                <w:rFonts w:hint="default" w:ascii="Times New Roman" w:hAnsi="Times New Roman" w:cs="Times New Roman"/>
                <w:color w:val="auto"/>
                <w:szCs w:val="21"/>
                <w:lang w:val="en-US" w:eastAsia="zh-CN"/>
              </w:rPr>
            </w:pPr>
            <w:r>
              <w:rPr>
                <w:rFonts w:hint="eastAsia"/>
                <w:color w:val="auto"/>
                <w:szCs w:val="18"/>
                <w:lang w:val="en-US" w:eastAsia="zh-CN"/>
              </w:rPr>
              <w:t>0.187</w:t>
            </w:r>
            <w:r>
              <w:rPr>
                <w:rFonts w:hint="default" w:ascii="Times New Roman" w:hAnsi="Times New Roman" w:cs="Times New Roman"/>
                <w:color w:val="auto"/>
                <w:szCs w:val="21"/>
                <w:lang w:val="en-US" w:eastAsia="zh-CN"/>
              </w:rPr>
              <w:t>t/a</w:t>
            </w:r>
          </w:p>
        </w:tc>
        <w:tc>
          <w:tcPr>
            <w:tcW w:w="1404" w:type="dxa"/>
            <w:noWrap w:val="0"/>
            <w:vAlign w:val="center"/>
          </w:tcPr>
          <w:p w14:paraId="39E03429">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70BDE287">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0.187</w:t>
            </w:r>
            <w:r>
              <w:rPr>
                <w:rFonts w:hint="default" w:ascii="Times New Roman" w:hAnsi="Times New Roman" w:cs="Times New Roman"/>
                <w:color w:val="auto"/>
                <w:szCs w:val="21"/>
                <w:lang w:val="en-US" w:eastAsia="zh-CN"/>
              </w:rPr>
              <w:t>t/a</w:t>
            </w:r>
          </w:p>
        </w:tc>
        <w:tc>
          <w:tcPr>
            <w:tcW w:w="1778" w:type="dxa"/>
            <w:noWrap w:val="0"/>
            <w:vAlign w:val="center"/>
          </w:tcPr>
          <w:p w14:paraId="49401A56">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0.187</w:t>
            </w:r>
            <w:r>
              <w:rPr>
                <w:rFonts w:hint="default" w:ascii="Times New Roman" w:hAnsi="Times New Roman" w:cs="Times New Roman"/>
                <w:color w:val="auto"/>
                <w:szCs w:val="21"/>
                <w:lang w:val="en-US" w:eastAsia="zh-CN"/>
              </w:rPr>
              <w:t>t/a</w:t>
            </w:r>
          </w:p>
        </w:tc>
      </w:tr>
      <w:tr w14:paraId="21259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3619468A">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65FAD3D1">
            <w:pPr>
              <w:pStyle w:val="19"/>
              <w:spacing w:line="240" w:lineRule="auto"/>
              <w:ind w:left="0" w:leftChars="0" w:firstLine="0" w:firstLineChars="0"/>
              <w:jc w:val="center"/>
              <w:rPr>
                <w:rFonts w:hint="eastAsia" w:ascii="Times New Roman" w:hAnsi="Times New Roman" w:cs="Times New Roman"/>
                <w:color w:val="auto"/>
                <w:szCs w:val="21"/>
                <w:lang w:val="en-US" w:eastAsia="zh-CN"/>
              </w:rPr>
            </w:pPr>
            <w:r>
              <w:rPr>
                <w:rFonts w:hint="eastAsia" w:ascii="Times New Roman" w:hAnsi="Times New Roman" w:cs="Times New Roman"/>
                <w:b w:val="0"/>
                <w:color w:val="auto"/>
                <w:sz w:val="21"/>
                <w:szCs w:val="18"/>
                <w:lang w:val="en-US" w:eastAsia="zh-CN"/>
              </w:rPr>
              <w:t>边角料</w:t>
            </w:r>
          </w:p>
        </w:tc>
        <w:tc>
          <w:tcPr>
            <w:tcW w:w="1499" w:type="dxa"/>
            <w:noWrap w:val="0"/>
            <w:vAlign w:val="center"/>
          </w:tcPr>
          <w:p w14:paraId="23A657F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A6D52C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6A1779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38D169F">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1.8</w:t>
            </w:r>
            <w:r>
              <w:rPr>
                <w:rFonts w:hint="default" w:ascii="Times New Roman" w:hAnsi="Times New Roman" w:cs="Times New Roman"/>
                <w:color w:val="auto"/>
                <w:szCs w:val="21"/>
                <w:lang w:val="en-US" w:eastAsia="zh-CN"/>
              </w:rPr>
              <w:t>t/a</w:t>
            </w:r>
          </w:p>
        </w:tc>
        <w:tc>
          <w:tcPr>
            <w:tcW w:w="1404" w:type="dxa"/>
            <w:noWrap w:val="0"/>
            <w:vAlign w:val="center"/>
          </w:tcPr>
          <w:p w14:paraId="3FC70E1E">
            <w:pPr>
              <w:jc w:val="center"/>
              <w:rPr>
                <w:rFonts w:hint="eastAsia"/>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910567C">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1.8</w:t>
            </w:r>
            <w:r>
              <w:rPr>
                <w:rFonts w:hint="default" w:ascii="Times New Roman" w:hAnsi="Times New Roman" w:cs="Times New Roman"/>
                <w:color w:val="auto"/>
                <w:szCs w:val="21"/>
                <w:lang w:val="en-US" w:eastAsia="zh-CN"/>
              </w:rPr>
              <w:t>t/a</w:t>
            </w:r>
          </w:p>
        </w:tc>
        <w:tc>
          <w:tcPr>
            <w:tcW w:w="1778" w:type="dxa"/>
            <w:noWrap w:val="0"/>
            <w:vAlign w:val="center"/>
          </w:tcPr>
          <w:p w14:paraId="5E19D4AD">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1.8</w:t>
            </w:r>
            <w:r>
              <w:rPr>
                <w:rFonts w:hint="default" w:ascii="Times New Roman" w:hAnsi="Times New Roman" w:cs="Times New Roman"/>
                <w:color w:val="auto"/>
                <w:szCs w:val="21"/>
                <w:lang w:val="en-US" w:eastAsia="zh-CN"/>
              </w:rPr>
              <w:t>t/a</w:t>
            </w:r>
          </w:p>
        </w:tc>
      </w:tr>
      <w:tr w14:paraId="6FDB8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5CE53592">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40E5F23C">
            <w:pPr>
              <w:pStyle w:val="19"/>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收集粉尘</w:t>
            </w:r>
          </w:p>
        </w:tc>
        <w:tc>
          <w:tcPr>
            <w:tcW w:w="1499" w:type="dxa"/>
            <w:noWrap w:val="0"/>
            <w:vAlign w:val="center"/>
          </w:tcPr>
          <w:p w14:paraId="7722A87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7197376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0F6EDEE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0682D95">
            <w:pPr>
              <w:adjustRightInd w:val="0"/>
              <w:snapToGrid w:val="0"/>
              <w:jc w:val="center"/>
              <w:rPr>
                <w:rFonts w:hint="default"/>
                <w:color w:val="auto"/>
                <w:szCs w:val="18"/>
                <w:lang w:val="en-US" w:eastAsia="zh-CN"/>
              </w:rPr>
            </w:pPr>
            <w:r>
              <w:rPr>
                <w:rFonts w:hint="eastAsia"/>
                <w:color w:val="auto"/>
                <w:szCs w:val="18"/>
                <w:lang w:val="en-US" w:eastAsia="zh-CN"/>
              </w:rPr>
              <w:t>1.539</w:t>
            </w:r>
            <w:r>
              <w:rPr>
                <w:rFonts w:hint="default" w:ascii="Times New Roman" w:hAnsi="Times New Roman" w:cs="Times New Roman"/>
                <w:color w:val="auto"/>
                <w:szCs w:val="21"/>
                <w:lang w:val="en-US" w:eastAsia="zh-CN"/>
              </w:rPr>
              <w:t>t/a</w:t>
            </w:r>
          </w:p>
        </w:tc>
        <w:tc>
          <w:tcPr>
            <w:tcW w:w="1404" w:type="dxa"/>
            <w:noWrap w:val="0"/>
            <w:vAlign w:val="center"/>
          </w:tcPr>
          <w:p w14:paraId="75CC4B7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30980131">
            <w:pPr>
              <w:adjustRightInd w:val="0"/>
              <w:snapToGrid w:val="0"/>
              <w:jc w:val="center"/>
              <w:rPr>
                <w:rFonts w:hint="eastAsia"/>
                <w:color w:val="auto"/>
                <w:szCs w:val="18"/>
                <w:lang w:val="en-US" w:eastAsia="zh-CN"/>
              </w:rPr>
            </w:pPr>
            <w:r>
              <w:rPr>
                <w:rFonts w:hint="eastAsia"/>
                <w:color w:val="auto"/>
                <w:szCs w:val="18"/>
                <w:lang w:val="en-US" w:eastAsia="zh-CN"/>
              </w:rPr>
              <w:t>1.539</w:t>
            </w:r>
            <w:r>
              <w:rPr>
                <w:rFonts w:hint="default" w:ascii="Times New Roman" w:hAnsi="Times New Roman" w:cs="Times New Roman"/>
                <w:color w:val="auto"/>
                <w:szCs w:val="21"/>
                <w:lang w:val="en-US" w:eastAsia="zh-CN"/>
              </w:rPr>
              <w:t>t/a</w:t>
            </w:r>
          </w:p>
        </w:tc>
        <w:tc>
          <w:tcPr>
            <w:tcW w:w="1778" w:type="dxa"/>
            <w:noWrap w:val="0"/>
            <w:vAlign w:val="center"/>
          </w:tcPr>
          <w:p w14:paraId="43EC6A6F">
            <w:pPr>
              <w:adjustRightInd w:val="0"/>
              <w:snapToGrid w:val="0"/>
              <w:jc w:val="center"/>
              <w:rPr>
                <w:rFonts w:hint="eastAsia"/>
                <w:color w:val="auto"/>
                <w:szCs w:val="18"/>
                <w:lang w:val="en-US" w:eastAsia="zh-CN"/>
              </w:rPr>
            </w:pPr>
            <w:r>
              <w:rPr>
                <w:rFonts w:hint="eastAsia"/>
                <w:color w:val="auto"/>
                <w:szCs w:val="18"/>
                <w:lang w:val="en-US" w:eastAsia="zh-CN"/>
              </w:rPr>
              <w:t>1.539</w:t>
            </w:r>
            <w:r>
              <w:rPr>
                <w:rFonts w:hint="default" w:ascii="Times New Roman" w:hAnsi="Times New Roman" w:cs="Times New Roman"/>
                <w:color w:val="auto"/>
                <w:szCs w:val="21"/>
                <w:lang w:val="en-US" w:eastAsia="zh-CN"/>
              </w:rPr>
              <w:t>t/a</w:t>
            </w:r>
          </w:p>
        </w:tc>
      </w:tr>
      <w:tr w14:paraId="044F2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restart"/>
            <w:noWrap w:val="0"/>
            <w:vAlign w:val="center"/>
          </w:tcPr>
          <w:p w14:paraId="715B6CC1">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lang w:eastAsia="zh-CN"/>
              </w:rPr>
              <w:t xml:space="preserve"> </w:t>
            </w:r>
            <w:r>
              <w:rPr>
                <w:rFonts w:hint="eastAsia" w:hAnsi="宋体" w:cs="宋体"/>
                <w:snapToGrid w:val="0"/>
                <w:color w:val="auto"/>
                <w:kern w:val="21"/>
                <w:szCs w:val="21"/>
              </w:rPr>
              <w:t>危险废物</w:t>
            </w:r>
          </w:p>
        </w:tc>
        <w:tc>
          <w:tcPr>
            <w:tcW w:w="2340" w:type="dxa"/>
            <w:gridSpan w:val="2"/>
            <w:noWrap w:val="0"/>
            <w:vAlign w:val="center"/>
          </w:tcPr>
          <w:p w14:paraId="7BD7E1C2">
            <w:pPr>
              <w:pStyle w:val="19"/>
              <w:spacing w:line="240" w:lineRule="auto"/>
              <w:ind w:left="0" w:leftChars="0" w:firstLine="0" w:firstLineChars="0"/>
              <w:jc w:val="center"/>
              <w:rPr>
                <w:rFonts w:hint="eastAsia" w:ascii="Times New Roman" w:hAnsi="Times New Roman" w:cs="Times New Roman"/>
                <w:color w:val="auto"/>
                <w:szCs w:val="21"/>
                <w:lang w:val="en-US" w:eastAsia="zh-CN"/>
              </w:rPr>
            </w:pPr>
            <w:r>
              <w:rPr>
                <w:rFonts w:hint="eastAsia" w:ascii="Times New Roman" w:hAnsi="Times New Roman" w:cs="Times New Roman"/>
                <w:b w:val="0"/>
                <w:color w:val="auto"/>
                <w:sz w:val="21"/>
                <w:szCs w:val="18"/>
              </w:rPr>
              <w:t>废活性炭</w:t>
            </w:r>
          </w:p>
        </w:tc>
        <w:tc>
          <w:tcPr>
            <w:tcW w:w="1499" w:type="dxa"/>
            <w:noWrap w:val="0"/>
            <w:vAlign w:val="center"/>
          </w:tcPr>
          <w:p w14:paraId="4234DD1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49A92B8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02061D3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1EE68322">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33.286</w:t>
            </w:r>
            <w:r>
              <w:rPr>
                <w:rFonts w:hint="default" w:ascii="Times New Roman" w:hAnsi="Times New Roman" w:cs="Times New Roman"/>
                <w:color w:val="auto"/>
                <w:szCs w:val="21"/>
                <w:lang w:val="en-US" w:eastAsia="zh-CN"/>
              </w:rPr>
              <w:t>t/a</w:t>
            </w:r>
          </w:p>
        </w:tc>
        <w:tc>
          <w:tcPr>
            <w:tcW w:w="1404" w:type="dxa"/>
            <w:noWrap w:val="0"/>
            <w:vAlign w:val="center"/>
          </w:tcPr>
          <w:p w14:paraId="2B777093">
            <w:pPr>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4CDD33C">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33.286</w:t>
            </w:r>
            <w:r>
              <w:rPr>
                <w:rFonts w:hint="default" w:ascii="Times New Roman" w:hAnsi="Times New Roman" w:cs="Times New Roman"/>
                <w:color w:val="auto"/>
                <w:szCs w:val="21"/>
                <w:lang w:val="en-US" w:eastAsia="zh-CN"/>
              </w:rPr>
              <w:t>t/a</w:t>
            </w:r>
          </w:p>
        </w:tc>
        <w:tc>
          <w:tcPr>
            <w:tcW w:w="1778" w:type="dxa"/>
            <w:noWrap w:val="0"/>
            <w:vAlign w:val="center"/>
          </w:tcPr>
          <w:p w14:paraId="70C6B6AA">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33.286</w:t>
            </w:r>
            <w:r>
              <w:rPr>
                <w:rFonts w:hint="default" w:ascii="Times New Roman" w:hAnsi="Times New Roman" w:cs="Times New Roman"/>
                <w:color w:val="auto"/>
                <w:szCs w:val="21"/>
                <w:lang w:val="en-US" w:eastAsia="zh-CN"/>
              </w:rPr>
              <w:t>t/a</w:t>
            </w:r>
          </w:p>
        </w:tc>
      </w:tr>
      <w:tr w14:paraId="00705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518BBBBB">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2285651F">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废液压油</w:t>
            </w:r>
          </w:p>
        </w:tc>
        <w:tc>
          <w:tcPr>
            <w:tcW w:w="1499" w:type="dxa"/>
            <w:noWrap w:val="0"/>
            <w:vAlign w:val="center"/>
          </w:tcPr>
          <w:p w14:paraId="6EA8630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2B56CE2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67C69DB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1B933DDC">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0.075</w:t>
            </w:r>
            <w:r>
              <w:rPr>
                <w:rFonts w:hint="default" w:ascii="Times New Roman" w:hAnsi="Times New Roman" w:cs="Times New Roman"/>
                <w:color w:val="auto"/>
                <w:szCs w:val="21"/>
                <w:lang w:val="en-US" w:eastAsia="zh-CN"/>
              </w:rPr>
              <w:t>t/a</w:t>
            </w:r>
          </w:p>
        </w:tc>
        <w:tc>
          <w:tcPr>
            <w:tcW w:w="1404" w:type="dxa"/>
            <w:noWrap w:val="0"/>
            <w:vAlign w:val="center"/>
          </w:tcPr>
          <w:p w14:paraId="4DB04C1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C52744F">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0.075</w:t>
            </w:r>
            <w:r>
              <w:rPr>
                <w:rFonts w:hint="default" w:ascii="Times New Roman" w:hAnsi="Times New Roman" w:cs="Times New Roman"/>
                <w:color w:val="auto"/>
                <w:szCs w:val="21"/>
                <w:lang w:val="en-US" w:eastAsia="zh-CN"/>
              </w:rPr>
              <w:t>t/a</w:t>
            </w:r>
          </w:p>
        </w:tc>
        <w:tc>
          <w:tcPr>
            <w:tcW w:w="1778" w:type="dxa"/>
            <w:noWrap w:val="0"/>
            <w:vAlign w:val="center"/>
          </w:tcPr>
          <w:p w14:paraId="62B69EFF">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0.075</w:t>
            </w:r>
            <w:r>
              <w:rPr>
                <w:rFonts w:hint="default" w:ascii="Times New Roman" w:hAnsi="Times New Roman" w:cs="Times New Roman"/>
                <w:color w:val="auto"/>
                <w:szCs w:val="21"/>
                <w:lang w:val="en-US" w:eastAsia="zh-CN"/>
              </w:rPr>
              <w:t>t/a</w:t>
            </w:r>
          </w:p>
        </w:tc>
      </w:tr>
      <w:tr w14:paraId="46F89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0F593F7E">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38A541A9">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废包装桶</w:t>
            </w:r>
          </w:p>
        </w:tc>
        <w:tc>
          <w:tcPr>
            <w:tcW w:w="1499" w:type="dxa"/>
            <w:noWrap w:val="0"/>
            <w:vAlign w:val="center"/>
          </w:tcPr>
          <w:p w14:paraId="7655221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54A221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5080FFB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38BC98D6">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0.4</w:t>
            </w:r>
            <w:r>
              <w:rPr>
                <w:rFonts w:hint="default" w:ascii="Times New Roman" w:hAnsi="Times New Roman" w:cs="Times New Roman"/>
                <w:color w:val="auto"/>
                <w:szCs w:val="21"/>
                <w:lang w:val="en-US" w:eastAsia="zh-CN"/>
              </w:rPr>
              <w:t>t/a</w:t>
            </w:r>
          </w:p>
        </w:tc>
        <w:tc>
          <w:tcPr>
            <w:tcW w:w="1404" w:type="dxa"/>
            <w:noWrap w:val="0"/>
            <w:vAlign w:val="center"/>
          </w:tcPr>
          <w:p w14:paraId="07A8506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1DCE3BA9">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0.4</w:t>
            </w:r>
            <w:r>
              <w:rPr>
                <w:rFonts w:hint="default" w:ascii="Times New Roman" w:hAnsi="Times New Roman" w:cs="Times New Roman"/>
                <w:color w:val="auto"/>
                <w:szCs w:val="21"/>
                <w:lang w:val="en-US" w:eastAsia="zh-CN"/>
              </w:rPr>
              <w:t>t/a</w:t>
            </w:r>
          </w:p>
        </w:tc>
        <w:tc>
          <w:tcPr>
            <w:tcW w:w="1778" w:type="dxa"/>
            <w:noWrap w:val="0"/>
            <w:vAlign w:val="center"/>
          </w:tcPr>
          <w:p w14:paraId="2E11EB74">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0.4</w:t>
            </w:r>
            <w:r>
              <w:rPr>
                <w:rFonts w:hint="default" w:ascii="Times New Roman" w:hAnsi="Times New Roman" w:cs="Times New Roman"/>
                <w:color w:val="auto"/>
                <w:szCs w:val="21"/>
                <w:lang w:val="en-US" w:eastAsia="zh-CN"/>
              </w:rPr>
              <w:t>t/a</w:t>
            </w:r>
          </w:p>
        </w:tc>
      </w:tr>
      <w:tr w14:paraId="59DFD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vMerge w:val="continue"/>
            <w:noWrap w:val="0"/>
            <w:vAlign w:val="center"/>
          </w:tcPr>
          <w:p w14:paraId="008FBF33">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6C66E63D">
            <w:pPr>
              <w:pStyle w:val="19"/>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废劳保用品</w:t>
            </w:r>
          </w:p>
        </w:tc>
        <w:tc>
          <w:tcPr>
            <w:tcW w:w="1499" w:type="dxa"/>
            <w:noWrap w:val="0"/>
            <w:vAlign w:val="center"/>
          </w:tcPr>
          <w:p w14:paraId="52A3E8A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6255DC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388E8A1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0144063">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0.01</w:t>
            </w:r>
            <w:r>
              <w:rPr>
                <w:rFonts w:hint="default" w:ascii="Times New Roman" w:hAnsi="Times New Roman" w:cs="Times New Roman"/>
                <w:color w:val="auto"/>
                <w:szCs w:val="21"/>
                <w:lang w:val="en-US" w:eastAsia="zh-CN"/>
              </w:rPr>
              <w:t>t/a</w:t>
            </w:r>
          </w:p>
        </w:tc>
        <w:tc>
          <w:tcPr>
            <w:tcW w:w="1404" w:type="dxa"/>
            <w:noWrap w:val="0"/>
            <w:vAlign w:val="center"/>
          </w:tcPr>
          <w:p w14:paraId="30B3A67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5B399345">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0.01</w:t>
            </w:r>
            <w:r>
              <w:rPr>
                <w:rFonts w:hint="default" w:ascii="Times New Roman" w:hAnsi="Times New Roman" w:cs="Times New Roman"/>
                <w:color w:val="auto"/>
                <w:szCs w:val="21"/>
                <w:lang w:val="en-US" w:eastAsia="zh-CN"/>
              </w:rPr>
              <w:t>t/a</w:t>
            </w:r>
          </w:p>
        </w:tc>
        <w:tc>
          <w:tcPr>
            <w:tcW w:w="1778" w:type="dxa"/>
            <w:noWrap w:val="0"/>
            <w:vAlign w:val="center"/>
          </w:tcPr>
          <w:p w14:paraId="7D9BE494">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0.01</w:t>
            </w:r>
            <w:r>
              <w:rPr>
                <w:rFonts w:hint="default" w:ascii="Times New Roman" w:hAnsi="Times New Roman" w:cs="Times New Roman"/>
                <w:color w:val="auto"/>
                <w:szCs w:val="21"/>
                <w:lang w:val="en-US" w:eastAsia="zh-CN"/>
              </w:rPr>
              <w:t>t/a</w:t>
            </w:r>
          </w:p>
        </w:tc>
      </w:tr>
      <w:tr w14:paraId="7149A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7" w:type="dxa"/>
            <w:noWrap w:val="0"/>
            <w:vAlign w:val="center"/>
          </w:tcPr>
          <w:p w14:paraId="0BAF6BA4">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生活固废</w:t>
            </w:r>
          </w:p>
        </w:tc>
        <w:tc>
          <w:tcPr>
            <w:tcW w:w="2340" w:type="dxa"/>
            <w:gridSpan w:val="2"/>
            <w:noWrap w:val="0"/>
            <w:vAlign w:val="center"/>
          </w:tcPr>
          <w:p w14:paraId="74A2B940">
            <w:pPr>
              <w:pStyle w:val="19"/>
              <w:spacing w:line="240" w:lineRule="auto"/>
              <w:ind w:left="0" w:leftChars="0" w:firstLine="0" w:firstLineChars="0"/>
              <w:jc w:val="center"/>
              <w:rPr>
                <w:color w:val="auto"/>
                <w:szCs w:val="21"/>
              </w:rPr>
            </w:pPr>
            <w:r>
              <w:rPr>
                <w:rFonts w:hint="eastAsia" w:ascii="Times New Roman" w:hAnsi="Times New Roman" w:cs="Times New Roman"/>
                <w:b w:val="0"/>
                <w:color w:val="auto"/>
                <w:sz w:val="21"/>
                <w:szCs w:val="18"/>
              </w:rPr>
              <w:t>生活垃圾</w:t>
            </w:r>
          </w:p>
        </w:tc>
        <w:tc>
          <w:tcPr>
            <w:tcW w:w="1499" w:type="dxa"/>
            <w:noWrap w:val="0"/>
            <w:vAlign w:val="center"/>
          </w:tcPr>
          <w:p w14:paraId="1B77201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09E22BC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5B42F58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C8DB599">
            <w:pPr>
              <w:adjustRightInd w:val="0"/>
              <w:snapToGrid w:val="0"/>
              <w:jc w:val="center"/>
              <w:rPr>
                <w:color w:val="auto"/>
                <w:szCs w:val="21"/>
              </w:rPr>
            </w:pPr>
            <w:r>
              <w:rPr>
                <w:rFonts w:hint="eastAsia"/>
                <w:color w:val="auto"/>
                <w:szCs w:val="18"/>
                <w:lang w:val="en-US" w:eastAsia="zh-CN"/>
              </w:rPr>
              <w:t>2.4</w:t>
            </w:r>
            <w:r>
              <w:rPr>
                <w:rFonts w:hint="default" w:ascii="Times New Roman" w:hAnsi="Times New Roman" w:cs="Times New Roman"/>
                <w:color w:val="auto"/>
                <w:szCs w:val="21"/>
                <w:lang w:val="en-US" w:eastAsia="zh-CN"/>
              </w:rPr>
              <w:t>t/a</w:t>
            </w:r>
          </w:p>
        </w:tc>
        <w:tc>
          <w:tcPr>
            <w:tcW w:w="1404" w:type="dxa"/>
            <w:noWrap w:val="0"/>
            <w:vAlign w:val="center"/>
          </w:tcPr>
          <w:p w14:paraId="4A2DE0A6">
            <w:pPr>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4B42C65A">
            <w:pPr>
              <w:adjustRightInd w:val="0"/>
              <w:snapToGrid w:val="0"/>
              <w:jc w:val="center"/>
              <w:rPr>
                <w:color w:val="auto"/>
                <w:szCs w:val="21"/>
              </w:rPr>
            </w:pPr>
            <w:r>
              <w:rPr>
                <w:rFonts w:hint="eastAsia"/>
                <w:color w:val="auto"/>
                <w:szCs w:val="18"/>
                <w:lang w:val="en-US" w:eastAsia="zh-CN"/>
              </w:rPr>
              <w:t>2.4</w:t>
            </w:r>
            <w:r>
              <w:rPr>
                <w:rFonts w:hint="default" w:ascii="Times New Roman" w:hAnsi="Times New Roman" w:cs="Times New Roman"/>
                <w:color w:val="auto"/>
                <w:szCs w:val="21"/>
                <w:lang w:val="en-US" w:eastAsia="zh-CN"/>
              </w:rPr>
              <w:t>t/a</w:t>
            </w:r>
          </w:p>
        </w:tc>
        <w:tc>
          <w:tcPr>
            <w:tcW w:w="1778" w:type="dxa"/>
            <w:noWrap w:val="0"/>
            <w:vAlign w:val="center"/>
          </w:tcPr>
          <w:p w14:paraId="058657C0">
            <w:pPr>
              <w:adjustRightInd w:val="0"/>
              <w:snapToGrid w:val="0"/>
              <w:jc w:val="center"/>
              <w:rPr>
                <w:rFonts w:ascii="Times New Roman"/>
                <w:color w:val="auto"/>
                <w:szCs w:val="21"/>
              </w:rPr>
            </w:pPr>
            <w:r>
              <w:rPr>
                <w:rFonts w:hint="eastAsia"/>
                <w:color w:val="auto"/>
                <w:szCs w:val="18"/>
                <w:lang w:val="en-US" w:eastAsia="zh-CN"/>
              </w:rPr>
              <w:t>2.4</w:t>
            </w:r>
            <w:r>
              <w:rPr>
                <w:rFonts w:hint="default" w:ascii="Times New Roman" w:hAnsi="Times New Roman" w:cs="Times New Roman"/>
                <w:color w:val="auto"/>
                <w:szCs w:val="21"/>
                <w:lang w:val="en-US" w:eastAsia="zh-CN"/>
              </w:rPr>
              <w:t>t/a</w:t>
            </w:r>
          </w:p>
        </w:tc>
      </w:tr>
    </w:tbl>
    <w:p w14:paraId="6862429E">
      <w:pPr>
        <w:pStyle w:val="30"/>
        <w:spacing w:before="192" w:beforeLines="80" w:after="24"/>
        <w:jc w:val="left"/>
        <w:rPr>
          <w:rFonts w:hint="default" w:hAnsi="宋体" w:eastAsia="宋体"/>
          <w:color w:val="auto"/>
          <w:lang w:val="en-US" w:eastAsia="zh-CN"/>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int="eastAsia" w:ascii="Times New Roman" w:hAnsi="Times New Roman"/>
          <w:snapToGrid w:val="0"/>
          <w:color w:val="auto"/>
          <w:spacing w:val="-6"/>
          <w:kern w:val="21"/>
          <w:sz w:val="21"/>
          <w:szCs w:val="21"/>
          <w:lang w:val="en-US" w:eastAsia="zh-CN"/>
        </w:rPr>
        <w:t>。</w:t>
      </w:r>
    </w:p>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9E1491-0210-4629-84A8-43508F0F92CB}"/>
  </w:font>
  <w:font w:name="黑体">
    <w:panose1 w:val="02010609060101010101"/>
    <w:charset w:val="86"/>
    <w:family w:val="auto"/>
    <w:pitch w:val="default"/>
    <w:sig w:usb0="800002BF" w:usb1="38CF7CFA" w:usb2="00000016" w:usb3="00000000" w:csb0="00040001" w:csb1="00000000"/>
    <w:embedRegular r:id="rId2" w:fontKey="{81269DCA-6F6A-4CC6-A726-77C02CE323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4861DAAD-9758-4E8E-9E14-C2F9A1AB7C94}"/>
  </w:font>
  <w:font w:name="楷体_GB2312">
    <w:panose1 w:val="02010609030101010101"/>
    <w:charset w:val="86"/>
    <w:family w:val="modern"/>
    <w:pitch w:val="default"/>
    <w:sig w:usb0="00000001" w:usb1="080E0000" w:usb2="00000000" w:usb3="00000000" w:csb0="00040000" w:csb1="00000000"/>
    <w:embedRegular r:id="rId4" w:fontKey="{4316C78C-FBDA-4831-80A7-C2F6B9C8F9E2}"/>
  </w:font>
  <w:font w:name="仿宋">
    <w:panose1 w:val="02010609060101010101"/>
    <w:charset w:val="86"/>
    <w:family w:val="modern"/>
    <w:pitch w:val="default"/>
    <w:sig w:usb0="800002BF" w:usb1="38CF7CFA" w:usb2="00000016" w:usb3="00000000" w:csb0="00040001" w:csb1="00000000"/>
    <w:embedRegular r:id="rId5" w:fontKey="{1CFD6DF3-9410-4ED8-B3FE-40E8F9D014E4}"/>
  </w:font>
  <w:font w:name="方正小标宋_GBK">
    <w:panose1 w:val="02000000000000000000"/>
    <w:charset w:val="86"/>
    <w:family w:val="script"/>
    <w:pitch w:val="default"/>
    <w:sig w:usb0="A00002BF" w:usb1="38CF7CFA" w:usb2="00082016" w:usb3="00000000" w:csb0="00040001" w:csb1="00000000"/>
    <w:embedRegular r:id="rId6" w:fontKey="{E6C11C03-DA88-472C-B095-C73E663E13DC}"/>
  </w:font>
  <w:font w:name="方正楷体_GB2312">
    <w:panose1 w:val="02000000000000000000"/>
    <w:charset w:val="86"/>
    <w:family w:val="auto"/>
    <w:pitch w:val="default"/>
    <w:sig w:usb0="A00002BF" w:usb1="184F6CFA" w:usb2="00000012" w:usb3="00000000" w:csb0="00040001" w:csb1="00000000"/>
    <w:embedRegular r:id="rId7" w:fontKey="{E3D3A741-E34C-4D5E-B5B9-0ED3B68F80D3}"/>
  </w:font>
  <w:font w:name="华文仿宋">
    <w:panose1 w:val="02010600040101010101"/>
    <w:charset w:val="86"/>
    <w:family w:val="auto"/>
    <w:pitch w:val="default"/>
    <w:sig w:usb0="00000287" w:usb1="080F0000" w:usb2="00000000" w:usb3="00000000" w:csb0="0004009F" w:csb1="DFD70000"/>
    <w:embedRegular r:id="rId8" w:fontKey="{6715E6ED-E64E-4086-8E7F-47EE89040CA1}"/>
  </w:font>
  <w:font w:name="Wingdings 2">
    <w:panose1 w:val="05020102010507070707"/>
    <w:charset w:val="02"/>
    <w:family w:val="auto"/>
    <w:pitch w:val="default"/>
    <w:sig w:usb0="00000000" w:usb1="00000000" w:usb2="00000000" w:usb3="00000000" w:csb0="80000000" w:csb1="00000000"/>
    <w:embedRegular r:id="rId9" w:fontKey="{0F873156-A1B3-4EB5-A2E4-8B3F9FC542BF}"/>
  </w:font>
  <w:font w:name="FangSong_GB2312-Identity-H">
    <w:altName w:val="宋体"/>
    <w:panose1 w:val="00000000000000000000"/>
    <w:charset w:val="86"/>
    <w:family w:val="auto"/>
    <w:pitch w:val="default"/>
    <w:sig w:usb0="00000000" w:usb1="00000000" w:usb2="00000010" w:usb3="00000000" w:csb0="00040000" w:csb1="00000000"/>
    <w:embedRegular r:id="rId10" w:fontKey="{1721CDDF-D3EC-40D4-B9C1-5D4145D9C0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5373">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E61">
    <w:pPr>
      <w:pStyle w:val="14"/>
      <w:framePr w:wrap="around" w:vAnchor="text" w:hAnchor="margin" w:xAlign="center" w:y="1"/>
      <w:rPr>
        <w:rStyle w:val="25"/>
      </w:rPr>
    </w:pPr>
    <w:r>
      <w:fldChar w:fldCharType="begin"/>
    </w:r>
    <w:r>
      <w:rPr>
        <w:rStyle w:val="25"/>
      </w:rPr>
      <w:instrText xml:space="preserve">PAGE  </w:instrText>
    </w:r>
    <w:r>
      <w:fldChar w:fldCharType="end"/>
    </w:r>
  </w:p>
  <w:p w14:paraId="6526648D">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6633">
    <w:pPr>
      <w:pStyle w:val="1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D6549">
                          <w:pPr>
                            <w:pStyle w:val="1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LPhW5zAEAAJ0DAAAOAAAAAAAAAAEAIAAAAB4BAABkcnMvZTJv&#10;RG9jLnhtbFBLBQYAAAAABgAGAFkBAABcBQAAAAA=&#10;">
              <v:fill on="f" focussize="0,0"/>
              <v:stroke on="f"/>
              <v:imagedata o:title=""/>
              <o:lock v:ext="edit" aspectratio="f"/>
              <v:textbox inset="0mm,0mm,0mm,0mm" style="mso-fit-shape-to-text:t;">
                <w:txbxContent>
                  <w:p w14:paraId="3B2D6549">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093A1"/>
    <w:multiLevelType w:val="singleLevel"/>
    <w:tmpl w:val="9EE093A1"/>
    <w:lvl w:ilvl="0" w:tentative="0">
      <w:start w:val="1"/>
      <w:numFmt w:val="decimal"/>
      <w:suff w:val="nothing"/>
      <w:lvlText w:val="%1"/>
      <w:lvlJc w:val="left"/>
      <w:pPr>
        <w:tabs>
          <w:tab w:val="left" w:pos="0"/>
        </w:tabs>
      </w:pPr>
      <w:rPr>
        <w:rFonts w:hint="default"/>
      </w:rPr>
    </w:lvl>
  </w:abstractNum>
  <w:abstractNum w:abstractNumId="1">
    <w:nsid w:val="B1F24B7D"/>
    <w:multiLevelType w:val="singleLevel"/>
    <w:tmpl w:val="B1F24B7D"/>
    <w:lvl w:ilvl="0" w:tentative="0">
      <w:start w:val="1"/>
      <w:numFmt w:val="chineseCounting"/>
      <w:suff w:val="nothing"/>
      <w:lvlText w:val="%1、"/>
      <w:lvlJc w:val="left"/>
      <w:rPr>
        <w:rFonts w:hint="eastAsia"/>
      </w:rPr>
    </w:lvl>
  </w:abstractNum>
  <w:abstractNum w:abstractNumId="2">
    <w:nsid w:val="D201A49D"/>
    <w:multiLevelType w:val="singleLevel"/>
    <w:tmpl w:val="D201A49D"/>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3">
    <w:nsid w:val="E49B155B"/>
    <w:multiLevelType w:val="singleLevel"/>
    <w:tmpl w:val="E49B155B"/>
    <w:lvl w:ilvl="0" w:tentative="0">
      <w:start w:val="1"/>
      <w:numFmt w:val="decimal"/>
      <w:lvlText w:val="%1"/>
      <w:lvlJc w:val="left"/>
      <w:pPr>
        <w:tabs>
          <w:tab w:val="left" w:pos="397"/>
        </w:tabs>
        <w:ind w:left="454" w:leftChars="0" w:hanging="454" w:firstLineChars="0"/>
      </w:pPr>
      <w:rPr>
        <w:rFonts w:hint="default"/>
      </w:rPr>
    </w:lvl>
  </w:abstractNum>
  <w:abstractNum w:abstractNumId="4">
    <w:nsid w:val="F496F319"/>
    <w:multiLevelType w:val="singleLevel"/>
    <w:tmpl w:val="F496F319"/>
    <w:lvl w:ilvl="0" w:tentative="0">
      <w:start w:val="1"/>
      <w:numFmt w:val="decimal"/>
      <w:suff w:val="nothing"/>
      <w:lvlText w:val="%1"/>
      <w:lvlJc w:val="left"/>
      <w:pPr>
        <w:tabs>
          <w:tab w:val="left" w:pos="0"/>
        </w:tabs>
      </w:pPr>
      <w:rPr>
        <w:rFonts w:hint="default"/>
      </w:rPr>
    </w:lvl>
  </w:abstractNum>
  <w:abstractNum w:abstractNumId="5">
    <w:nsid w:val="06385EC1"/>
    <w:multiLevelType w:val="singleLevel"/>
    <w:tmpl w:val="06385EC1"/>
    <w:lvl w:ilvl="0" w:tentative="0">
      <w:start w:val="1"/>
      <w:numFmt w:val="decimal"/>
      <w:suff w:val="nothing"/>
      <w:lvlText w:val="%1"/>
      <w:lvlJc w:val="left"/>
      <w:pPr>
        <w:tabs>
          <w:tab w:val="left" w:pos="0"/>
        </w:tabs>
      </w:pPr>
      <w:rPr>
        <w:rFonts w:hint="default"/>
      </w:rPr>
    </w:lvl>
  </w:abstractNum>
  <w:abstractNum w:abstractNumId="6">
    <w:nsid w:val="21DA77B0"/>
    <w:multiLevelType w:val="singleLevel"/>
    <w:tmpl w:val="21DA77B0"/>
    <w:lvl w:ilvl="0" w:tentative="0">
      <w:start w:val="2"/>
      <w:numFmt w:val="decimal"/>
      <w:suff w:val="nothing"/>
      <w:lvlText w:val="%1）"/>
      <w:lvlJc w:val="left"/>
    </w:lvl>
  </w:abstractNum>
  <w:abstractNum w:abstractNumId="7">
    <w:nsid w:val="3A6FFE5A"/>
    <w:multiLevelType w:val="singleLevel"/>
    <w:tmpl w:val="3A6FFE5A"/>
    <w:lvl w:ilvl="0" w:tentative="0">
      <w:start w:val="2"/>
      <w:numFmt w:val="decimal"/>
      <w:suff w:val="nothing"/>
      <w:lvlText w:val="（%1）"/>
      <w:lvlJc w:val="left"/>
    </w:lvl>
  </w:abstractNum>
  <w:abstractNum w:abstractNumId="8">
    <w:nsid w:val="5915653F"/>
    <w:multiLevelType w:val="singleLevel"/>
    <w:tmpl w:val="5915653F"/>
    <w:lvl w:ilvl="0" w:tentative="0">
      <w:start w:val="1"/>
      <w:numFmt w:val="decimal"/>
      <w:suff w:val="nothing"/>
      <w:lvlText w:val="%1"/>
      <w:lvlJc w:val="left"/>
      <w:pPr>
        <w:tabs>
          <w:tab w:val="left" w:pos="0"/>
        </w:tabs>
      </w:pPr>
      <w:rPr>
        <w:rFonts w:hint="default"/>
      </w:rPr>
    </w:lvl>
  </w:abstractNum>
  <w:abstractNum w:abstractNumId="9">
    <w:nsid w:val="643A7870"/>
    <w:multiLevelType w:val="singleLevel"/>
    <w:tmpl w:val="643A7870"/>
    <w:lvl w:ilvl="0" w:tentative="0">
      <w:start w:val="1"/>
      <w:numFmt w:val="decimal"/>
      <w:suff w:val="nothing"/>
      <w:lvlText w:val="%1"/>
      <w:lvlJc w:val="left"/>
      <w:pPr>
        <w:tabs>
          <w:tab w:val="left" w:pos="0"/>
        </w:tabs>
      </w:pPr>
      <w:rPr>
        <w:rFonts w:hint="default"/>
      </w:rPr>
    </w:lvl>
  </w:abstractNum>
  <w:abstractNum w:abstractNumId="10">
    <w:nsid w:val="6FFD9082"/>
    <w:multiLevelType w:val="singleLevel"/>
    <w:tmpl w:val="6FFD9082"/>
    <w:lvl w:ilvl="0" w:tentative="0">
      <w:start w:val="1"/>
      <w:numFmt w:val="upperLetter"/>
      <w:suff w:val="nothing"/>
      <w:lvlText w:val="%1、"/>
      <w:lvlJc w:val="left"/>
      <w:pPr>
        <w:ind w:left="1176" w:firstLine="0"/>
      </w:pPr>
    </w:lvl>
  </w:abstractNum>
  <w:num w:numId="1">
    <w:abstractNumId w:val="2"/>
  </w:num>
  <w:num w:numId="2">
    <w:abstractNumId w:val="1"/>
  </w:num>
  <w:num w:numId="3">
    <w:abstractNumId w:val="9"/>
  </w:num>
  <w:num w:numId="4">
    <w:abstractNumId w:val="5"/>
  </w:num>
  <w:num w:numId="5">
    <w:abstractNumId w:val="3"/>
  </w:num>
  <w:num w:numId="6">
    <w:abstractNumId w:val="7"/>
  </w:num>
  <w:num w:numId="7">
    <w:abstractNumId w:val="10"/>
  </w:num>
  <w:num w:numId="8">
    <w:abstractNumId w:val="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OGQyMWVjOTk5YzMwMDdmYjcwZDA3YjJmZDM2NDU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67D3"/>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6FFD"/>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672B9"/>
    <w:rsid w:val="00484B9B"/>
    <w:rsid w:val="004855F6"/>
    <w:rsid w:val="0048661E"/>
    <w:rsid w:val="00494670"/>
    <w:rsid w:val="004A3823"/>
    <w:rsid w:val="004A54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158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C"/>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05CA"/>
    <w:rsid w:val="009C7DD5"/>
    <w:rsid w:val="009E227D"/>
    <w:rsid w:val="009E5019"/>
    <w:rsid w:val="00A04F1B"/>
    <w:rsid w:val="00A0501B"/>
    <w:rsid w:val="00A14947"/>
    <w:rsid w:val="00A32A83"/>
    <w:rsid w:val="00A368DB"/>
    <w:rsid w:val="00A423AA"/>
    <w:rsid w:val="00A53EC6"/>
    <w:rsid w:val="00A55C0F"/>
    <w:rsid w:val="00A67D58"/>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CD3"/>
    <w:rsid w:val="00C704E9"/>
    <w:rsid w:val="00C763C9"/>
    <w:rsid w:val="00C80057"/>
    <w:rsid w:val="00C82232"/>
    <w:rsid w:val="00C82913"/>
    <w:rsid w:val="00C972B1"/>
    <w:rsid w:val="00CA2CCE"/>
    <w:rsid w:val="00CA43FD"/>
    <w:rsid w:val="00CA7EF8"/>
    <w:rsid w:val="00CB67CC"/>
    <w:rsid w:val="00CC489B"/>
    <w:rsid w:val="00CD2BCD"/>
    <w:rsid w:val="00CD3A4C"/>
    <w:rsid w:val="00CE10E9"/>
    <w:rsid w:val="00CE2910"/>
    <w:rsid w:val="00CE5393"/>
    <w:rsid w:val="00CF36BE"/>
    <w:rsid w:val="00CF6000"/>
    <w:rsid w:val="00D003F3"/>
    <w:rsid w:val="00D0364F"/>
    <w:rsid w:val="00D06834"/>
    <w:rsid w:val="00D308ED"/>
    <w:rsid w:val="00D36D86"/>
    <w:rsid w:val="00D40BB2"/>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432"/>
    <w:rsid w:val="00F027DB"/>
    <w:rsid w:val="00F14A7A"/>
    <w:rsid w:val="00F22985"/>
    <w:rsid w:val="00F3383E"/>
    <w:rsid w:val="00F465A7"/>
    <w:rsid w:val="00F50B7C"/>
    <w:rsid w:val="00F550E6"/>
    <w:rsid w:val="00F5545E"/>
    <w:rsid w:val="00F74345"/>
    <w:rsid w:val="00F80A0A"/>
    <w:rsid w:val="00F82B19"/>
    <w:rsid w:val="00F9212D"/>
    <w:rsid w:val="00F965DA"/>
    <w:rsid w:val="00FA406A"/>
    <w:rsid w:val="00FB503A"/>
    <w:rsid w:val="00FB516C"/>
    <w:rsid w:val="00FD0236"/>
    <w:rsid w:val="00FD18F4"/>
    <w:rsid w:val="00FD54DB"/>
    <w:rsid w:val="00FD619F"/>
    <w:rsid w:val="010B22B0"/>
    <w:rsid w:val="01102381"/>
    <w:rsid w:val="01290F7E"/>
    <w:rsid w:val="014D4677"/>
    <w:rsid w:val="015D1E09"/>
    <w:rsid w:val="017C0447"/>
    <w:rsid w:val="01883AB1"/>
    <w:rsid w:val="01EF5B45"/>
    <w:rsid w:val="01FE4B99"/>
    <w:rsid w:val="02390404"/>
    <w:rsid w:val="02697903"/>
    <w:rsid w:val="028E2EB6"/>
    <w:rsid w:val="02C1356F"/>
    <w:rsid w:val="02D14340"/>
    <w:rsid w:val="02F96569"/>
    <w:rsid w:val="03457CFC"/>
    <w:rsid w:val="03821492"/>
    <w:rsid w:val="03EA7B21"/>
    <w:rsid w:val="03F65FB7"/>
    <w:rsid w:val="03F7159C"/>
    <w:rsid w:val="041E339D"/>
    <w:rsid w:val="042725FF"/>
    <w:rsid w:val="051361B0"/>
    <w:rsid w:val="057A64E9"/>
    <w:rsid w:val="05931DE8"/>
    <w:rsid w:val="05CE09B5"/>
    <w:rsid w:val="05DA5CB6"/>
    <w:rsid w:val="05F83EAE"/>
    <w:rsid w:val="06326DDF"/>
    <w:rsid w:val="063E7D85"/>
    <w:rsid w:val="067B0BFB"/>
    <w:rsid w:val="069F41B1"/>
    <w:rsid w:val="069F5975"/>
    <w:rsid w:val="070D208A"/>
    <w:rsid w:val="07177C01"/>
    <w:rsid w:val="07293586"/>
    <w:rsid w:val="07295285"/>
    <w:rsid w:val="07442251"/>
    <w:rsid w:val="07636392"/>
    <w:rsid w:val="076A23DD"/>
    <w:rsid w:val="07747C1B"/>
    <w:rsid w:val="07770C56"/>
    <w:rsid w:val="07A03867"/>
    <w:rsid w:val="07C20F75"/>
    <w:rsid w:val="0843450B"/>
    <w:rsid w:val="086707D7"/>
    <w:rsid w:val="08AF79C5"/>
    <w:rsid w:val="08BF1B87"/>
    <w:rsid w:val="08BF7403"/>
    <w:rsid w:val="08C711B3"/>
    <w:rsid w:val="08D17B86"/>
    <w:rsid w:val="08EA18FB"/>
    <w:rsid w:val="091175B6"/>
    <w:rsid w:val="092217DD"/>
    <w:rsid w:val="09257910"/>
    <w:rsid w:val="093A7294"/>
    <w:rsid w:val="094019C6"/>
    <w:rsid w:val="09812927"/>
    <w:rsid w:val="09AF5ECF"/>
    <w:rsid w:val="0A00672A"/>
    <w:rsid w:val="0A263993"/>
    <w:rsid w:val="0A2D3AC2"/>
    <w:rsid w:val="0A454A85"/>
    <w:rsid w:val="0AA755DF"/>
    <w:rsid w:val="0AC17553"/>
    <w:rsid w:val="0ACB74E3"/>
    <w:rsid w:val="0ADD4147"/>
    <w:rsid w:val="0B0E4E77"/>
    <w:rsid w:val="0B120D44"/>
    <w:rsid w:val="0B2662C4"/>
    <w:rsid w:val="0B275F39"/>
    <w:rsid w:val="0BBA012E"/>
    <w:rsid w:val="0BC43A9C"/>
    <w:rsid w:val="0BD27BF6"/>
    <w:rsid w:val="0BE26659"/>
    <w:rsid w:val="0BF00A21"/>
    <w:rsid w:val="0BFC6399"/>
    <w:rsid w:val="0C3721AC"/>
    <w:rsid w:val="0C3B3C7D"/>
    <w:rsid w:val="0C3D5924"/>
    <w:rsid w:val="0C4A1EDF"/>
    <w:rsid w:val="0CAB2EAE"/>
    <w:rsid w:val="0CB71849"/>
    <w:rsid w:val="0CC82817"/>
    <w:rsid w:val="0CDF2F6F"/>
    <w:rsid w:val="0D0E660E"/>
    <w:rsid w:val="0D2D78BE"/>
    <w:rsid w:val="0D543C03"/>
    <w:rsid w:val="0D556C4D"/>
    <w:rsid w:val="0D5D20CF"/>
    <w:rsid w:val="0D621C7D"/>
    <w:rsid w:val="0D75262D"/>
    <w:rsid w:val="0E0F696D"/>
    <w:rsid w:val="0E484B44"/>
    <w:rsid w:val="0E6F7190"/>
    <w:rsid w:val="0E73034D"/>
    <w:rsid w:val="0E99714E"/>
    <w:rsid w:val="0EA23597"/>
    <w:rsid w:val="0EC00B7E"/>
    <w:rsid w:val="0ECF3E91"/>
    <w:rsid w:val="0EF645A0"/>
    <w:rsid w:val="0F13775A"/>
    <w:rsid w:val="0F3C57CB"/>
    <w:rsid w:val="0F3D38EF"/>
    <w:rsid w:val="0F5372FC"/>
    <w:rsid w:val="0F5F45FE"/>
    <w:rsid w:val="0F6F26D0"/>
    <w:rsid w:val="0F9A112B"/>
    <w:rsid w:val="10625C40"/>
    <w:rsid w:val="106D2F64"/>
    <w:rsid w:val="1084730F"/>
    <w:rsid w:val="10A66D3E"/>
    <w:rsid w:val="10B63710"/>
    <w:rsid w:val="10D65381"/>
    <w:rsid w:val="10F10820"/>
    <w:rsid w:val="110C60E7"/>
    <w:rsid w:val="111C2F7A"/>
    <w:rsid w:val="114C6A50"/>
    <w:rsid w:val="115B5E44"/>
    <w:rsid w:val="11665CA1"/>
    <w:rsid w:val="116E0C65"/>
    <w:rsid w:val="11784980"/>
    <w:rsid w:val="11A55E09"/>
    <w:rsid w:val="11AB5777"/>
    <w:rsid w:val="11FE2B90"/>
    <w:rsid w:val="129E7947"/>
    <w:rsid w:val="12A55086"/>
    <w:rsid w:val="133E6515"/>
    <w:rsid w:val="134753CA"/>
    <w:rsid w:val="13533D6F"/>
    <w:rsid w:val="136418A2"/>
    <w:rsid w:val="13697C3D"/>
    <w:rsid w:val="137361BF"/>
    <w:rsid w:val="13951726"/>
    <w:rsid w:val="139E30E9"/>
    <w:rsid w:val="14042750"/>
    <w:rsid w:val="14224F75"/>
    <w:rsid w:val="1433594E"/>
    <w:rsid w:val="14396509"/>
    <w:rsid w:val="14DD2C3C"/>
    <w:rsid w:val="15052220"/>
    <w:rsid w:val="15DA64B5"/>
    <w:rsid w:val="16087E1D"/>
    <w:rsid w:val="16336340"/>
    <w:rsid w:val="16491459"/>
    <w:rsid w:val="165D5133"/>
    <w:rsid w:val="17057F60"/>
    <w:rsid w:val="17356A4A"/>
    <w:rsid w:val="17701D14"/>
    <w:rsid w:val="17735226"/>
    <w:rsid w:val="17E458DD"/>
    <w:rsid w:val="17E60711"/>
    <w:rsid w:val="17FE0A79"/>
    <w:rsid w:val="184E5D35"/>
    <w:rsid w:val="189F624C"/>
    <w:rsid w:val="18D30F86"/>
    <w:rsid w:val="18F356AC"/>
    <w:rsid w:val="195A0AF3"/>
    <w:rsid w:val="197F59B8"/>
    <w:rsid w:val="19843555"/>
    <w:rsid w:val="19A74E14"/>
    <w:rsid w:val="19C85E66"/>
    <w:rsid w:val="1A162824"/>
    <w:rsid w:val="1A1C66C0"/>
    <w:rsid w:val="1A42393B"/>
    <w:rsid w:val="1A4679FD"/>
    <w:rsid w:val="1AAD45DE"/>
    <w:rsid w:val="1AF00751"/>
    <w:rsid w:val="1B046F80"/>
    <w:rsid w:val="1B1E1106"/>
    <w:rsid w:val="1B3267B5"/>
    <w:rsid w:val="1B40161D"/>
    <w:rsid w:val="1B441859"/>
    <w:rsid w:val="1B4F2B0D"/>
    <w:rsid w:val="1B4F71F5"/>
    <w:rsid w:val="1B6606B1"/>
    <w:rsid w:val="1B75684C"/>
    <w:rsid w:val="1BC0211B"/>
    <w:rsid w:val="1BF70D0C"/>
    <w:rsid w:val="1BFB4237"/>
    <w:rsid w:val="1C195764"/>
    <w:rsid w:val="1C5E7925"/>
    <w:rsid w:val="1CCB47C7"/>
    <w:rsid w:val="1CCE6334"/>
    <w:rsid w:val="1CE80FDE"/>
    <w:rsid w:val="1CF71C0F"/>
    <w:rsid w:val="1CFD070F"/>
    <w:rsid w:val="1D5F6196"/>
    <w:rsid w:val="1D6132A5"/>
    <w:rsid w:val="1D617B99"/>
    <w:rsid w:val="1D8E56D5"/>
    <w:rsid w:val="1D99700A"/>
    <w:rsid w:val="1DF63111"/>
    <w:rsid w:val="1E7A43DA"/>
    <w:rsid w:val="1E894AFB"/>
    <w:rsid w:val="1EFB52BB"/>
    <w:rsid w:val="1F1E56A3"/>
    <w:rsid w:val="1F470500"/>
    <w:rsid w:val="1F5B34D7"/>
    <w:rsid w:val="1F7D351C"/>
    <w:rsid w:val="1FBD0C37"/>
    <w:rsid w:val="1FE12059"/>
    <w:rsid w:val="1FE7539E"/>
    <w:rsid w:val="20462904"/>
    <w:rsid w:val="20671BE0"/>
    <w:rsid w:val="20686980"/>
    <w:rsid w:val="207227D1"/>
    <w:rsid w:val="2072480B"/>
    <w:rsid w:val="20963CB8"/>
    <w:rsid w:val="20A81A1B"/>
    <w:rsid w:val="20B07FB6"/>
    <w:rsid w:val="20B646FB"/>
    <w:rsid w:val="20D04DF4"/>
    <w:rsid w:val="20F2349D"/>
    <w:rsid w:val="21066D67"/>
    <w:rsid w:val="213B74B1"/>
    <w:rsid w:val="215A2310"/>
    <w:rsid w:val="21DE318A"/>
    <w:rsid w:val="21EF5B80"/>
    <w:rsid w:val="220F17A9"/>
    <w:rsid w:val="224E7E1E"/>
    <w:rsid w:val="22576990"/>
    <w:rsid w:val="228A55EF"/>
    <w:rsid w:val="229762C5"/>
    <w:rsid w:val="22BB548D"/>
    <w:rsid w:val="22E03FC4"/>
    <w:rsid w:val="22F47480"/>
    <w:rsid w:val="232C0139"/>
    <w:rsid w:val="237779BB"/>
    <w:rsid w:val="23925C30"/>
    <w:rsid w:val="23DE1C48"/>
    <w:rsid w:val="240210CD"/>
    <w:rsid w:val="2423656D"/>
    <w:rsid w:val="24284D18"/>
    <w:rsid w:val="243279D1"/>
    <w:rsid w:val="2445593D"/>
    <w:rsid w:val="2458707D"/>
    <w:rsid w:val="24BF09F7"/>
    <w:rsid w:val="24ED5D86"/>
    <w:rsid w:val="250A5BD3"/>
    <w:rsid w:val="250D339F"/>
    <w:rsid w:val="252D53FE"/>
    <w:rsid w:val="254B6F9C"/>
    <w:rsid w:val="25593BBC"/>
    <w:rsid w:val="25EC2D81"/>
    <w:rsid w:val="26586E51"/>
    <w:rsid w:val="26B40B71"/>
    <w:rsid w:val="26D053FB"/>
    <w:rsid w:val="26F1004D"/>
    <w:rsid w:val="27267910"/>
    <w:rsid w:val="276240DD"/>
    <w:rsid w:val="277057A2"/>
    <w:rsid w:val="277B34AD"/>
    <w:rsid w:val="27810194"/>
    <w:rsid w:val="282628B6"/>
    <w:rsid w:val="28F95420"/>
    <w:rsid w:val="2917435F"/>
    <w:rsid w:val="29206EB8"/>
    <w:rsid w:val="29240848"/>
    <w:rsid w:val="29431F26"/>
    <w:rsid w:val="294F4B81"/>
    <w:rsid w:val="29512C9E"/>
    <w:rsid w:val="29595666"/>
    <w:rsid w:val="295E4DC4"/>
    <w:rsid w:val="29786A70"/>
    <w:rsid w:val="2980504B"/>
    <w:rsid w:val="2987056A"/>
    <w:rsid w:val="29874881"/>
    <w:rsid w:val="29E2799A"/>
    <w:rsid w:val="29E325E0"/>
    <w:rsid w:val="29EC5A35"/>
    <w:rsid w:val="2A452503"/>
    <w:rsid w:val="2A644099"/>
    <w:rsid w:val="2A952A67"/>
    <w:rsid w:val="2A981AA7"/>
    <w:rsid w:val="2ABE5B1A"/>
    <w:rsid w:val="2B5E10AB"/>
    <w:rsid w:val="2BA936A8"/>
    <w:rsid w:val="2C061FF9"/>
    <w:rsid w:val="2C315A5A"/>
    <w:rsid w:val="2C4B1C25"/>
    <w:rsid w:val="2C89576E"/>
    <w:rsid w:val="2CD70D11"/>
    <w:rsid w:val="2CD755B9"/>
    <w:rsid w:val="2CF25F4F"/>
    <w:rsid w:val="2D0536F0"/>
    <w:rsid w:val="2D0C78D0"/>
    <w:rsid w:val="2D281971"/>
    <w:rsid w:val="2D340B98"/>
    <w:rsid w:val="2D5A445D"/>
    <w:rsid w:val="2D7A5022"/>
    <w:rsid w:val="2D876374"/>
    <w:rsid w:val="2D9E56F5"/>
    <w:rsid w:val="2DA13989"/>
    <w:rsid w:val="2DAD4075"/>
    <w:rsid w:val="2DB3278C"/>
    <w:rsid w:val="2DEA30CA"/>
    <w:rsid w:val="2DF3523C"/>
    <w:rsid w:val="2E335602"/>
    <w:rsid w:val="2E63164B"/>
    <w:rsid w:val="2E667F96"/>
    <w:rsid w:val="2E7D5901"/>
    <w:rsid w:val="2E8226AB"/>
    <w:rsid w:val="2E8F3FF6"/>
    <w:rsid w:val="2E973D75"/>
    <w:rsid w:val="2EDE6B85"/>
    <w:rsid w:val="2EFB7CE2"/>
    <w:rsid w:val="2F1C3757"/>
    <w:rsid w:val="2F4F58DB"/>
    <w:rsid w:val="2F843CC3"/>
    <w:rsid w:val="2FD065E6"/>
    <w:rsid w:val="2FD96870"/>
    <w:rsid w:val="300F5684"/>
    <w:rsid w:val="302A5E34"/>
    <w:rsid w:val="302E1F1C"/>
    <w:rsid w:val="30580BC9"/>
    <w:rsid w:val="30662713"/>
    <w:rsid w:val="30824D76"/>
    <w:rsid w:val="30A11D05"/>
    <w:rsid w:val="30E95A30"/>
    <w:rsid w:val="311E2ED7"/>
    <w:rsid w:val="314F20F2"/>
    <w:rsid w:val="315619EE"/>
    <w:rsid w:val="315C449C"/>
    <w:rsid w:val="31A054CA"/>
    <w:rsid w:val="31B36638"/>
    <w:rsid w:val="31B82709"/>
    <w:rsid w:val="31D05482"/>
    <w:rsid w:val="31DE3363"/>
    <w:rsid w:val="32400B34"/>
    <w:rsid w:val="324C38A3"/>
    <w:rsid w:val="32591C6C"/>
    <w:rsid w:val="329E6876"/>
    <w:rsid w:val="333015F2"/>
    <w:rsid w:val="3341553A"/>
    <w:rsid w:val="334B6320"/>
    <w:rsid w:val="335C6818"/>
    <w:rsid w:val="336124DA"/>
    <w:rsid w:val="33AA1331"/>
    <w:rsid w:val="33D934D4"/>
    <w:rsid w:val="33E934A8"/>
    <w:rsid w:val="33EC27EE"/>
    <w:rsid w:val="33FE2F6A"/>
    <w:rsid w:val="340E07E5"/>
    <w:rsid w:val="340E1801"/>
    <w:rsid w:val="34235BF7"/>
    <w:rsid w:val="34395F12"/>
    <w:rsid w:val="34540F6C"/>
    <w:rsid w:val="349A6501"/>
    <w:rsid w:val="34A67DBD"/>
    <w:rsid w:val="35150A2C"/>
    <w:rsid w:val="353465A5"/>
    <w:rsid w:val="355624D7"/>
    <w:rsid w:val="356276C1"/>
    <w:rsid w:val="35635CEF"/>
    <w:rsid w:val="356B2D42"/>
    <w:rsid w:val="358C5FA8"/>
    <w:rsid w:val="359A37F3"/>
    <w:rsid w:val="35C15DF1"/>
    <w:rsid w:val="36074A7F"/>
    <w:rsid w:val="3608593D"/>
    <w:rsid w:val="36226226"/>
    <w:rsid w:val="365B4B65"/>
    <w:rsid w:val="36923549"/>
    <w:rsid w:val="36B75FBF"/>
    <w:rsid w:val="36BD0C45"/>
    <w:rsid w:val="371E2C7C"/>
    <w:rsid w:val="37B2729C"/>
    <w:rsid w:val="37DB6A4E"/>
    <w:rsid w:val="37E00298"/>
    <w:rsid w:val="38195BB2"/>
    <w:rsid w:val="38387D6B"/>
    <w:rsid w:val="38653A79"/>
    <w:rsid w:val="38784A60"/>
    <w:rsid w:val="38945153"/>
    <w:rsid w:val="38B302F9"/>
    <w:rsid w:val="38F12CD3"/>
    <w:rsid w:val="38F94775"/>
    <w:rsid w:val="39154918"/>
    <w:rsid w:val="391F631E"/>
    <w:rsid w:val="39262387"/>
    <w:rsid w:val="392971ED"/>
    <w:rsid w:val="39325651"/>
    <w:rsid w:val="39C12C7D"/>
    <w:rsid w:val="39CB77EF"/>
    <w:rsid w:val="39D16A4D"/>
    <w:rsid w:val="39D36D6A"/>
    <w:rsid w:val="3A09555E"/>
    <w:rsid w:val="3A4D6EBA"/>
    <w:rsid w:val="3A6E71CA"/>
    <w:rsid w:val="3A872856"/>
    <w:rsid w:val="3AA3524E"/>
    <w:rsid w:val="3B111182"/>
    <w:rsid w:val="3B3763D1"/>
    <w:rsid w:val="3B6F75E7"/>
    <w:rsid w:val="3BA8620D"/>
    <w:rsid w:val="3BB84D09"/>
    <w:rsid w:val="3BE94334"/>
    <w:rsid w:val="3C0071B0"/>
    <w:rsid w:val="3C157564"/>
    <w:rsid w:val="3C1744FA"/>
    <w:rsid w:val="3C2F6E1E"/>
    <w:rsid w:val="3C402634"/>
    <w:rsid w:val="3C4F64BA"/>
    <w:rsid w:val="3CBC6FA9"/>
    <w:rsid w:val="3CC73485"/>
    <w:rsid w:val="3CCD42E3"/>
    <w:rsid w:val="3CDA245A"/>
    <w:rsid w:val="3CDC6A44"/>
    <w:rsid w:val="3D1E06B7"/>
    <w:rsid w:val="3DB54DD9"/>
    <w:rsid w:val="3E2F7EC4"/>
    <w:rsid w:val="3E32271E"/>
    <w:rsid w:val="3E5D6C69"/>
    <w:rsid w:val="3E9E1B96"/>
    <w:rsid w:val="3EDA0523"/>
    <w:rsid w:val="3F053902"/>
    <w:rsid w:val="3F50093D"/>
    <w:rsid w:val="3F68632A"/>
    <w:rsid w:val="3F922085"/>
    <w:rsid w:val="3FA77C5C"/>
    <w:rsid w:val="3FAF1393"/>
    <w:rsid w:val="3FE01BB8"/>
    <w:rsid w:val="400A374B"/>
    <w:rsid w:val="401D43BA"/>
    <w:rsid w:val="40363F4D"/>
    <w:rsid w:val="40774C14"/>
    <w:rsid w:val="407A6407"/>
    <w:rsid w:val="407E0275"/>
    <w:rsid w:val="40AA200A"/>
    <w:rsid w:val="40D05DC7"/>
    <w:rsid w:val="414517BC"/>
    <w:rsid w:val="414B3477"/>
    <w:rsid w:val="419A3DF2"/>
    <w:rsid w:val="41A2189A"/>
    <w:rsid w:val="41AC739C"/>
    <w:rsid w:val="41CB5A26"/>
    <w:rsid w:val="41F823AB"/>
    <w:rsid w:val="41FC1829"/>
    <w:rsid w:val="4200449D"/>
    <w:rsid w:val="423A3BCC"/>
    <w:rsid w:val="42436E99"/>
    <w:rsid w:val="42440744"/>
    <w:rsid w:val="424E57D2"/>
    <w:rsid w:val="42634626"/>
    <w:rsid w:val="42683702"/>
    <w:rsid w:val="42701998"/>
    <w:rsid w:val="42725710"/>
    <w:rsid w:val="42B26C49"/>
    <w:rsid w:val="42BC7E98"/>
    <w:rsid w:val="42DD4FC2"/>
    <w:rsid w:val="42FE5101"/>
    <w:rsid w:val="43192D7A"/>
    <w:rsid w:val="433A6FE6"/>
    <w:rsid w:val="43480868"/>
    <w:rsid w:val="4350713C"/>
    <w:rsid w:val="436653E0"/>
    <w:rsid w:val="43776D56"/>
    <w:rsid w:val="43C4431A"/>
    <w:rsid w:val="43C5363E"/>
    <w:rsid w:val="43DF29D6"/>
    <w:rsid w:val="43E150D0"/>
    <w:rsid w:val="443D76C4"/>
    <w:rsid w:val="44562E10"/>
    <w:rsid w:val="44B951CC"/>
    <w:rsid w:val="44CD14E0"/>
    <w:rsid w:val="44F20B0B"/>
    <w:rsid w:val="452E5F4C"/>
    <w:rsid w:val="45612018"/>
    <w:rsid w:val="457B3A1C"/>
    <w:rsid w:val="458946E9"/>
    <w:rsid w:val="45A47C0E"/>
    <w:rsid w:val="462F49B1"/>
    <w:rsid w:val="46420921"/>
    <w:rsid w:val="46577FD6"/>
    <w:rsid w:val="46835DB4"/>
    <w:rsid w:val="468F3C95"/>
    <w:rsid w:val="46A37E04"/>
    <w:rsid w:val="46BB51AC"/>
    <w:rsid w:val="46D82E57"/>
    <w:rsid w:val="46D955A7"/>
    <w:rsid w:val="46FF778E"/>
    <w:rsid w:val="47133957"/>
    <w:rsid w:val="47950834"/>
    <w:rsid w:val="479C7AC0"/>
    <w:rsid w:val="47A07E0C"/>
    <w:rsid w:val="47A82877"/>
    <w:rsid w:val="483D0BB9"/>
    <w:rsid w:val="4870272E"/>
    <w:rsid w:val="487815A6"/>
    <w:rsid w:val="488F00C6"/>
    <w:rsid w:val="48A456EC"/>
    <w:rsid w:val="48BA396D"/>
    <w:rsid w:val="48C51160"/>
    <w:rsid w:val="48D11CBD"/>
    <w:rsid w:val="48EF1C42"/>
    <w:rsid w:val="49493543"/>
    <w:rsid w:val="49653BCB"/>
    <w:rsid w:val="49A63EF1"/>
    <w:rsid w:val="49BA69B6"/>
    <w:rsid w:val="49DB1DED"/>
    <w:rsid w:val="49DC7715"/>
    <w:rsid w:val="49F53858"/>
    <w:rsid w:val="49F639FC"/>
    <w:rsid w:val="49F7299F"/>
    <w:rsid w:val="4A023139"/>
    <w:rsid w:val="4A436112"/>
    <w:rsid w:val="4A5111CC"/>
    <w:rsid w:val="4A7460CE"/>
    <w:rsid w:val="4A7B576F"/>
    <w:rsid w:val="4A904B0F"/>
    <w:rsid w:val="4A98169F"/>
    <w:rsid w:val="4AF561A9"/>
    <w:rsid w:val="4B241572"/>
    <w:rsid w:val="4B264571"/>
    <w:rsid w:val="4B614574"/>
    <w:rsid w:val="4B614AD2"/>
    <w:rsid w:val="4B736055"/>
    <w:rsid w:val="4BC36FDC"/>
    <w:rsid w:val="4BD1526B"/>
    <w:rsid w:val="4C324162"/>
    <w:rsid w:val="4C4A0649"/>
    <w:rsid w:val="4C4E6E54"/>
    <w:rsid w:val="4C5E0C8F"/>
    <w:rsid w:val="4C6205A3"/>
    <w:rsid w:val="4C7E5ECA"/>
    <w:rsid w:val="4C876AA5"/>
    <w:rsid w:val="4D0E00FB"/>
    <w:rsid w:val="4D176606"/>
    <w:rsid w:val="4D616471"/>
    <w:rsid w:val="4D7D6BEE"/>
    <w:rsid w:val="4DEB3B2A"/>
    <w:rsid w:val="4DEC4FB0"/>
    <w:rsid w:val="4E075D8A"/>
    <w:rsid w:val="4E7E005C"/>
    <w:rsid w:val="4E803E01"/>
    <w:rsid w:val="4E8B3A55"/>
    <w:rsid w:val="4EC00FAD"/>
    <w:rsid w:val="4EC654D0"/>
    <w:rsid w:val="4ED35788"/>
    <w:rsid w:val="4F46050D"/>
    <w:rsid w:val="4F5166AD"/>
    <w:rsid w:val="4F583EE0"/>
    <w:rsid w:val="4F652159"/>
    <w:rsid w:val="4F9843DC"/>
    <w:rsid w:val="4FC62A8C"/>
    <w:rsid w:val="4FE20F0D"/>
    <w:rsid w:val="4FE51552"/>
    <w:rsid w:val="4FE6666E"/>
    <w:rsid w:val="500A4CC0"/>
    <w:rsid w:val="50150DFA"/>
    <w:rsid w:val="502348F8"/>
    <w:rsid w:val="50504C4B"/>
    <w:rsid w:val="509C6E7C"/>
    <w:rsid w:val="50C858DE"/>
    <w:rsid w:val="50EB7AFF"/>
    <w:rsid w:val="510234A7"/>
    <w:rsid w:val="5162104E"/>
    <w:rsid w:val="516E7BEC"/>
    <w:rsid w:val="51AE00D0"/>
    <w:rsid w:val="51E839F2"/>
    <w:rsid w:val="51ED4DB3"/>
    <w:rsid w:val="521265C8"/>
    <w:rsid w:val="52140592"/>
    <w:rsid w:val="5249383B"/>
    <w:rsid w:val="525677EB"/>
    <w:rsid w:val="525A4854"/>
    <w:rsid w:val="52733BCA"/>
    <w:rsid w:val="52801EF1"/>
    <w:rsid w:val="52F446A8"/>
    <w:rsid w:val="53095C83"/>
    <w:rsid w:val="534D716A"/>
    <w:rsid w:val="53A039CC"/>
    <w:rsid w:val="53A1505A"/>
    <w:rsid w:val="54063E08"/>
    <w:rsid w:val="541008E5"/>
    <w:rsid w:val="543437E8"/>
    <w:rsid w:val="5436341E"/>
    <w:rsid w:val="549E44D1"/>
    <w:rsid w:val="54AA6037"/>
    <w:rsid w:val="54B77630"/>
    <w:rsid w:val="54F73313"/>
    <w:rsid w:val="54F80955"/>
    <w:rsid w:val="552A1E7A"/>
    <w:rsid w:val="553E6CA6"/>
    <w:rsid w:val="555170A7"/>
    <w:rsid w:val="555B1233"/>
    <w:rsid w:val="5587536D"/>
    <w:rsid w:val="55931D8D"/>
    <w:rsid w:val="559B174B"/>
    <w:rsid w:val="55A00B58"/>
    <w:rsid w:val="55A0213D"/>
    <w:rsid w:val="55C74080"/>
    <w:rsid w:val="55CE0CF4"/>
    <w:rsid w:val="56680EAC"/>
    <w:rsid w:val="56766218"/>
    <w:rsid w:val="56B22A9C"/>
    <w:rsid w:val="56D229EE"/>
    <w:rsid w:val="571F6D7F"/>
    <w:rsid w:val="574C062F"/>
    <w:rsid w:val="57911D3D"/>
    <w:rsid w:val="57B72A76"/>
    <w:rsid w:val="57C3426C"/>
    <w:rsid w:val="57CE1F93"/>
    <w:rsid w:val="58836B83"/>
    <w:rsid w:val="588743D1"/>
    <w:rsid w:val="5887701A"/>
    <w:rsid w:val="589C27CA"/>
    <w:rsid w:val="58B55EFF"/>
    <w:rsid w:val="58F809AC"/>
    <w:rsid w:val="59012CD9"/>
    <w:rsid w:val="593A630D"/>
    <w:rsid w:val="593C3F2A"/>
    <w:rsid w:val="596D4C99"/>
    <w:rsid w:val="59C0439F"/>
    <w:rsid w:val="59CF1242"/>
    <w:rsid w:val="59E413CA"/>
    <w:rsid w:val="5ABE2233"/>
    <w:rsid w:val="5ACA709B"/>
    <w:rsid w:val="5B010DC9"/>
    <w:rsid w:val="5B150ED7"/>
    <w:rsid w:val="5B5767E8"/>
    <w:rsid w:val="5B70435F"/>
    <w:rsid w:val="5B7A1F99"/>
    <w:rsid w:val="5B7A2A00"/>
    <w:rsid w:val="5B8F0C89"/>
    <w:rsid w:val="5BDF5D95"/>
    <w:rsid w:val="5BFE7528"/>
    <w:rsid w:val="5C0F39F3"/>
    <w:rsid w:val="5C220179"/>
    <w:rsid w:val="5C2D3061"/>
    <w:rsid w:val="5C525967"/>
    <w:rsid w:val="5C626894"/>
    <w:rsid w:val="5CC76345"/>
    <w:rsid w:val="5CEE4816"/>
    <w:rsid w:val="5D41173C"/>
    <w:rsid w:val="5D532B83"/>
    <w:rsid w:val="5DA12EED"/>
    <w:rsid w:val="5DA96938"/>
    <w:rsid w:val="5DB63499"/>
    <w:rsid w:val="5E196F30"/>
    <w:rsid w:val="5E1A3539"/>
    <w:rsid w:val="5E234848"/>
    <w:rsid w:val="5E2467F1"/>
    <w:rsid w:val="5E2C27BF"/>
    <w:rsid w:val="5E84084D"/>
    <w:rsid w:val="5EB60263"/>
    <w:rsid w:val="5EBA2DDB"/>
    <w:rsid w:val="5EE20870"/>
    <w:rsid w:val="5EF17D9A"/>
    <w:rsid w:val="5F1A2B43"/>
    <w:rsid w:val="5F3D09FC"/>
    <w:rsid w:val="5F7B3972"/>
    <w:rsid w:val="5FAD62F6"/>
    <w:rsid w:val="5FB803E7"/>
    <w:rsid w:val="5FB837BB"/>
    <w:rsid w:val="60964198"/>
    <w:rsid w:val="609D5BF6"/>
    <w:rsid w:val="60CC405A"/>
    <w:rsid w:val="60D513BE"/>
    <w:rsid w:val="60EB6E0E"/>
    <w:rsid w:val="611D2893"/>
    <w:rsid w:val="611F1682"/>
    <w:rsid w:val="613100ED"/>
    <w:rsid w:val="61A705D9"/>
    <w:rsid w:val="61BB564B"/>
    <w:rsid w:val="61E215D8"/>
    <w:rsid w:val="621B3775"/>
    <w:rsid w:val="62364782"/>
    <w:rsid w:val="62614A02"/>
    <w:rsid w:val="62C31218"/>
    <w:rsid w:val="62C82360"/>
    <w:rsid w:val="63130AC4"/>
    <w:rsid w:val="63757F56"/>
    <w:rsid w:val="6394356A"/>
    <w:rsid w:val="63C61B2C"/>
    <w:rsid w:val="63CB067A"/>
    <w:rsid w:val="63D40BE9"/>
    <w:rsid w:val="63E44A84"/>
    <w:rsid w:val="63EB5CF9"/>
    <w:rsid w:val="64097915"/>
    <w:rsid w:val="64102431"/>
    <w:rsid w:val="646D37B6"/>
    <w:rsid w:val="64907C8E"/>
    <w:rsid w:val="64A5243A"/>
    <w:rsid w:val="64C01EB3"/>
    <w:rsid w:val="64C24E1B"/>
    <w:rsid w:val="64D5528C"/>
    <w:rsid w:val="64F531DE"/>
    <w:rsid w:val="65373578"/>
    <w:rsid w:val="65750D3B"/>
    <w:rsid w:val="65D0781C"/>
    <w:rsid w:val="65D26342"/>
    <w:rsid w:val="65EF673D"/>
    <w:rsid w:val="66042121"/>
    <w:rsid w:val="66E46A3D"/>
    <w:rsid w:val="66E46BDF"/>
    <w:rsid w:val="671F124A"/>
    <w:rsid w:val="67345C23"/>
    <w:rsid w:val="674E0FD2"/>
    <w:rsid w:val="67515F42"/>
    <w:rsid w:val="67753429"/>
    <w:rsid w:val="677A33C6"/>
    <w:rsid w:val="68040309"/>
    <w:rsid w:val="681A5D7E"/>
    <w:rsid w:val="681D13CB"/>
    <w:rsid w:val="681F6961"/>
    <w:rsid w:val="68373209"/>
    <w:rsid w:val="684D2496"/>
    <w:rsid w:val="68610A2F"/>
    <w:rsid w:val="68771D91"/>
    <w:rsid w:val="68805514"/>
    <w:rsid w:val="688B27D8"/>
    <w:rsid w:val="68C736F8"/>
    <w:rsid w:val="68DB72BC"/>
    <w:rsid w:val="68FD4D2A"/>
    <w:rsid w:val="690F51B7"/>
    <w:rsid w:val="692E26CD"/>
    <w:rsid w:val="69316E2F"/>
    <w:rsid w:val="694E2071"/>
    <w:rsid w:val="695426CA"/>
    <w:rsid w:val="69627926"/>
    <w:rsid w:val="69766163"/>
    <w:rsid w:val="697A3B33"/>
    <w:rsid w:val="699356C4"/>
    <w:rsid w:val="69D44760"/>
    <w:rsid w:val="6A520EC7"/>
    <w:rsid w:val="6A5421FE"/>
    <w:rsid w:val="6A5470FB"/>
    <w:rsid w:val="6A923BF5"/>
    <w:rsid w:val="6A995FD8"/>
    <w:rsid w:val="6AF87E20"/>
    <w:rsid w:val="6B2516BA"/>
    <w:rsid w:val="6B322639"/>
    <w:rsid w:val="6BB12556"/>
    <w:rsid w:val="6C0134DD"/>
    <w:rsid w:val="6C5E45D5"/>
    <w:rsid w:val="6C636C38"/>
    <w:rsid w:val="6C991968"/>
    <w:rsid w:val="6CC80D05"/>
    <w:rsid w:val="6CC964EB"/>
    <w:rsid w:val="6D003795"/>
    <w:rsid w:val="6DB34098"/>
    <w:rsid w:val="6DB545B6"/>
    <w:rsid w:val="6DE02FB4"/>
    <w:rsid w:val="6DF32430"/>
    <w:rsid w:val="6DF505A2"/>
    <w:rsid w:val="6DFF66DD"/>
    <w:rsid w:val="6E255C8E"/>
    <w:rsid w:val="6E261FE6"/>
    <w:rsid w:val="6E4678C2"/>
    <w:rsid w:val="6E514CED"/>
    <w:rsid w:val="6E652526"/>
    <w:rsid w:val="6E881C94"/>
    <w:rsid w:val="6EB563D5"/>
    <w:rsid w:val="6ED76777"/>
    <w:rsid w:val="6ED92677"/>
    <w:rsid w:val="6EE222F2"/>
    <w:rsid w:val="6F225983"/>
    <w:rsid w:val="6FB97C2B"/>
    <w:rsid w:val="6FCF744E"/>
    <w:rsid w:val="6FFC5590"/>
    <w:rsid w:val="70084BE8"/>
    <w:rsid w:val="701A7EF7"/>
    <w:rsid w:val="702F4391"/>
    <w:rsid w:val="703012F9"/>
    <w:rsid w:val="705309A3"/>
    <w:rsid w:val="705F019F"/>
    <w:rsid w:val="705F3D12"/>
    <w:rsid w:val="706D1DD0"/>
    <w:rsid w:val="707831E0"/>
    <w:rsid w:val="70856B87"/>
    <w:rsid w:val="708B53EB"/>
    <w:rsid w:val="70A66401"/>
    <w:rsid w:val="70D527EE"/>
    <w:rsid w:val="715B5300"/>
    <w:rsid w:val="71623D54"/>
    <w:rsid w:val="719E58AB"/>
    <w:rsid w:val="71D27F8A"/>
    <w:rsid w:val="72553024"/>
    <w:rsid w:val="72C2329A"/>
    <w:rsid w:val="730104CF"/>
    <w:rsid w:val="73122968"/>
    <w:rsid w:val="731735E6"/>
    <w:rsid w:val="731F5D5E"/>
    <w:rsid w:val="73306456"/>
    <w:rsid w:val="73946A9B"/>
    <w:rsid w:val="73BE7F06"/>
    <w:rsid w:val="73C51AD5"/>
    <w:rsid w:val="741E793C"/>
    <w:rsid w:val="74277859"/>
    <w:rsid w:val="742D6E39"/>
    <w:rsid w:val="74324450"/>
    <w:rsid w:val="745E3944"/>
    <w:rsid w:val="748C0C36"/>
    <w:rsid w:val="74E53270"/>
    <w:rsid w:val="74ED5798"/>
    <w:rsid w:val="751108E9"/>
    <w:rsid w:val="753B617D"/>
    <w:rsid w:val="75422471"/>
    <w:rsid w:val="75427C9E"/>
    <w:rsid w:val="75436FE0"/>
    <w:rsid w:val="755C190B"/>
    <w:rsid w:val="755E016A"/>
    <w:rsid w:val="75634271"/>
    <w:rsid w:val="756A34D5"/>
    <w:rsid w:val="75774077"/>
    <w:rsid w:val="75D92B73"/>
    <w:rsid w:val="75F220E9"/>
    <w:rsid w:val="761C3675"/>
    <w:rsid w:val="7625392F"/>
    <w:rsid w:val="762B1157"/>
    <w:rsid w:val="7635099D"/>
    <w:rsid w:val="7662726E"/>
    <w:rsid w:val="76FF4ABD"/>
    <w:rsid w:val="77073E11"/>
    <w:rsid w:val="775B3E7F"/>
    <w:rsid w:val="77762421"/>
    <w:rsid w:val="77952179"/>
    <w:rsid w:val="77B56B1F"/>
    <w:rsid w:val="77D00208"/>
    <w:rsid w:val="780F09F4"/>
    <w:rsid w:val="788534BD"/>
    <w:rsid w:val="789B1AF3"/>
    <w:rsid w:val="78A90480"/>
    <w:rsid w:val="79200D1B"/>
    <w:rsid w:val="79600A9C"/>
    <w:rsid w:val="79912F32"/>
    <w:rsid w:val="7A0A5C53"/>
    <w:rsid w:val="7A0B5527"/>
    <w:rsid w:val="7A2039F2"/>
    <w:rsid w:val="7A2B1BAD"/>
    <w:rsid w:val="7A364017"/>
    <w:rsid w:val="7A392094"/>
    <w:rsid w:val="7A807CC3"/>
    <w:rsid w:val="7A8265E1"/>
    <w:rsid w:val="7AA0795A"/>
    <w:rsid w:val="7AA37E55"/>
    <w:rsid w:val="7AFF156B"/>
    <w:rsid w:val="7B2E7324"/>
    <w:rsid w:val="7B686D42"/>
    <w:rsid w:val="7B713A12"/>
    <w:rsid w:val="7B841746"/>
    <w:rsid w:val="7BB25107"/>
    <w:rsid w:val="7BB76594"/>
    <w:rsid w:val="7BE11BCC"/>
    <w:rsid w:val="7C077F47"/>
    <w:rsid w:val="7C1903CF"/>
    <w:rsid w:val="7C3A0345"/>
    <w:rsid w:val="7C6C5AC7"/>
    <w:rsid w:val="7C987887"/>
    <w:rsid w:val="7CC63144"/>
    <w:rsid w:val="7CC6544B"/>
    <w:rsid w:val="7CD65E64"/>
    <w:rsid w:val="7CF077E0"/>
    <w:rsid w:val="7D0239FF"/>
    <w:rsid w:val="7D534DD0"/>
    <w:rsid w:val="7D5E40CD"/>
    <w:rsid w:val="7DCD56F2"/>
    <w:rsid w:val="7DDA593C"/>
    <w:rsid w:val="7DE71E07"/>
    <w:rsid w:val="7DF37669"/>
    <w:rsid w:val="7E0D5D12"/>
    <w:rsid w:val="7E313C18"/>
    <w:rsid w:val="7E51010F"/>
    <w:rsid w:val="7E7F0292"/>
    <w:rsid w:val="7EC02D84"/>
    <w:rsid w:val="7ECA3C03"/>
    <w:rsid w:val="7F001CE7"/>
    <w:rsid w:val="7FA72A65"/>
    <w:rsid w:val="7FA814F7"/>
    <w:rsid w:val="7FE467BE"/>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1"/>
    <w:next w:val="1"/>
    <w:autoRedefine/>
    <w:qFormat/>
    <w:locked/>
    <w:uiPriority w:val="0"/>
    <w:pPr>
      <w:keepNext/>
      <w:spacing w:line="520" w:lineRule="exact"/>
      <w:ind w:right="102"/>
      <w:jc w:val="center"/>
      <w:outlineLvl w:val="3"/>
    </w:pPr>
    <w:rPr>
      <w:rFonts w:eastAsia="仿宋_GB2312"/>
      <w:color w:val="FF000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locked/>
    <w:uiPriority w:val="0"/>
    <w:pPr>
      <w:ind w:firstLine="420" w:firstLineChars="200"/>
    </w:pPr>
    <w:rPr>
      <w:szCs w:val="20"/>
    </w:rPr>
  </w:style>
  <w:style w:type="paragraph" w:styleId="5">
    <w:name w:val="caption"/>
    <w:basedOn w:val="1"/>
    <w:next w:val="1"/>
    <w:autoRedefine/>
    <w:qFormat/>
    <w:locked/>
    <w:uiPriority w:val="0"/>
    <w:rPr>
      <w:rFonts w:ascii="Arial" w:hAnsi="Arial" w:eastAsia="黑体" w:cs="Arial"/>
      <w:sz w:val="20"/>
      <w:szCs w:val="20"/>
    </w:rPr>
  </w:style>
  <w:style w:type="paragraph" w:styleId="6">
    <w:name w:val="annotation text"/>
    <w:basedOn w:val="1"/>
    <w:link w:val="29"/>
    <w:autoRedefine/>
    <w:semiHidden/>
    <w:qFormat/>
    <w:uiPriority w:val="0"/>
    <w:pPr>
      <w:jc w:val="left"/>
    </w:pPr>
    <w:rPr>
      <w:kern w:val="0"/>
      <w:sz w:val="24"/>
      <w:szCs w:val="20"/>
    </w:rPr>
  </w:style>
  <w:style w:type="paragraph" w:styleId="7">
    <w:name w:val="Body Text"/>
    <w:basedOn w:val="1"/>
    <w:next w:val="8"/>
    <w:link w:val="33"/>
    <w:autoRedefine/>
    <w:qFormat/>
    <w:uiPriority w:val="0"/>
    <w:pPr>
      <w:widowControl/>
      <w:snapToGrid w:val="0"/>
      <w:spacing w:before="60" w:after="160" w:line="259" w:lineRule="auto"/>
      <w:ind w:right="113"/>
    </w:pPr>
    <w:rPr>
      <w:kern w:val="0"/>
      <w:sz w:val="18"/>
      <w:szCs w:val="20"/>
    </w:rPr>
  </w:style>
  <w:style w:type="paragraph" w:styleId="8">
    <w:name w:val="List Bullet 5"/>
    <w:basedOn w:val="1"/>
    <w:autoRedefine/>
    <w:qFormat/>
    <w:locked/>
    <w:uiPriority w:val="0"/>
    <w:pPr>
      <w:numPr>
        <w:ilvl w:val="0"/>
        <w:numId w:val="1"/>
      </w:numPr>
    </w:pPr>
  </w:style>
  <w:style w:type="paragraph" w:styleId="9">
    <w:name w:val="Body Text Indent"/>
    <w:basedOn w:val="1"/>
    <w:next w:val="2"/>
    <w:link w:val="32"/>
    <w:autoRedefine/>
    <w:qFormat/>
    <w:uiPriority w:val="0"/>
    <w:pPr>
      <w:spacing w:after="120"/>
      <w:ind w:left="420" w:leftChars="200"/>
    </w:pPr>
    <w:rPr>
      <w:kern w:val="0"/>
      <w:sz w:val="24"/>
      <w:szCs w:val="20"/>
    </w:rPr>
  </w:style>
  <w:style w:type="paragraph" w:styleId="10">
    <w:name w:val="Block Text"/>
    <w:basedOn w:val="1"/>
    <w:autoRedefine/>
    <w:qFormat/>
    <w:locked/>
    <w:uiPriority w:val="0"/>
    <w:pPr>
      <w:widowControl/>
      <w:spacing w:after="120"/>
      <w:ind w:left="1440" w:leftChars="700" w:right="1440" w:rightChars="700"/>
      <w:jc w:val="left"/>
    </w:pPr>
    <w:rPr>
      <w:rFonts w:ascii="宋体" w:hAnsi="宋体" w:cs="宋体"/>
      <w:kern w:val="0"/>
      <w:sz w:val="24"/>
    </w:rPr>
  </w:style>
  <w:style w:type="paragraph" w:styleId="11">
    <w:name w:val="Plain Text"/>
    <w:basedOn w:val="1"/>
    <w:autoRedefine/>
    <w:qFormat/>
    <w:locked/>
    <w:uiPriority w:val="0"/>
    <w:rPr>
      <w:rFonts w:ascii="宋体" w:hAnsi="Courier New" w:cs="Courier New"/>
      <w:sz w:val="21"/>
      <w:szCs w:val="21"/>
    </w:rPr>
  </w:style>
  <w:style w:type="paragraph" w:styleId="12">
    <w:name w:val="Date"/>
    <w:basedOn w:val="1"/>
    <w:next w:val="1"/>
    <w:link w:val="34"/>
    <w:autoRedefine/>
    <w:qFormat/>
    <w:uiPriority w:val="0"/>
    <w:pPr>
      <w:ind w:left="100" w:leftChars="2500"/>
    </w:pPr>
    <w:rPr>
      <w:kern w:val="0"/>
      <w:sz w:val="24"/>
      <w:szCs w:val="20"/>
    </w:rPr>
  </w:style>
  <w:style w:type="paragraph" w:styleId="13">
    <w:name w:val="Balloon Text"/>
    <w:basedOn w:val="1"/>
    <w:link w:val="35"/>
    <w:autoRedefine/>
    <w:semiHidden/>
    <w:qFormat/>
    <w:uiPriority w:val="0"/>
    <w:rPr>
      <w:kern w:val="0"/>
      <w:sz w:val="18"/>
      <w:szCs w:val="20"/>
    </w:rPr>
  </w:style>
  <w:style w:type="paragraph" w:styleId="14">
    <w:name w:val="footer"/>
    <w:basedOn w:val="1"/>
    <w:link w:val="36"/>
    <w:autoRedefine/>
    <w:qFormat/>
    <w:uiPriority w:val="99"/>
    <w:pPr>
      <w:tabs>
        <w:tab w:val="center" w:pos="4153"/>
        <w:tab w:val="right" w:pos="8306"/>
      </w:tabs>
      <w:snapToGrid w:val="0"/>
      <w:jc w:val="left"/>
    </w:pPr>
    <w:rPr>
      <w:kern w:val="0"/>
      <w:sz w:val="18"/>
      <w:szCs w:val="20"/>
    </w:rPr>
  </w:style>
  <w:style w:type="paragraph" w:styleId="15">
    <w:name w:val="header"/>
    <w:basedOn w:val="1"/>
    <w:link w:val="3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Normal (Web)"/>
    <w:basedOn w:val="1"/>
    <w:link w:val="38"/>
    <w:autoRedefine/>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9"/>
    <w:autoRedefine/>
    <w:semiHidden/>
    <w:qFormat/>
    <w:uiPriority w:val="0"/>
    <w:rPr>
      <w:b/>
      <w:sz w:val="24"/>
      <w:szCs w:val="20"/>
    </w:rPr>
  </w:style>
  <w:style w:type="paragraph" w:styleId="18">
    <w:name w:val="Body Text First Indent 2"/>
    <w:basedOn w:val="9"/>
    <w:next w:val="19"/>
    <w:autoRedefine/>
    <w:qFormat/>
    <w:locked/>
    <w:uiPriority w:val="0"/>
    <w:pPr>
      <w:ind w:firstLine="420" w:firstLineChars="200"/>
    </w:pPr>
  </w:style>
  <w:style w:type="paragraph" w:customStyle="1" w:styleId="19">
    <w:name w:val="Default"/>
    <w:basedOn w:val="20"/>
    <w:next w:val="1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标题 段落4级"/>
    <w:basedOn w:val="21"/>
    <w:next w:val="6"/>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1">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locked/>
    <w:uiPriority w:val="0"/>
  </w:style>
  <w:style w:type="character" w:styleId="26">
    <w:name w:val="FollowedHyperlink"/>
    <w:basedOn w:val="24"/>
    <w:autoRedefine/>
    <w:qFormat/>
    <w:locked/>
    <w:uiPriority w:val="0"/>
    <w:rPr>
      <w:color w:val="800080"/>
      <w:u w:val="single"/>
    </w:rPr>
  </w:style>
  <w:style w:type="character" w:styleId="27">
    <w:name w:val="Hyperlink"/>
    <w:basedOn w:val="24"/>
    <w:autoRedefine/>
    <w:qFormat/>
    <w:locked/>
    <w:uiPriority w:val="0"/>
    <w:rPr>
      <w:color w:val="0000FF"/>
      <w:u w:val="single"/>
    </w:rPr>
  </w:style>
  <w:style w:type="character" w:styleId="28">
    <w:name w:val="annotation reference"/>
    <w:autoRedefine/>
    <w:semiHidden/>
    <w:qFormat/>
    <w:uiPriority w:val="0"/>
    <w:rPr>
      <w:sz w:val="21"/>
    </w:rPr>
  </w:style>
  <w:style w:type="character" w:customStyle="1" w:styleId="29">
    <w:name w:val="批注文字 Char"/>
    <w:link w:val="6"/>
    <w:autoRedefine/>
    <w:qFormat/>
    <w:locked/>
    <w:uiPriority w:val="0"/>
    <w:rPr>
      <w:rFonts w:ascii="Times New Roman" w:hAnsi="Times New Roman" w:eastAsia="宋体"/>
      <w:sz w:val="24"/>
    </w:rPr>
  </w:style>
  <w:style w:type="paragraph" w:customStyle="1" w:styleId="30">
    <w:name w:val="表格"/>
    <w:basedOn w:val="1"/>
    <w:link w:val="31"/>
    <w:autoRedefine/>
    <w:qFormat/>
    <w:uiPriority w:val="0"/>
    <w:pPr>
      <w:adjustRightInd w:val="0"/>
      <w:snapToGrid w:val="0"/>
      <w:spacing w:beforeLines="10" w:afterLines="10" w:line="259" w:lineRule="auto"/>
      <w:jc w:val="center"/>
    </w:pPr>
    <w:rPr>
      <w:rFonts w:ascii="宋体"/>
      <w:kern w:val="0"/>
      <w:szCs w:val="20"/>
    </w:rPr>
  </w:style>
  <w:style w:type="character" w:customStyle="1" w:styleId="31">
    <w:name w:val="表格 Char"/>
    <w:link w:val="30"/>
    <w:autoRedefine/>
    <w:qFormat/>
    <w:locked/>
    <w:uiPriority w:val="0"/>
    <w:rPr>
      <w:rFonts w:ascii="宋体"/>
      <w:sz w:val="21"/>
    </w:rPr>
  </w:style>
  <w:style w:type="character" w:customStyle="1" w:styleId="32">
    <w:name w:val="正文文本缩进 Char"/>
    <w:link w:val="9"/>
    <w:autoRedefine/>
    <w:semiHidden/>
    <w:qFormat/>
    <w:locked/>
    <w:uiPriority w:val="0"/>
    <w:rPr>
      <w:rFonts w:ascii="Times New Roman" w:hAnsi="Times New Roman" w:eastAsia="宋体"/>
      <w:sz w:val="24"/>
    </w:rPr>
  </w:style>
  <w:style w:type="character" w:customStyle="1" w:styleId="33">
    <w:name w:val="正文文本 Char"/>
    <w:link w:val="7"/>
    <w:autoRedefine/>
    <w:qFormat/>
    <w:locked/>
    <w:uiPriority w:val="0"/>
    <w:rPr>
      <w:sz w:val="18"/>
    </w:rPr>
  </w:style>
  <w:style w:type="character" w:customStyle="1" w:styleId="34">
    <w:name w:val="日期 Char"/>
    <w:link w:val="12"/>
    <w:autoRedefine/>
    <w:qFormat/>
    <w:locked/>
    <w:uiPriority w:val="0"/>
    <w:rPr>
      <w:rFonts w:ascii="Times New Roman" w:hAnsi="Times New Roman" w:eastAsia="宋体"/>
      <w:sz w:val="24"/>
    </w:rPr>
  </w:style>
  <w:style w:type="character" w:customStyle="1" w:styleId="35">
    <w:name w:val="批注框文本 Char"/>
    <w:link w:val="13"/>
    <w:autoRedefine/>
    <w:semiHidden/>
    <w:qFormat/>
    <w:locked/>
    <w:uiPriority w:val="0"/>
    <w:rPr>
      <w:rFonts w:ascii="Times New Roman" w:hAnsi="Times New Roman" w:eastAsia="宋体"/>
      <w:sz w:val="18"/>
    </w:rPr>
  </w:style>
  <w:style w:type="character" w:customStyle="1" w:styleId="36">
    <w:name w:val="页脚 Char"/>
    <w:link w:val="14"/>
    <w:autoRedefine/>
    <w:qFormat/>
    <w:locked/>
    <w:uiPriority w:val="99"/>
    <w:rPr>
      <w:sz w:val="18"/>
    </w:rPr>
  </w:style>
  <w:style w:type="character" w:customStyle="1" w:styleId="37">
    <w:name w:val="页眉 Char"/>
    <w:link w:val="15"/>
    <w:autoRedefine/>
    <w:qFormat/>
    <w:locked/>
    <w:uiPriority w:val="0"/>
    <w:rPr>
      <w:sz w:val="18"/>
    </w:rPr>
  </w:style>
  <w:style w:type="character" w:customStyle="1" w:styleId="38">
    <w:name w:val="普通(网站) Char"/>
    <w:link w:val="16"/>
    <w:autoRedefine/>
    <w:qFormat/>
    <w:locked/>
    <w:uiPriority w:val="0"/>
    <w:rPr>
      <w:rFonts w:ascii="宋体" w:hAnsi="宋体" w:eastAsia="宋体"/>
      <w:sz w:val="24"/>
    </w:rPr>
  </w:style>
  <w:style w:type="character" w:customStyle="1" w:styleId="39">
    <w:name w:val="批注主题 Char"/>
    <w:link w:val="17"/>
    <w:autoRedefine/>
    <w:semiHidden/>
    <w:qFormat/>
    <w:locked/>
    <w:uiPriority w:val="0"/>
    <w:rPr>
      <w:rFonts w:ascii="Times New Roman" w:hAnsi="Times New Roman" w:eastAsia="宋体"/>
      <w:b/>
      <w:kern w:val="2"/>
      <w:sz w:val="24"/>
    </w:rPr>
  </w:style>
  <w:style w:type="paragraph" w:customStyle="1" w:styleId="40">
    <w:name w:val="纯文本1"/>
    <w:basedOn w:val="1"/>
    <w:autoRedefine/>
    <w:qFormat/>
    <w:uiPriority w:val="0"/>
    <w:pPr>
      <w:adjustRightInd w:val="0"/>
    </w:pPr>
    <w:rPr>
      <w:rFonts w:ascii="宋体" w:hAnsi="Courier New"/>
      <w:szCs w:val="20"/>
    </w:rPr>
  </w:style>
  <w:style w:type="character" w:customStyle="1" w:styleId="41">
    <w:name w:val="页脚 字符"/>
    <w:basedOn w:val="24"/>
    <w:autoRedefine/>
    <w:qFormat/>
    <w:uiPriority w:val="99"/>
  </w:style>
  <w:style w:type="character" w:customStyle="1" w:styleId="42">
    <w:name w:val="正文文本 字符1"/>
    <w:autoRedefine/>
    <w:semiHidden/>
    <w:qFormat/>
    <w:uiPriority w:val="0"/>
    <w:rPr>
      <w:rFonts w:ascii="Times New Roman" w:hAnsi="Times New Roman" w:eastAsia="宋体"/>
      <w:sz w:val="24"/>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文字 字符1"/>
    <w:autoRedefine/>
    <w:semiHidden/>
    <w:qFormat/>
    <w:uiPriority w:val="0"/>
    <w:rPr>
      <w:rFonts w:ascii="Times New Roman" w:hAnsi="Times New Roman" w:eastAsia="宋体"/>
      <w:sz w:val="24"/>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7">
    <w:name w:val="表格文字2"/>
    <w:basedOn w:val="1"/>
    <w:autoRedefine/>
    <w:qFormat/>
    <w:uiPriority w:val="0"/>
    <w:pPr>
      <w:tabs>
        <w:tab w:val="left" w:pos="277"/>
        <w:tab w:val="left" w:pos="600"/>
        <w:tab w:val="left" w:pos="780"/>
        <w:tab w:val="left" w:pos="2517"/>
      </w:tabs>
      <w:adjustRightInd w:val="0"/>
      <w:snapToGrid w:val="0"/>
      <w:jc w:val="center"/>
      <w:textAlignment w:val="baseline"/>
    </w:pPr>
    <w:rPr>
      <w:kern w:val="0"/>
      <w:szCs w:val="21"/>
    </w:rPr>
  </w:style>
  <w:style w:type="paragraph" w:customStyle="1" w:styleId="48">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49">
    <w:name w:val="填表内容"/>
    <w:basedOn w:val="1"/>
    <w:autoRedefine/>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50">
    <w:name w:val="0表格格式"/>
    <w:basedOn w:val="1"/>
    <w:autoRedefine/>
    <w:qFormat/>
    <w:uiPriority w:val="0"/>
    <w:pPr>
      <w:widowControl/>
      <w:jc w:val="center"/>
    </w:pPr>
    <w:rPr>
      <w:rFonts w:ascii="宋体" w:hAnsi="宋体" w:cs="宋体"/>
      <w:kern w:val="0"/>
      <w:szCs w:val="21"/>
    </w:rPr>
  </w:style>
  <w:style w:type="paragraph" w:customStyle="1" w:styleId="51">
    <w:name w:val="表头"/>
    <w:basedOn w:val="1"/>
    <w:autoRedefine/>
    <w:qFormat/>
    <w:uiPriority w:val="0"/>
    <w:pPr>
      <w:widowControl/>
      <w:spacing w:beforeAutospacing="0" w:afterAutospacing="0" w:line="240" w:lineRule="auto"/>
      <w:ind w:firstLine="0" w:firstLineChars="0"/>
      <w:jc w:val="center"/>
      <w:outlineLvl w:val="0"/>
    </w:pPr>
    <w:rPr>
      <w:rFonts w:hint="default" w:ascii="Times New Roman" w:hAnsi="Times New Roman" w:eastAsia="宋体"/>
      <w:b/>
      <w:bCs/>
      <w:snapToGrid w:val="0"/>
      <w:color w:val="auto"/>
      <w:kern w:val="0"/>
      <w:sz w:val="21"/>
      <w:szCs w:val="21"/>
    </w:rPr>
  </w:style>
  <w:style w:type="paragraph" w:customStyle="1" w:styleId="52">
    <w:name w:val="Table Text"/>
    <w:basedOn w:val="1"/>
    <w:autoRedefine/>
    <w:semiHidden/>
    <w:qFormat/>
    <w:uiPriority w:val="0"/>
    <w:rPr>
      <w:rFonts w:ascii="宋体" w:hAnsi="宋体" w:eastAsia="宋体" w:cs="宋体"/>
      <w:sz w:val="24"/>
      <w:szCs w:val="24"/>
      <w:lang w:val="en-US" w:eastAsia="en-US" w:bidi="ar-SA"/>
    </w:rPr>
  </w:style>
  <w:style w:type="paragraph" w:customStyle="1" w:styleId="53">
    <w:name w:val="A表头"/>
    <w:basedOn w:val="54"/>
    <w:qFormat/>
    <w:uiPriority w:val="0"/>
    <w:pPr>
      <w:ind w:firstLine="0" w:firstLineChars="0"/>
      <w:jc w:val="center"/>
      <w:outlineLvl w:val="2"/>
    </w:pPr>
    <w:rPr>
      <w:rFonts w:hAnsi="宋体"/>
      <w:b/>
      <w:bCs/>
      <w:spacing w:val="-1"/>
      <w:lang w:val="zh-CN" w:bidi="zh-CN"/>
    </w:rPr>
  </w:style>
  <w:style w:type="paragraph" w:customStyle="1" w:styleId="54">
    <w:name w:val="A正文"/>
    <w:basedOn w:val="1"/>
    <w:qFormat/>
    <w:uiPriority w:val="0"/>
    <w:pPr>
      <w:adjustRightInd w:val="0"/>
      <w:snapToGrid w:val="0"/>
      <w:spacing w:line="288" w:lineRule="auto"/>
      <w:ind w:firstLine="420" w:firstLineChars="200"/>
    </w:pPr>
    <w:rPr>
      <w:rFonts w:eastAsia="仿宋"/>
      <w:snapToGrid w:val="0"/>
      <w:kern w:val="0"/>
      <w:szCs w:val="21"/>
    </w:rPr>
  </w:style>
  <w:style w:type="paragraph" w:customStyle="1" w:styleId="5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mpd="sng">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602"/>
    <customShpInfo spid="_x0000_s25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84</Pages>
  <Words>20455</Words>
  <Characters>22282</Characters>
  <Lines>324</Lines>
  <Paragraphs>91</Paragraphs>
  <TotalTime>13</TotalTime>
  <ScaleCrop>false</ScaleCrop>
  <LinksUpToDate>false</LinksUpToDate>
  <CharactersWithSpaces>22308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loser</dc:creator>
  <cp:lastModifiedBy>a moon</cp:lastModifiedBy>
  <cp:lastPrinted>2025-04-20T05:08:00Z</cp:lastPrinted>
  <dcterms:modified xsi:type="dcterms:W3CDTF">2025-04-28T02:08:31Z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4F3088B37D95456495186B7534C9DE35_13</vt:lpwstr>
  </property>
  <property fmtid="{D5CDD505-2E9C-101B-9397-08002B2CF9AE}" pid="4" name="KSOTemplateDocerSaveRecord">
    <vt:lpwstr>eyJoZGlkIjoiNzUzZDE2YzA3NDM3Nzg1MDY1NmNiNWFjNjBmZDhiOWMiLCJ1c2VySWQiOiIyNjEyMzM3ODAifQ==</vt:lpwstr>
  </property>
</Properties>
</file>