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7AFBD">
      <w:pPr>
        <w:rPr>
          <w:rFonts w:hint="eastAsia" w:ascii="仿宋_GB2312" w:hAnsi="仿宋_GB2312" w:eastAsia="仿宋_GB2312" w:cs="仿宋_GB2312"/>
          <w:color w:val="auto"/>
          <w:sz w:val="36"/>
          <w:szCs w:val="36"/>
        </w:rPr>
      </w:pPr>
    </w:p>
    <w:p w14:paraId="0D99FCF4">
      <w:pPr>
        <w:rPr>
          <w:rFonts w:hint="eastAsia" w:ascii="仿宋_GB2312" w:hAnsi="仿宋_GB2312" w:eastAsia="仿宋_GB2312" w:cs="仿宋_GB2312"/>
          <w:color w:val="auto"/>
          <w:sz w:val="36"/>
          <w:szCs w:val="36"/>
        </w:rPr>
      </w:pPr>
    </w:p>
    <w:p w14:paraId="3DB9FA18">
      <w:pPr>
        <w:adjustRightInd w:val="0"/>
        <w:snapToGrid w:val="0"/>
        <w:jc w:val="center"/>
        <w:outlineLvl w:val="0"/>
        <w:rPr>
          <w:rFonts w:hint="eastAsia"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14:paraId="760F0155">
      <w:pPr>
        <w:adjustRightInd w:val="0"/>
        <w:snapToGrid w:val="0"/>
        <w:spacing w:before="192" w:beforeLines="80"/>
        <w:jc w:val="center"/>
        <w:rPr>
          <w:rFonts w:hint="eastAsia" w:ascii="楷体_GB2312" w:eastAsia="楷体_GB2312"/>
          <w:bCs/>
          <w:color w:val="auto"/>
          <w:sz w:val="48"/>
          <w:szCs w:val="48"/>
        </w:rPr>
      </w:pPr>
      <w:r>
        <w:rPr>
          <w:rFonts w:hint="eastAsia" w:ascii="楷体_GB2312" w:eastAsia="楷体_GB2312"/>
          <w:bCs/>
          <w:color w:val="auto"/>
          <w:sz w:val="48"/>
          <w:szCs w:val="48"/>
        </w:rPr>
        <w:t>（污染影响类）</w:t>
      </w:r>
    </w:p>
    <w:p w14:paraId="26F767DB">
      <w:pPr>
        <w:adjustRightInd w:val="0"/>
        <w:snapToGrid w:val="0"/>
        <w:spacing w:line="288" w:lineRule="auto"/>
        <w:jc w:val="center"/>
        <w:outlineLvl w:val="0"/>
        <w:rPr>
          <w:rFonts w:ascii="华文仿宋" w:hAnsi="华文仿宋" w:eastAsia="华文仿宋" w:cs="华文仿宋"/>
          <w:color w:val="auto"/>
          <w:kern w:val="44"/>
          <w:sz w:val="44"/>
          <w:szCs w:val="44"/>
        </w:rPr>
      </w:pPr>
    </w:p>
    <w:p w14:paraId="5DF8C84E">
      <w:pPr>
        <w:jc w:val="center"/>
        <w:rPr>
          <w:rFonts w:eastAsia="仿宋"/>
          <w:color w:val="auto"/>
          <w:sz w:val="52"/>
          <w:szCs w:val="52"/>
        </w:rPr>
      </w:pPr>
    </w:p>
    <w:p w14:paraId="40A2980E">
      <w:pPr>
        <w:ind w:firstLine="1040"/>
        <w:rPr>
          <w:rFonts w:eastAsia="仿宋"/>
          <w:color w:val="auto"/>
          <w:sz w:val="44"/>
          <w:szCs w:val="44"/>
        </w:rPr>
      </w:pPr>
    </w:p>
    <w:p w14:paraId="4E966E6F">
      <w:pPr>
        <w:ind w:firstLine="1040"/>
        <w:rPr>
          <w:rFonts w:eastAsia="仿宋"/>
          <w:color w:val="auto"/>
          <w:sz w:val="44"/>
          <w:szCs w:val="44"/>
        </w:rPr>
      </w:pPr>
    </w:p>
    <w:p w14:paraId="2303421F">
      <w:pPr>
        <w:ind w:firstLine="1040"/>
        <w:rPr>
          <w:rFonts w:eastAsia="仿宋"/>
          <w:color w:val="auto"/>
          <w:sz w:val="44"/>
          <w:szCs w:val="44"/>
        </w:rPr>
      </w:pPr>
    </w:p>
    <w:p w14:paraId="4B4BB3E3">
      <w:pPr>
        <w:pStyle w:val="8"/>
        <w:rPr>
          <w:rFonts w:eastAsia="仿宋"/>
          <w:color w:val="auto"/>
          <w:sz w:val="44"/>
          <w:szCs w:val="44"/>
        </w:rPr>
      </w:pPr>
    </w:p>
    <w:p w14:paraId="592845EE">
      <w:pPr>
        <w:rPr>
          <w:color w:val="auto"/>
        </w:rPr>
      </w:pPr>
    </w:p>
    <w:p w14:paraId="1F0DA210">
      <w:pPr>
        <w:ind w:firstLine="1040"/>
        <w:rPr>
          <w:rFonts w:eastAsia="仿宋"/>
          <w:color w:val="auto"/>
          <w:sz w:val="44"/>
          <w:szCs w:val="44"/>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67"/>
        <w:gridCol w:w="5893"/>
      </w:tblGrid>
      <w:tr w14:paraId="0FA50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67" w:type="dxa"/>
            <w:vMerge w:val="restart"/>
            <w:tcBorders>
              <w:tl2br w:val="nil"/>
              <w:tr2bl w:val="nil"/>
            </w:tcBorders>
            <w:noWrap w:val="0"/>
            <w:vAlign w:val="top"/>
          </w:tcPr>
          <w:p w14:paraId="7BC30B2A">
            <w:pPr>
              <w:adjustRightInd w:val="0"/>
              <w:snapToGrid w:val="0"/>
              <w:spacing w:line="288" w:lineRule="auto"/>
              <w:rPr>
                <w:rFonts w:hint="eastAsia" w:ascii="仿宋_GB2312" w:eastAsia="仿宋_GB2312"/>
                <w:color w:val="auto"/>
                <w:sz w:val="36"/>
                <w:szCs w:val="36"/>
                <w:vertAlign w:val="baseline"/>
                <w:lang w:val="en-US" w:eastAsia="zh-CN"/>
              </w:rPr>
            </w:pPr>
            <w:r>
              <w:rPr>
                <w:rFonts w:hint="eastAsia" w:ascii="仿宋_GB2312" w:eastAsia="仿宋_GB2312"/>
                <w:color w:val="auto"/>
                <w:sz w:val="36"/>
                <w:szCs w:val="36"/>
                <w:vertAlign w:val="baseline"/>
                <w:lang w:val="en-US" w:eastAsia="zh-CN"/>
              </w:rPr>
              <w:t>项目名称：</w:t>
            </w:r>
          </w:p>
        </w:tc>
        <w:tc>
          <w:tcPr>
            <w:tcW w:w="5893" w:type="dxa"/>
            <w:tcBorders>
              <w:bottom w:val="single" w:color="000000" w:sz="4" w:space="0"/>
            </w:tcBorders>
            <w:noWrap w:val="0"/>
            <w:vAlign w:val="top"/>
          </w:tcPr>
          <w:p w14:paraId="59D8FE71">
            <w:pPr>
              <w:adjustRightInd w:val="0"/>
              <w:snapToGrid w:val="0"/>
              <w:spacing w:line="288" w:lineRule="auto"/>
              <w:jc w:val="center"/>
              <w:rPr>
                <w:rFonts w:hint="default" w:ascii="仿宋_GB2312" w:eastAsia="仿宋_GB2312"/>
                <w:color w:val="auto"/>
                <w:sz w:val="36"/>
                <w:szCs w:val="36"/>
                <w:vertAlign w:val="baseline"/>
                <w:lang w:val="en-US" w:eastAsia="zh-CN"/>
              </w:rPr>
            </w:pPr>
            <w:r>
              <w:rPr>
                <w:rFonts w:hint="eastAsia" w:ascii="仿宋_GB2312" w:eastAsia="仿宋_GB2312"/>
                <w:color w:val="auto"/>
                <w:sz w:val="36"/>
                <w:szCs w:val="36"/>
                <w:vertAlign w:val="baseline"/>
                <w:lang w:val="en-US" w:eastAsia="zh-CN"/>
              </w:rPr>
              <w:t>江苏鑫宇建材科技有限公司</w:t>
            </w:r>
          </w:p>
        </w:tc>
      </w:tr>
      <w:tr w14:paraId="23A8C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167" w:type="dxa"/>
            <w:vMerge w:val="continue"/>
            <w:tcBorders>
              <w:tl2br w:val="nil"/>
              <w:tr2bl w:val="nil"/>
            </w:tcBorders>
            <w:noWrap w:val="0"/>
            <w:vAlign w:val="top"/>
          </w:tcPr>
          <w:p w14:paraId="44054780">
            <w:pPr>
              <w:adjustRightInd w:val="0"/>
              <w:snapToGrid w:val="0"/>
              <w:spacing w:line="288" w:lineRule="auto"/>
              <w:jc w:val="center"/>
              <w:rPr>
                <w:color w:val="auto"/>
              </w:rPr>
            </w:pPr>
          </w:p>
        </w:tc>
        <w:tc>
          <w:tcPr>
            <w:tcW w:w="5893" w:type="dxa"/>
            <w:tcBorders>
              <w:bottom w:val="single" w:color="000000" w:sz="4" w:space="0"/>
            </w:tcBorders>
            <w:noWrap w:val="0"/>
            <w:vAlign w:val="top"/>
          </w:tcPr>
          <w:p w14:paraId="55392854">
            <w:pPr>
              <w:adjustRightInd w:val="0"/>
              <w:snapToGrid w:val="0"/>
              <w:spacing w:line="288" w:lineRule="auto"/>
              <w:jc w:val="center"/>
              <w:rPr>
                <w:rFonts w:hint="default" w:ascii="仿宋_GB2312" w:eastAsia="仿宋_GB2312"/>
                <w:color w:val="auto"/>
                <w:sz w:val="36"/>
                <w:szCs w:val="36"/>
                <w:vertAlign w:val="baseline"/>
                <w:lang w:val="en-US" w:eastAsia="zh-CN"/>
              </w:rPr>
            </w:pPr>
            <w:r>
              <w:rPr>
                <w:rFonts w:hint="eastAsia" w:ascii="仿宋_GB2312" w:eastAsia="仿宋_GB2312"/>
                <w:color w:val="auto"/>
                <w:sz w:val="36"/>
                <w:szCs w:val="36"/>
                <w:vertAlign w:val="baseline"/>
                <w:lang w:val="en-US" w:eastAsia="zh-CN"/>
              </w:rPr>
              <w:t>玻璃加工项目</w:t>
            </w:r>
          </w:p>
        </w:tc>
      </w:tr>
      <w:tr w14:paraId="471C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7" w:type="dxa"/>
            <w:tcBorders>
              <w:tl2br w:val="nil"/>
              <w:tr2bl w:val="nil"/>
            </w:tcBorders>
            <w:noWrap w:val="0"/>
            <w:vAlign w:val="top"/>
          </w:tcPr>
          <w:p w14:paraId="30960708">
            <w:pPr>
              <w:adjustRightInd w:val="0"/>
              <w:snapToGrid w:val="0"/>
              <w:spacing w:line="288" w:lineRule="auto"/>
              <w:rPr>
                <w:rFonts w:hint="default" w:ascii="仿宋_GB2312" w:eastAsia="仿宋_GB2312"/>
                <w:color w:val="auto"/>
                <w:sz w:val="36"/>
                <w:szCs w:val="36"/>
                <w:vertAlign w:val="baseline"/>
                <w:lang w:val="en-US" w:eastAsia="zh-CN"/>
              </w:rPr>
            </w:pPr>
            <w:r>
              <w:rPr>
                <w:rFonts w:hint="eastAsia" w:ascii="仿宋_GB2312" w:eastAsia="仿宋_GB2312"/>
                <w:color w:val="auto"/>
                <w:sz w:val="36"/>
                <w:szCs w:val="36"/>
                <w:vertAlign w:val="baseline"/>
                <w:lang w:val="en-US" w:eastAsia="zh-CN"/>
              </w:rPr>
              <w:t>建设单位（盖章）：</w:t>
            </w:r>
          </w:p>
        </w:tc>
        <w:tc>
          <w:tcPr>
            <w:tcW w:w="5893" w:type="dxa"/>
            <w:tcBorders>
              <w:top w:val="single" w:color="000000" w:sz="4" w:space="0"/>
              <w:bottom w:val="single" w:color="000000" w:sz="4" w:space="0"/>
            </w:tcBorders>
            <w:noWrap w:val="0"/>
            <w:vAlign w:val="top"/>
          </w:tcPr>
          <w:p w14:paraId="10602E3D">
            <w:pPr>
              <w:adjustRightInd w:val="0"/>
              <w:snapToGrid w:val="0"/>
              <w:spacing w:line="288" w:lineRule="auto"/>
              <w:jc w:val="center"/>
              <w:rPr>
                <w:rFonts w:hint="default" w:ascii="仿宋_GB2312" w:eastAsia="仿宋_GB2312"/>
                <w:color w:val="auto"/>
                <w:sz w:val="36"/>
                <w:szCs w:val="36"/>
                <w:vertAlign w:val="baseline"/>
                <w:lang w:val="en-US" w:eastAsia="zh-CN"/>
              </w:rPr>
            </w:pPr>
            <w:r>
              <w:rPr>
                <w:rFonts w:hint="eastAsia" w:ascii="仿宋_GB2312" w:eastAsia="仿宋_GB2312"/>
                <w:color w:val="auto"/>
                <w:sz w:val="36"/>
                <w:szCs w:val="36"/>
                <w:vertAlign w:val="baseline"/>
                <w:lang w:val="en-US" w:eastAsia="zh-CN"/>
              </w:rPr>
              <w:t>江苏鑫宇建材科技有限公司</w:t>
            </w:r>
          </w:p>
        </w:tc>
      </w:tr>
      <w:tr w14:paraId="6197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7" w:type="dxa"/>
            <w:tcBorders>
              <w:tl2br w:val="nil"/>
              <w:tr2bl w:val="nil"/>
            </w:tcBorders>
            <w:noWrap w:val="0"/>
            <w:vAlign w:val="top"/>
          </w:tcPr>
          <w:p w14:paraId="12C37BCE">
            <w:pPr>
              <w:adjustRightInd w:val="0"/>
              <w:snapToGrid w:val="0"/>
              <w:spacing w:line="288" w:lineRule="auto"/>
              <w:rPr>
                <w:rFonts w:hint="eastAsia" w:ascii="仿宋_GB2312" w:eastAsia="仿宋_GB2312"/>
                <w:color w:val="auto"/>
                <w:sz w:val="36"/>
                <w:szCs w:val="36"/>
                <w:vertAlign w:val="baseline"/>
                <w:lang w:val="en-US" w:eastAsia="zh-CN"/>
              </w:rPr>
            </w:pPr>
            <w:r>
              <w:rPr>
                <w:rFonts w:hint="eastAsia" w:ascii="仿宋_GB2312" w:eastAsia="仿宋_GB2312"/>
                <w:color w:val="auto"/>
                <w:sz w:val="36"/>
                <w:szCs w:val="36"/>
                <w:vertAlign w:val="baseline"/>
                <w:lang w:val="en-US" w:eastAsia="zh-CN"/>
              </w:rPr>
              <w:t>编制日期：</w:t>
            </w:r>
          </w:p>
        </w:tc>
        <w:tc>
          <w:tcPr>
            <w:tcW w:w="5893" w:type="dxa"/>
            <w:tcBorders>
              <w:top w:val="single" w:color="000000" w:sz="4" w:space="0"/>
              <w:bottom w:val="single" w:color="000000" w:sz="4" w:space="0"/>
            </w:tcBorders>
            <w:noWrap w:val="0"/>
            <w:vAlign w:val="top"/>
          </w:tcPr>
          <w:p w14:paraId="0BCB2A5D">
            <w:pPr>
              <w:tabs>
                <w:tab w:val="left" w:pos="1497"/>
              </w:tabs>
              <w:adjustRightInd w:val="0"/>
              <w:snapToGrid w:val="0"/>
              <w:spacing w:line="288" w:lineRule="auto"/>
              <w:jc w:val="center"/>
              <w:rPr>
                <w:rFonts w:hint="default" w:ascii="仿宋_GB2312" w:eastAsia="仿宋_GB2312"/>
                <w:color w:val="auto"/>
                <w:sz w:val="36"/>
                <w:szCs w:val="36"/>
                <w:vertAlign w:val="baseline"/>
                <w:lang w:val="en-US" w:eastAsia="zh-CN"/>
              </w:rPr>
            </w:pPr>
            <w:r>
              <w:rPr>
                <w:rFonts w:hint="eastAsia" w:ascii="Times New Roman" w:hAnsi="Times New Roman" w:eastAsia="仿宋_GB2312"/>
                <w:color w:val="auto"/>
                <w:sz w:val="36"/>
                <w:szCs w:val="36"/>
                <w:vertAlign w:val="baseline"/>
                <w:lang w:val="en-US" w:eastAsia="zh-CN"/>
              </w:rPr>
              <w:t>202</w:t>
            </w:r>
            <w:r>
              <w:rPr>
                <w:rFonts w:hint="eastAsia" w:eastAsia="仿宋_GB2312"/>
                <w:color w:val="auto"/>
                <w:sz w:val="36"/>
                <w:szCs w:val="36"/>
                <w:vertAlign w:val="baseline"/>
                <w:lang w:val="en-US" w:eastAsia="zh-CN"/>
              </w:rPr>
              <w:t>5</w:t>
            </w:r>
            <w:r>
              <w:rPr>
                <w:rFonts w:hint="eastAsia" w:ascii="Times New Roman" w:hAnsi="Times New Roman" w:eastAsia="仿宋_GB2312"/>
                <w:color w:val="auto"/>
                <w:sz w:val="36"/>
                <w:szCs w:val="36"/>
                <w:vertAlign w:val="baseline"/>
                <w:lang w:val="en-US" w:eastAsia="zh-CN"/>
              </w:rPr>
              <w:t>年</w:t>
            </w:r>
            <w:r>
              <w:rPr>
                <w:rFonts w:hint="eastAsia" w:eastAsia="仿宋_GB2312"/>
                <w:color w:val="auto"/>
                <w:sz w:val="36"/>
                <w:szCs w:val="36"/>
                <w:vertAlign w:val="baseline"/>
                <w:lang w:val="en-US" w:eastAsia="zh-CN"/>
              </w:rPr>
              <w:t>2</w:t>
            </w:r>
            <w:r>
              <w:rPr>
                <w:rFonts w:hint="eastAsia" w:ascii="Times New Roman" w:hAnsi="Times New Roman" w:eastAsia="仿宋_GB2312"/>
                <w:color w:val="auto"/>
                <w:sz w:val="36"/>
                <w:szCs w:val="36"/>
                <w:vertAlign w:val="baseline"/>
                <w:lang w:val="en-US" w:eastAsia="zh-CN"/>
              </w:rPr>
              <w:t>月</w:t>
            </w:r>
          </w:p>
        </w:tc>
      </w:tr>
    </w:tbl>
    <w:p w14:paraId="0382D644">
      <w:pPr>
        <w:adjustRightInd w:val="0"/>
        <w:snapToGrid w:val="0"/>
        <w:spacing w:line="288" w:lineRule="auto"/>
        <w:ind w:firstLine="1040"/>
        <w:rPr>
          <w:rFonts w:ascii="仿宋_GB2312" w:eastAsia="仿宋_GB2312"/>
          <w:color w:val="auto"/>
          <w:sz w:val="36"/>
          <w:szCs w:val="36"/>
        </w:rPr>
      </w:pPr>
    </w:p>
    <w:p w14:paraId="44FE3C71">
      <w:pPr>
        <w:pStyle w:val="8"/>
        <w:rPr>
          <w:rFonts w:ascii="仿宋_GB2312" w:eastAsia="仿宋_GB2312"/>
          <w:color w:val="auto"/>
          <w:sz w:val="36"/>
          <w:szCs w:val="36"/>
        </w:rPr>
      </w:pPr>
    </w:p>
    <w:p w14:paraId="0F6AB2F3">
      <w:pPr>
        <w:rPr>
          <w:rFonts w:ascii="仿宋_GB2312" w:eastAsia="仿宋_GB2312"/>
          <w:color w:val="auto"/>
          <w:sz w:val="36"/>
          <w:szCs w:val="36"/>
        </w:rPr>
      </w:pPr>
    </w:p>
    <w:p w14:paraId="17EAEAF8">
      <w:pPr>
        <w:pStyle w:val="8"/>
        <w:rPr>
          <w:rFonts w:ascii="仿宋_GB2312" w:eastAsia="仿宋_GB2312"/>
          <w:color w:val="auto"/>
          <w:sz w:val="36"/>
          <w:szCs w:val="36"/>
        </w:rPr>
      </w:pPr>
    </w:p>
    <w:p w14:paraId="0B0DB011">
      <w:pPr>
        <w:pStyle w:val="8"/>
        <w:rPr>
          <w:rFonts w:ascii="仿宋_GB2312" w:eastAsia="仿宋_GB2312"/>
          <w:color w:val="auto"/>
          <w:sz w:val="36"/>
          <w:szCs w:val="36"/>
        </w:rPr>
      </w:pPr>
    </w:p>
    <w:p w14:paraId="504772DE">
      <w:pPr>
        <w:rPr>
          <w:color w:val="auto"/>
        </w:rPr>
      </w:pPr>
    </w:p>
    <w:p w14:paraId="6DBED6F2">
      <w:pPr>
        <w:adjustRightInd w:val="0"/>
        <w:snapToGrid w:val="0"/>
        <w:spacing w:line="288" w:lineRule="auto"/>
        <w:ind w:firstLine="1040"/>
        <w:rPr>
          <w:rFonts w:hint="eastAsia" w:ascii="仿宋_GB2312" w:eastAsia="仿宋_GB2312"/>
          <w:color w:val="auto"/>
          <w:sz w:val="36"/>
          <w:szCs w:val="36"/>
        </w:rPr>
      </w:pPr>
    </w:p>
    <w:p w14:paraId="29A45CC4">
      <w:pPr>
        <w:adjustRightInd w:val="0"/>
        <w:snapToGrid w:val="0"/>
        <w:spacing w:line="288" w:lineRule="auto"/>
        <w:jc w:val="center"/>
        <w:rPr>
          <w:rFonts w:hint="eastAsia" w:ascii="楷体_GB2312" w:eastAsia="楷体_GB2312"/>
          <w:color w:val="auto"/>
          <w:sz w:val="36"/>
          <w:szCs w:val="36"/>
        </w:rPr>
      </w:pPr>
      <w:r>
        <w:rPr>
          <w:rFonts w:hint="eastAsia" w:ascii="楷体_GB2312" w:eastAsia="楷体_GB2312"/>
          <w:color w:val="auto"/>
          <w:sz w:val="36"/>
          <w:szCs w:val="36"/>
        </w:rPr>
        <w:t>中华人民共和国生态环境部制</w:t>
      </w:r>
    </w:p>
    <w:p w14:paraId="74C243A5">
      <w:pPr>
        <w:adjustRightInd w:val="0"/>
        <w:snapToGrid w:val="0"/>
        <w:spacing w:line="288" w:lineRule="auto"/>
        <w:ind w:firstLine="1040"/>
        <w:rPr>
          <w:rFonts w:ascii="仿宋_GB2312" w:eastAsia="仿宋_GB2312"/>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5B2433D3">
      <w:pPr>
        <w:pStyle w:val="20"/>
        <w:jc w:val="center"/>
        <w:outlineLvl w:val="0"/>
        <w:rPr>
          <w:rFonts w:hint="eastAsia" w:ascii="黑体" w:hAnsi="黑体" w:eastAsia="黑体"/>
          <w:snapToGrid w:val="0"/>
          <w:color w:val="auto"/>
          <w:sz w:val="30"/>
          <w:szCs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60CEE478">
      <w:pPr>
        <w:pStyle w:val="20"/>
        <w:jc w:val="center"/>
        <w:outlineLvl w:val="0"/>
        <w:rPr>
          <w:rFonts w:hint="eastAsia"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56"/>
        <w:gridCol w:w="2521"/>
        <w:gridCol w:w="2330"/>
        <w:gridCol w:w="3063"/>
      </w:tblGrid>
      <w:tr w14:paraId="0EE57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520AB3F8">
            <w:pPr>
              <w:adjustRightInd w:val="0"/>
              <w:snapToGrid w:val="0"/>
              <w:jc w:val="center"/>
              <w:rPr>
                <w:rFonts w:ascii="宋体" w:hAnsi="宋体" w:cs="宋体"/>
                <w:color w:val="auto"/>
                <w:szCs w:val="21"/>
              </w:rPr>
            </w:pPr>
            <w:r>
              <w:rPr>
                <w:rFonts w:hint="eastAsia" w:ascii="宋体" w:hAnsi="宋体" w:cs="宋体"/>
                <w:color w:val="auto"/>
                <w:szCs w:val="21"/>
              </w:rPr>
              <w:t>建设项目名称</w:t>
            </w:r>
          </w:p>
        </w:tc>
        <w:tc>
          <w:tcPr>
            <w:tcW w:w="7914" w:type="dxa"/>
            <w:gridSpan w:val="3"/>
            <w:noWrap w:val="0"/>
            <w:vAlign w:val="center"/>
          </w:tcPr>
          <w:p w14:paraId="3658B1CF">
            <w:pPr>
              <w:adjustRightInd w:val="0"/>
              <w:snapToGrid w:val="0"/>
              <w:jc w:val="center"/>
              <w:rPr>
                <w:rFonts w:hint="default" w:eastAsia="宋体" w:cs="宋体"/>
                <w:color w:val="auto"/>
                <w:szCs w:val="21"/>
                <w:lang w:val="en-US" w:eastAsia="zh-CN"/>
              </w:rPr>
            </w:pPr>
            <w:r>
              <w:rPr>
                <w:rFonts w:hint="eastAsia" w:cs="宋体"/>
                <w:color w:val="auto"/>
                <w:szCs w:val="21"/>
                <w:lang w:val="en-US" w:eastAsia="zh-CN"/>
              </w:rPr>
              <w:t>江苏鑫宇建材科技有限公司玻璃加工项目</w:t>
            </w:r>
          </w:p>
        </w:tc>
      </w:tr>
      <w:tr w14:paraId="5811D0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7184AB2E">
            <w:pPr>
              <w:adjustRightInd w:val="0"/>
              <w:snapToGrid w:val="0"/>
              <w:jc w:val="center"/>
              <w:rPr>
                <w:rFonts w:ascii="宋体" w:hAnsi="宋体" w:cs="宋体"/>
                <w:color w:val="auto"/>
                <w:szCs w:val="21"/>
              </w:rPr>
            </w:pPr>
            <w:r>
              <w:rPr>
                <w:rFonts w:hint="eastAsia" w:ascii="宋体" w:hAnsi="宋体" w:cs="宋体"/>
                <w:color w:val="auto"/>
                <w:szCs w:val="21"/>
              </w:rPr>
              <w:t>项目代码</w:t>
            </w:r>
          </w:p>
        </w:tc>
        <w:tc>
          <w:tcPr>
            <w:tcW w:w="7914" w:type="dxa"/>
            <w:gridSpan w:val="3"/>
            <w:noWrap w:val="0"/>
            <w:vAlign w:val="center"/>
          </w:tcPr>
          <w:p w14:paraId="11E83184">
            <w:pPr>
              <w:adjustRightInd w:val="0"/>
              <w:snapToGrid w:val="0"/>
              <w:jc w:val="center"/>
              <w:rPr>
                <w:rFonts w:hint="eastAsia" w:eastAsia="宋体" w:cs="宋体"/>
                <w:color w:val="auto"/>
                <w:szCs w:val="21"/>
                <w:lang w:eastAsia="zh-CN"/>
              </w:rPr>
            </w:pPr>
            <w:r>
              <w:rPr>
                <w:rFonts w:hint="eastAsia" w:cs="宋体"/>
                <w:color w:val="auto"/>
                <w:szCs w:val="21"/>
                <w:lang w:eastAsia="zh-CN"/>
              </w:rPr>
              <w:t>2412-320860-89-01-344150</w:t>
            </w:r>
          </w:p>
        </w:tc>
      </w:tr>
      <w:tr w14:paraId="01CFD8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020235A3">
            <w:pPr>
              <w:adjustRightInd w:val="0"/>
              <w:snapToGrid w:val="0"/>
              <w:jc w:val="center"/>
              <w:rPr>
                <w:rFonts w:hint="eastAsia" w:ascii="宋体" w:hAnsi="宋体" w:cs="宋体"/>
                <w:color w:val="auto"/>
                <w:szCs w:val="21"/>
              </w:rPr>
            </w:pPr>
            <w:r>
              <w:rPr>
                <w:rFonts w:hint="eastAsia" w:ascii="宋体" w:hAnsi="宋体" w:cs="宋体"/>
                <w:color w:val="auto"/>
                <w:szCs w:val="21"/>
              </w:rPr>
              <w:t>建设单位联系人</w:t>
            </w:r>
          </w:p>
        </w:tc>
        <w:tc>
          <w:tcPr>
            <w:tcW w:w="2521" w:type="dxa"/>
            <w:noWrap w:val="0"/>
            <w:vAlign w:val="center"/>
          </w:tcPr>
          <w:p w14:paraId="28B234C6">
            <w:pPr>
              <w:adjustRightInd w:val="0"/>
              <w:snapToGrid w:val="0"/>
              <w:jc w:val="center"/>
              <w:rPr>
                <w:rFonts w:hint="default" w:eastAsia="宋体" w:cs="宋体"/>
                <w:color w:val="auto"/>
                <w:szCs w:val="21"/>
                <w:lang w:val="en-US" w:eastAsia="zh-CN"/>
              </w:rPr>
            </w:pPr>
            <w:r>
              <w:rPr>
                <w:rFonts w:hint="eastAsia" w:cs="宋体"/>
                <w:color w:val="auto"/>
                <w:szCs w:val="21"/>
                <w:lang w:val="en-US" w:eastAsia="zh-CN"/>
              </w:rPr>
              <w:t>陈洪江</w:t>
            </w:r>
          </w:p>
        </w:tc>
        <w:tc>
          <w:tcPr>
            <w:tcW w:w="2330" w:type="dxa"/>
            <w:noWrap w:val="0"/>
            <w:vAlign w:val="center"/>
          </w:tcPr>
          <w:p w14:paraId="62068166">
            <w:pPr>
              <w:adjustRightInd w:val="0"/>
              <w:snapToGrid w:val="0"/>
              <w:jc w:val="center"/>
              <w:rPr>
                <w:rFonts w:cs="宋体"/>
                <w:color w:val="auto"/>
                <w:szCs w:val="21"/>
              </w:rPr>
            </w:pPr>
            <w:r>
              <w:rPr>
                <w:rFonts w:hint="eastAsia" w:cs="宋体"/>
                <w:color w:val="auto"/>
                <w:szCs w:val="21"/>
              </w:rPr>
              <w:t>联系方式</w:t>
            </w:r>
          </w:p>
        </w:tc>
        <w:tc>
          <w:tcPr>
            <w:tcW w:w="3063" w:type="dxa"/>
            <w:noWrap w:val="0"/>
            <w:vAlign w:val="center"/>
          </w:tcPr>
          <w:p w14:paraId="5A69136F">
            <w:pPr>
              <w:adjustRightInd w:val="0"/>
              <w:snapToGrid w:val="0"/>
              <w:jc w:val="center"/>
              <w:rPr>
                <w:rFonts w:hint="default" w:eastAsia="宋体" w:cs="宋体"/>
                <w:color w:val="auto"/>
                <w:szCs w:val="21"/>
                <w:lang w:val="en-US" w:eastAsia="zh-CN"/>
              </w:rPr>
            </w:pPr>
            <w:r>
              <w:rPr>
                <w:rFonts w:hint="eastAsia" w:cs="宋体"/>
                <w:color w:val="auto"/>
                <w:szCs w:val="21"/>
                <w:lang w:val="en-US" w:eastAsia="zh-CN"/>
              </w:rPr>
              <w:t>13770456177 </w:t>
            </w:r>
          </w:p>
        </w:tc>
      </w:tr>
      <w:tr w14:paraId="47C940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746210BB">
            <w:pPr>
              <w:adjustRightInd w:val="0"/>
              <w:snapToGrid w:val="0"/>
              <w:jc w:val="center"/>
              <w:rPr>
                <w:rFonts w:ascii="宋体" w:hAnsi="宋体" w:cs="宋体"/>
                <w:color w:val="auto"/>
                <w:szCs w:val="21"/>
              </w:rPr>
            </w:pPr>
            <w:r>
              <w:rPr>
                <w:rFonts w:hint="eastAsia" w:ascii="宋体" w:hAnsi="宋体" w:cs="宋体"/>
                <w:color w:val="auto"/>
                <w:szCs w:val="21"/>
              </w:rPr>
              <w:t>建设地点</w:t>
            </w:r>
          </w:p>
        </w:tc>
        <w:tc>
          <w:tcPr>
            <w:tcW w:w="7914" w:type="dxa"/>
            <w:gridSpan w:val="3"/>
            <w:noWrap w:val="0"/>
            <w:vAlign w:val="center"/>
          </w:tcPr>
          <w:p w14:paraId="34170531">
            <w:pPr>
              <w:adjustRightInd w:val="0"/>
              <w:snapToGrid w:val="0"/>
              <w:jc w:val="center"/>
              <w:rPr>
                <w:rFonts w:hint="default" w:eastAsia="宋体" w:cs="宋体"/>
                <w:color w:val="auto"/>
                <w:szCs w:val="21"/>
                <w:lang w:val="en-US" w:eastAsia="zh-CN"/>
              </w:rPr>
            </w:pPr>
            <w:r>
              <w:rPr>
                <w:rFonts w:hint="eastAsia" w:cs="宋体"/>
                <w:color w:val="auto"/>
                <w:szCs w:val="21"/>
                <w:u w:val="single"/>
              </w:rPr>
              <w:t>江苏省淮安市涟水县经济开发区</w:t>
            </w:r>
            <w:r>
              <w:rPr>
                <w:rFonts w:hint="eastAsia" w:cs="宋体"/>
                <w:color w:val="auto"/>
                <w:szCs w:val="21"/>
                <w:u w:val="single"/>
                <w:lang w:val="en-US" w:eastAsia="zh-CN"/>
              </w:rPr>
              <w:t>淮浦北路东侧、兴隆路南侧</w:t>
            </w:r>
          </w:p>
        </w:tc>
      </w:tr>
      <w:tr w14:paraId="2996F6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036C8287">
            <w:pPr>
              <w:adjustRightInd w:val="0"/>
              <w:snapToGrid w:val="0"/>
              <w:jc w:val="center"/>
              <w:rPr>
                <w:rFonts w:ascii="宋体" w:hAnsi="宋体" w:cs="宋体"/>
                <w:color w:val="auto"/>
                <w:szCs w:val="21"/>
              </w:rPr>
            </w:pPr>
            <w:r>
              <w:rPr>
                <w:rFonts w:hint="eastAsia" w:ascii="宋体" w:hAnsi="宋体" w:cs="宋体"/>
                <w:color w:val="auto"/>
                <w:szCs w:val="21"/>
              </w:rPr>
              <w:t>地理坐标</w:t>
            </w:r>
          </w:p>
        </w:tc>
        <w:tc>
          <w:tcPr>
            <w:tcW w:w="7914" w:type="dxa"/>
            <w:gridSpan w:val="3"/>
            <w:noWrap w:val="0"/>
            <w:vAlign w:val="center"/>
          </w:tcPr>
          <w:p w14:paraId="472AA3A2">
            <w:pPr>
              <w:jc w:val="center"/>
              <w:rPr>
                <w:rFonts w:hint="eastAsia" w:cs="宋体"/>
                <w:color w:val="auto"/>
                <w:szCs w:val="21"/>
              </w:rPr>
            </w:pPr>
            <w:r>
              <w:rPr>
                <w:rFonts w:hint="eastAsia" w:cs="宋体"/>
                <w:color w:val="auto"/>
                <w:szCs w:val="21"/>
              </w:rPr>
              <w:t>北纬：</w:t>
            </w:r>
            <w:r>
              <w:rPr>
                <w:rFonts w:hint="eastAsia" w:cs="宋体"/>
                <w:color w:val="auto"/>
                <w:szCs w:val="21"/>
                <w:u w:val="single"/>
              </w:rPr>
              <w:t>33</w:t>
            </w:r>
            <w:r>
              <w:rPr>
                <w:rFonts w:hint="eastAsia" w:cs="宋体"/>
                <w:color w:val="auto"/>
                <w:szCs w:val="21"/>
              </w:rPr>
              <w:t>度</w:t>
            </w:r>
            <w:r>
              <w:rPr>
                <w:rFonts w:hint="eastAsia" w:cs="宋体"/>
                <w:color w:val="auto"/>
                <w:szCs w:val="21"/>
                <w:u w:val="single"/>
              </w:rPr>
              <w:t>4</w:t>
            </w:r>
            <w:r>
              <w:rPr>
                <w:rFonts w:hint="eastAsia" w:cs="宋体"/>
                <w:color w:val="auto"/>
                <w:szCs w:val="21"/>
                <w:u w:val="single"/>
                <w:lang w:val="en-US" w:eastAsia="zh-CN"/>
              </w:rPr>
              <w:t>8</w:t>
            </w:r>
            <w:r>
              <w:rPr>
                <w:rFonts w:hint="eastAsia" w:cs="宋体"/>
                <w:color w:val="auto"/>
                <w:szCs w:val="21"/>
              </w:rPr>
              <w:t>分</w:t>
            </w:r>
            <w:r>
              <w:rPr>
                <w:rFonts w:hint="eastAsia" w:cs="宋体"/>
                <w:color w:val="auto"/>
                <w:szCs w:val="21"/>
                <w:u w:val="single"/>
                <w:lang w:val="en-US" w:eastAsia="zh-CN"/>
              </w:rPr>
              <w:t>20.744</w:t>
            </w:r>
            <w:r>
              <w:rPr>
                <w:rFonts w:hint="eastAsia" w:cs="宋体"/>
                <w:color w:val="auto"/>
                <w:szCs w:val="21"/>
              </w:rPr>
              <w:t>秒，东经：</w:t>
            </w:r>
            <w:r>
              <w:rPr>
                <w:rFonts w:hint="eastAsia" w:cs="宋体"/>
                <w:color w:val="auto"/>
                <w:szCs w:val="21"/>
                <w:u w:val="single"/>
              </w:rPr>
              <w:t>119</w:t>
            </w:r>
            <w:r>
              <w:rPr>
                <w:rFonts w:hint="eastAsia" w:cs="宋体"/>
                <w:color w:val="auto"/>
                <w:szCs w:val="21"/>
              </w:rPr>
              <w:t>度</w:t>
            </w:r>
            <w:r>
              <w:rPr>
                <w:rFonts w:hint="eastAsia" w:cs="宋体"/>
                <w:color w:val="auto"/>
                <w:szCs w:val="21"/>
                <w:u w:val="single"/>
              </w:rPr>
              <w:t>1</w:t>
            </w:r>
            <w:r>
              <w:rPr>
                <w:rFonts w:hint="eastAsia" w:cs="宋体"/>
                <w:color w:val="auto"/>
                <w:szCs w:val="21"/>
                <w:u w:val="single"/>
                <w:lang w:val="en-US" w:eastAsia="zh-CN"/>
              </w:rPr>
              <w:t>4</w:t>
            </w:r>
            <w:r>
              <w:rPr>
                <w:rFonts w:hint="eastAsia" w:cs="宋体"/>
                <w:color w:val="auto"/>
                <w:szCs w:val="21"/>
              </w:rPr>
              <w:t>分</w:t>
            </w:r>
            <w:r>
              <w:rPr>
                <w:rFonts w:hint="eastAsia" w:cs="宋体"/>
                <w:color w:val="auto"/>
                <w:szCs w:val="21"/>
                <w:u w:val="single"/>
                <w:lang w:val="en-US" w:eastAsia="zh-CN"/>
              </w:rPr>
              <w:t>19.730</w:t>
            </w:r>
            <w:r>
              <w:rPr>
                <w:rFonts w:hint="eastAsia" w:cs="宋体"/>
                <w:color w:val="auto"/>
                <w:szCs w:val="21"/>
              </w:rPr>
              <w:t>秒</w:t>
            </w:r>
          </w:p>
        </w:tc>
      </w:tr>
      <w:tr w14:paraId="11C17F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956" w:type="dxa"/>
            <w:noWrap w:val="0"/>
            <w:tcMar>
              <w:top w:w="16" w:type="dxa"/>
              <w:left w:w="16" w:type="dxa"/>
              <w:right w:w="16" w:type="dxa"/>
            </w:tcMar>
            <w:vAlign w:val="center"/>
          </w:tcPr>
          <w:p w14:paraId="2824B70B">
            <w:pPr>
              <w:adjustRightInd w:val="0"/>
              <w:snapToGrid w:val="0"/>
              <w:jc w:val="center"/>
              <w:rPr>
                <w:rFonts w:hint="eastAsia" w:ascii="宋体" w:hAnsi="宋体" w:cs="宋体"/>
                <w:color w:val="auto"/>
                <w:szCs w:val="21"/>
              </w:rPr>
            </w:pPr>
            <w:r>
              <w:rPr>
                <w:rFonts w:hint="eastAsia" w:ascii="宋体" w:hAnsi="宋体" w:cs="宋体"/>
                <w:color w:val="auto"/>
                <w:szCs w:val="21"/>
              </w:rPr>
              <w:t>国民经济</w:t>
            </w:r>
          </w:p>
          <w:p w14:paraId="74C13A7C">
            <w:pPr>
              <w:adjustRightInd w:val="0"/>
              <w:snapToGrid w:val="0"/>
              <w:jc w:val="center"/>
              <w:rPr>
                <w:rFonts w:ascii="宋体" w:hAnsi="宋体" w:cs="宋体"/>
                <w:color w:val="auto"/>
                <w:szCs w:val="21"/>
              </w:rPr>
            </w:pPr>
            <w:r>
              <w:rPr>
                <w:rFonts w:hint="eastAsia" w:ascii="宋体" w:hAnsi="宋体" w:cs="宋体"/>
                <w:color w:val="auto"/>
                <w:szCs w:val="21"/>
              </w:rPr>
              <w:t>行业类别</w:t>
            </w:r>
          </w:p>
        </w:tc>
        <w:tc>
          <w:tcPr>
            <w:tcW w:w="2521" w:type="dxa"/>
            <w:noWrap w:val="0"/>
            <w:vAlign w:val="center"/>
          </w:tcPr>
          <w:p w14:paraId="66CAD67B">
            <w:pPr>
              <w:adjustRightInd w:val="0"/>
              <w:snapToGrid w:val="0"/>
              <w:jc w:val="center"/>
              <w:rPr>
                <w:rFonts w:hint="default"/>
                <w:color w:val="auto"/>
                <w:lang w:val="en-US" w:eastAsia="zh-CN"/>
              </w:rPr>
            </w:pPr>
            <w:r>
              <w:rPr>
                <w:rFonts w:hint="eastAsia" w:ascii="Times New Roman" w:hAnsi="Times New Roman" w:eastAsia="宋体" w:cs="Times New Roman"/>
                <w:color w:val="auto"/>
                <w:lang w:val="en-US" w:eastAsia="zh-CN"/>
              </w:rPr>
              <w:t>C3042特种玻璃制造</w:t>
            </w:r>
          </w:p>
        </w:tc>
        <w:tc>
          <w:tcPr>
            <w:tcW w:w="2330" w:type="dxa"/>
            <w:noWrap w:val="0"/>
            <w:vAlign w:val="center"/>
          </w:tcPr>
          <w:p w14:paraId="2C9F13F0">
            <w:pPr>
              <w:adjustRightInd w:val="0"/>
              <w:snapToGrid w:val="0"/>
              <w:jc w:val="center"/>
              <w:rPr>
                <w:rFonts w:cs="宋体"/>
                <w:color w:val="auto"/>
                <w:szCs w:val="21"/>
              </w:rPr>
            </w:pPr>
            <w:r>
              <w:rPr>
                <w:rFonts w:hint="eastAsia" w:cs="宋体"/>
                <w:color w:val="auto"/>
                <w:szCs w:val="21"/>
              </w:rPr>
              <w:t>建设项目</w:t>
            </w:r>
          </w:p>
          <w:p w14:paraId="17CE811F">
            <w:pPr>
              <w:adjustRightInd w:val="0"/>
              <w:snapToGrid w:val="0"/>
              <w:jc w:val="center"/>
              <w:rPr>
                <w:rFonts w:cs="宋体"/>
                <w:color w:val="auto"/>
                <w:szCs w:val="21"/>
              </w:rPr>
            </w:pPr>
            <w:r>
              <w:rPr>
                <w:rFonts w:hint="eastAsia" w:cs="宋体"/>
                <w:color w:val="auto"/>
                <w:szCs w:val="21"/>
              </w:rPr>
              <w:t>行业类别</w:t>
            </w:r>
          </w:p>
        </w:tc>
        <w:tc>
          <w:tcPr>
            <w:tcW w:w="3063" w:type="dxa"/>
            <w:noWrap w:val="0"/>
            <w:vAlign w:val="center"/>
          </w:tcPr>
          <w:p w14:paraId="34A5D0E5">
            <w:pPr>
              <w:adjustRightInd w:val="0"/>
              <w:snapToGrid w:val="0"/>
              <w:jc w:val="center"/>
              <w:rPr>
                <w:rFonts w:hint="default"/>
                <w:color w:val="auto"/>
                <w:lang w:val="en-US" w:eastAsia="zh-CN"/>
              </w:rPr>
            </w:pPr>
            <w:r>
              <w:rPr>
                <w:rFonts w:hint="eastAsia"/>
                <w:color w:val="auto"/>
                <w:lang w:val="en-US" w:eastAsia="zh-CN"/>
              </w:rPr>
              <w:t>二十七、非金属矿物制品业57玻璃制造304中特种玻璃制造</w:t>
            </w:r>
          </w:p>
        </w:tc>
      </w:tr>
      <w:tr w14:paraId="74276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956" w:type="dxa"/>
            <w:noWrap w:val="0"/>
            <w:tcMar>
              <w:top w:w="16" w:type="dxa"/>
              <w:left w:w="16" w:type="dxa"/>
              <w:right w:w="16" w:type="dxa"/>
            </w:tcMar>
            <w:vAlign w:val="center"/>
          </w:tcPr>
          <w:p w14:paraId="76B36950">
            <w:pPr>
              <w:adjustRightInd w:val="0"/>
              <w:snapToGrid w:val="0"/>
              <w:jc w:val="center"/>
              <w:rPr>
                <w:rFonts w:ascii="宋体" w:hAnsi="宋体" w:cs="宋体"/>
                <w:color w:val="auto"/>
                <w:szCs w:val="21"/>
              </w:rPr>
            </w:pPr>
            <w:r>
              <w:rPr>
                <w:rFonts w:hint="eastAsia" w:ascii="宋体" w:hAnsi="宋体" w:cs="宋体"/>
                <w:color w:val="auto"/>
                <w:szCs w:val="21"/>
              </w:rPr>
              <w:t>建设性质</w:t>
            </w:r>
          </w:p>
        </w:tc>
        <w:tc>
          <w:tcPr>
            <w:tcW w:w="2521" w:type="dxa"/>
            <w:noWrap w:val="0"/>
            <w:vAlign w:val="center"/>
          </w:tcPr>
          <w:p w14:paraId="5E388C21">
            <w:pPr>
              <w:jc w:val="left"/>
              <w:rPr>
                <w:rFonts w:cs="宋体"/>
                <w:color w:val="auto"/>
                <w:szCs w:val="21"/>
              </w:rPr>
            </w:pPr>
            <w:r>
              <w:rPr>
                <w:rFonts w:hint="eastAsia" w:cs="宋体"/>
                <w:color w:val="auto"/>
                <w:szCs w:val="21"/>
              </w:rPr>
              <w:t>☑新建（迁建）</w:t>
            </w:r>
          </w:p>
          <w:p w14:paraId="28CBDFE6">
            <w:pPr>
              <w:jc w:val="left"/>
              <w:rPr>
                <w:rFonts w:hint="eastAsia" w:cs="宋体"/>
                <w:color w:val="auto"/>
                <w:szCs w:val="21"/>
              </w:rPr>
            </w:pPr>
            <w:r>
              <w:rPr>
                <w:rFonts w:hint="eastAsia" w:cs="宋体"/>
                <w:color w:val="auto"/>
                <w:szCs w:val="21"/>
              </w:rPr>
              <w:t>□改建</w:t>
            </w:r>
          </w:p>
          <w:p w14:paraId="546AD5BE">
            <w:pPr>
              <w:jc w:val="left"/>
              <w:rPr>
                <w:rFonts w:hint="eastAsia" w:cs="宋体"/>
                <w:color w:val="auto"/>
                <w:szCs w:val="21"/>
              </w:rPr>
            </w:pPr>
            <w:r>
              <w:rPr>
                <w:rFonts w:hint="eastAsia" w:cs="宋体"/>
                <w:color w:val="auto"/>
                <w:szCs w:val="21"/>
              </w:rPr>
              <w:t>□扩建</w:t>
            </w:r>
          </w:p>
          <w:p w14:paraId="1E4D6C23">
            <w:pPr>
              <w:jc w:val="left"/>
              <w:rPr>
                <w:rFonts w:cs="宋体"/>
                <w:color w:val="auto"/>
                <w:szCs w:val="21"/>
              </w:rPr>
            </w:pPr>
            <w:r>
              <w:rPr>
                <w:rFonts w:hint="eastAsia" w:cs="宋体"/>
                <w:color w:val="auto"/>
                <w:szCs w:val="21"/>
                <w:lang w:eastAsia="zh-CN"/>
              </w:rPr>
              <w:t>□</w:t>
            </w:r>
            <w:r>
              <w:rPr>
                <w:rFonts w:hint="eastAsia" w:cs="宋体"/>
                <w:color w:val="auto"/>
                <w:szCs w:val="21"/>
              </w:rPr>
              <w:t>技术改造</w:t>
            </w:r>
          </w:p>
        </w:tc>
        <w:tc>
          <w:tcPr>
            <w:tcW w:w="2330" w:type="dxa"/>
            <w:noWrap w:val="0"/>
            <w:vAlign w:val="center"/>
          </w:tcPr>
          <w:p w14:paraId="767D029C">
            <w:pPr>
              <w:adjustRightInd w:val="0"/>
              <w:snapToGrid w:val="0"/>
              <w:jc w:val="center"/>
              <w:rPr>
                <w:rFonts w:hint="eastAsia" w:cs="宋体"/>
                <w:color w:val="auto"/>
                <w:szCs w:val="21"/>
              </w:rPr>
            </w:pPr>
            <w:r>
              <w:rPr>
                <w:rFonts w:hint="eastAsia" w:cs="宋体"/>
                <w:color w:val="auto"/>
                <w:szCs w:val="21"/>
              </w:rPr>
              <w:t>建设项目</w:t>
            </w:r>
          </w:p>
          <w:p w14:paraId="64F2BA71">
            <w:pPr>
              <w:adjustRightInd w:val="0"/>
              <w:snapToGrid w:val="0"/>
              <w:jc w:val="center"/>
              <w:rPr>
                <w:rFonts w:cs="宋体"/>
                <w:color w:val="auto"/>
                <w:szCs w:val="21"/>
              </w:rPr>
            </w:pPr>
            <w:r>
              <w:rPr>
                <w:rFonts w:hint="eastAsia" w:cs="宋体"/>
                <w:color w:val="auto"/>
                <w:szCs w:val="21"/>
              </w:rPr>
              <w:t>申报情形</w:t>
            </w:r>
          </w:p>
        </w:tc>
        <w:tc>
          <w:tcPr>
            <w:tcW w:w="3063" w:type="dxa"/>
            <w:noWrap w:val="0"/>
            <w:vAlign w:val="center"/>
          </w:tcPr>
          <w:p w14:paraId="6711A4B6">
            <w:pPr>
              <w:jc w:val="left"/>
              <w:rPr>
                <w:rFonts w:hint="eastAsia" w:cs="宋体"/>
                <w:color w:val="auto"/>
                <w:szCs w:val="21"/>
              </w:rPr>
            </w:pPr>
            <w:r>
              <w:rPr>
                <w:rFonts w:hint="eastAsia" w:cs="宋体"/>
                <w:color w:val="auto"/>
                <w:szCs w:val="21"/>
              </w:rPr>
              <w:t>☑首次申报项目</w:t>
            </w:r>
          </w:p>
          <w:p w14:paraId="411D9EAA">
            <w:pPr>
              <w:jc w:val="left"/>
              <w:rPr>
                <w:rFonts w:cs="宋体"/>
                <w:color w:val="auto"/>
                <w:szCs w:val="21"/>
              </w:rPr>
            </w:pPr>
            <w:r>
              <w:rPr>
                <w:rFonts w:hint="eastAsia" w:cs="宋体"/>
                <w:color w:val="auto"/>
                <w:szCs w:val="21"/>
              </w:rPr>
              <w:t>□不予批准后再次申报项目</w:t>
            </w:r>
          </w:p>
          <w:p w14:paraId="0EC676F9">
            <w:pPr>
              <w:jc w:val="left"/>
              <w:rPr>
                <w:rFonts w:hint="eastAsia" w:cs="宋体"/>
                <w:color w:val="auto"/>
                <w:szCs w:val="21"/>
              </w:rPr>
            </w:pPr>
            <w:r>
              <w:rPr>
                <w:rFonts w:hint="eastAsia" w:cs="宋体"/>
                <w:color w:val="auto"/>
                <w:szCs w:val="21"/>
              </w:rPr>
              <w:t>□超五年重新审核项目</w:t>
            </w:r>
          </w:p>
          <w:p w14:paraId="593859CC">
            <w:pPr>
              <w:jc w:val="left"/>
              <w:rPr>
                <w:rFonts w:cs="宋体"/>
                <w:color w:val="auto"/>
                <w:szCs w:val="21"/>
              </w:rPr>
            </w:pPr>
            <w:r>
              <w:rPr>
                <w:rFonts w:hint="eastAsia" w:cs="宋体"/>
                <w:color w:val="auto"/>
                <w:szCs w:val="21"/>
              </w:rPr>
              <w:t>□重大变动重新报批项目</w:t>
            </w:r>
          </w:p>
        </w:tc>
      </w:tr>
      <w:tr w14:paraId="7EAFD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56" w:type="dxa"/>
            <w:noWrap w:val="0"/>
            <w:tcMar>
              <w:top w:w="16" w:type="dxa"/>
              <w:left w:w="16" w:type="dxa"/>
              <w:right w:w="16" w:type="dxa"/>
            </w:tcMar>
            <w:vAlign w:val="center"/>
          </w:tcPr>
          <w:p w14:paraId="4AFE2702">
            <w:pPr>
              <w:adjustRightInd w:val="0"/>
              <w:snapToGrid w:val="0"/>
              <w:jc w:val="center"/>
              <w:rPr>
                <w:rFonts w:hint="eastAsia" w:ascii="宋体" w:hAnsi="宋体" w:cs="宋体"/>
                <w:color w:val="auto"/>
                <w:szCs w:val="21"/>
              </w:rPr>
            </w:pPr>
            <w:r>
              <w:rPr>
                <w:rFonts w:hint="eastAsia" w:ascii="宋体" w:hAnsi="宋体" w:cs="宋体"/>
                <w:color w:val="auto"/>
                <w:szCs w:val="21"/>
              </w:rPr>
              <w:t>项目审批（核准</w:t>
            </w:r>
            <w:r>
              <w:rPr>
                <w:rFonts w:ascii="宋体" w:hAnsi="宋体" w:cs="宋体"/>
                <w:color w:val="auto"/>
                <w:szCs w:val="21"/>
              </w:rPr>
              <w:t>/</w:t>
            </w:r>
          </w:p>
          <w:p w14:paraId="782F7E18">
            <w:pPr>
              <w:adjustRightInd w:val="0"/>
              <w:snapToGrid w:val="0"/>
              <w:jc w:val="center"/>
              <w:rPr>
                <w:rFonts w:ascii="宋体" w:hAnsi="宋体" w:cs="宋体"/>
                <w:color w:val="auto"/>
                <w:szCs w:val="21"/>
              </w:rPr>
            </w:pPr>
            <w:r>
              <w:rPr>
                <w:rFonts w:hint="eastAsia" w:ascii="宋体" w:hAnsi="宋体" w:cs="宋体"/>
                <w:color w:val="auto"/>
                <w:szCs w:val="21"/>
              </w:rPr>
              <w:t>备案）部门（选填）</w:t>
            </w:r>
          </w:p>
        </w:tc>
        <w:tc>
          <w:tcPr>
            <w:tcW w:w="2521" w:type="dxa"/>
            <w:noWrap w:val="0"/>
            <w:vAlign w:val="center"/>
          </w:tcPr>
          <w:p w14:paraId="7FDEBC0B">
            <w:pPr>
              <w:adjustRightInd w:val="0"/>
              <w:snapToGrid w:val="0"/>
              <w:jc w:val="center"/>
              <w:rPr>
                <w:rFonts w:hint="default" w:eastAsia="宋体" w:cs="宋体"/>
                <w:color w:val="auto"/>
                <w:szCs w:val="21"/>
                <w:lang w:val="en-US" w:eastAsia="zh-CN"/>
              </w:rPr>
            </w:pPr>
            <w:r>
              <w:rPr>
                <w:rFonts w:hint="eastAsia" w:cs="宋体"/>
                <w:color w:val="auto"/>
                <w:szCs w:val="21"/>
                <w:lang w:val="en-US" w:eastAsia="zh-CN"/>
              </w:rPr>
              <w:t>江苏涟水经济开发区管理委员会</w:t>
            </w:r>
          </w:p>
        </w:tc>
        <w:tc>
          <w:tcPr>
            <w:tcW w:w="2330" w:type="dxa"/>
            <w:noWrap w:val="0"/>
            <w:vAlign w:val="center"/>
          </w:tcPr>
          <w:p w14:paraId="4D39BB3B">
            <w:pPr>
              <w:adjustRightInd w:val="0"/>
              <w:snapToGrid w:val="0"/>
              <w:jc w:val="center"/>
              <w:rPr>
                <w:rFonts w:hint="eastAsia" w:cs="宋体"/>
                <w:color w:val="auto"/>
                <w:szCs w:val="21"/>
              </w:rPr>
            </w:pPr>
            <w:r>
              <w:rPr>
                <w:rFonts w:hint="eastAsia" w:cs="宋体"/>
                <w:color w:val="auto"/>
                <w:szCs w:val="21"/>
              </w:rPr>
              <w:t>项目审批（核准</w:t>
            </w:r>
            <w:r>
              <w:rPr>
                <w:rFonts w:cs="宋体"/>
                <w:color w:val="auto"/>
                <w:szCs w:val="21"/>
              </w:rPr>
              <w:t>/</w:t>
            </w:r>
          </w:p>
          <w:p w14:paraId="4CE9BB22">
            <w:pPr>
              <w:adjustRightInd w:val="0"/>
              <w:snapToGrid w:val="0"/>
              <w:jc w:val="center"/>
              <w:rPr>
                <w:rFonts w:hint="eastAsia" w:cs="宋体"/>
                <w:color w:val="auto"/>
                <w:szCs w:val="21"/>
              </w:rPr>
            </w:pPr>
            <w:r>
              <w:rPr>
                <w:rFonts w:hint="eastAsia" w:cs="宋体"/>
                <w:color w:val="auto"/>
                <w:szCs w:val="21"/>
              </w:rPr>
              <w:t>备案）文号（选填）</w:t>
            </w:r>
          </w:p>
        </w:tc>
        <w:tc>
          <w:tcPr>
            <w:tcW w:w="3063" w:type="dxa"/>
            <w:noWrap w:val="0"/>
            <w:vAlign w:val="center"/>
          </w:tcPr>
          <w:p w14:paraId="70A3DDE3">
            <w:pPr>
              <w:adjustRightInd w:val="0"/>
              <w:snapToGrid w:val="0"/>
              <w:jc w:val="center"/>
              <w:rPr>
                <w:rFonts w:hint="eastAsia" w:eastAsia="宋体" w:cs="宋体"/>
                <w:color w:val="auto"/>
                <w:szCs w:val="21"/>
                <w:lang w:eastAsia="zh-CN"/>
              </w:rPr>
            </w:pPr>
            <w:r>
              <w:rPr>
                <w:rFonts w:hint="eastAsia" w:cs="宋体"/>
                <w:color w:val="auto"/>
                <w:szCs w:val="21"/>
                <w:lang w:eastAsia="zh-CN"/>
              </w:rPr>
              <w:t>涟区开发备〔2024〕</w:t>
            </w:r>
            <w:r>
              <w:rPr>
                <w:rFonts w:hint="eastAsia" w:cs="宋体"/>
                <w:color w:val="auto"/>
                <w:szCs w:val="21"/>
                <w:lang w:val="en-US" w:eastAsia="zh-CN"/>
              </w:rPr>
              <w:t>111</w:t>
            </w:r>
            <w:r>
              <w:rPr>
                <w:rFonts w:hint="eastAsia" w:cs="宋体"/>
                <w:color w:val="auto"/>
                <w:szCs w:val="21"/>
                <w:lang w:eastAsia="zh-CN"/>
              </w:rPr>
              <w:t>号</w:t>
            </w:r>
          </w:p>
        </w:tc>
      </w:tr>
      <w:tr w14:paraId="5C6F4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4C0BFCB1">
            <w:pPr>
              <w:adjustRightInd w:val="0"/>
              <w:snapToGrid w:val="0"/>
              <w:jc w:val="center"/>
              <w:rPr>
                <w:rFonts w:ascii="宋体" w:hAnsi="宋体" w:cs="宋体"/>
                <w:color w:val="auto"/>
                <w:szCs w:val="21"/>
              </w:rPr>
            </w:pPr>
            <w:r>
              <w:rPr>
                <w:rFonts w:hint="eastAsia" w:ascii="宋体" w:hAnsi="宋体" w:cs="宋体"/>
                <w:color w:val="auto"/>
                <w:szCs w:val="21"/>
              </w:rPr>
              <w:t>总投资（万元）</w:t>
            </w:r>
          </w:p>
        </w:tc>
        <w:tc>
          <w:tcPr>
            <w:tcW w:w="2521" w:type="dxa"/>
            <w:noWrap w:val="0"/>
            <w:vAlign w:val="center"/>
          </w:tcPr>
          <w:p w14:paraId="5FAC1B25">
            <w:pPr>
              <w:adjustRightInd w:val="0"/>
              <w:snapToGrid w:val="0"/>
              <w:jc w:val="center"/>
              <w:rPr>
                <w:rFonts w:hint="default" w:eastAsia="宋体" w:cs="宋体"/>
                <w:color w:val="auto"/>
                <w:szCs w:val="21"/>
                <w:lang w:val="en-US" w:eastAsia="zh-CN"/>
              </w:rPr>
            </w:pPr>
            <w:r>
              <w:rPr>
                <w:rFonts w:hint="eastAsia" w:cs="宋体"/>
                <w:color w:val="auto"/>
                <w:szCs w:val="21"/>
                <w:lang w:val="en-US" w:eastAsia="zh-CN"/>
              </w:rPr>
              <w:t>2000</w:t>
            </w:r>
          </w:p>
        </w:tc>
        <w:tc>
          <w:tcPr>
            <w:tcW w:w="2330" w:type="dxa"/>
            <w:noWrap w:val="0"/>
            <w:tcMar>
              <w:top w:w="16" w:type="dxa"/>
              <w:left w:w="16" w:type="dxa"/>
              <w:right w:w="16" w:type="dxa"/>
            </w:tcMar>
            <w:vAlign w:val="center"/>
          </w:tcPr>
          <w:p w14:paraId="30B837FC">
            <w:pPr>
              <w:adjustRightInd w:val="0"/>
              <w:snapToGrid w:val="0"/>
              <w:jc w:val="center"/>
              <w:rPr>
                <w:rFonts w:cs="宋体"/>
                <w:color w:val="auto"/>
                <w:szCs w:val="21"/>
              </w:rPr>
            </w:pPr>
            <w:r>
              <w:rPr>
                <w:rFonts w:hint="eastAsia" w:cs="宋体"/>
                <w:color w:val="auto"/>
                <w:szCs w:val="21"/>
              </w:rPr>
              <w:t>环保投资（万元）</w:t>
            </w:r>
          </w:p>
        </w:tc>
        <w:tc>
          <w:tcPr>
            <w:tcW w:w="3063" w:type="dxa"/>
            <w:noWrap w:val="0"/>
            <w:vAlign w:val="center"/>
          </w:tcPr>
          <w:p w14:paraId="2F57696B">
            <w:pPr>
              <w:adjustRightInd w:val="0"/>
              <w:snapToGrid w:val="0"/>
              <w:jc w:val="center"/>
              <w:rPr>
                <w:rFonts w:hint="default" w:eastAsia="宋体" w:cs="宋体"/>
                <w:color w:val="auto"/>
                <w:szCs w:val="21"/>
                <w:lang w:val="en-US" w:eastAsia="zh-CN"/>
              </w:rPr>
            </w:pPr>
            <w:r>
              <w:rPr>
                <w:rFonts w:hint="eastAsia" w:cs="宋体"/>
                <w:color w:val="auto"/>
                <w:szCs w:val="21"/>
                <w:lang w:val="en-US" w:eastAsia="zh-CN"/>
              </w:rPr>
              <w:t>31</w:t>
            </w:r>
          </w:p>
        </w:tc>
      </w:tr>
      <w:tr w14:paraId="1F52B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4BAB3285">
            <w:pPr>
              <w:adjustRightInd w:val="0"/>
              <w:snapToGrid w:val="0"/>
              <w:jc w:val="center"/>
              <w:rPr>
                <w:rFonts w:ascii="宋体" w:hAnsi="宋体" w:cs="宋体"/>
                <w:color w:val="auto"/>
                <w:szCs w:val="21"/>
              </w:rPr>
            </w:pPr>
            <w:r>
              <w:rPr>
                <w:rFonts w:hint="eastAsia" w:ascii="宋体" w:hAnsi="宋体" w:cs="宋体"/>
                <w:color w:val="auto"/>
                <w:szCs w:val="21"/>
              </w:rPr>
              <w:t>环保投资占比（</w:t>
            </w:r>
            <w:r>
              <w:rPr>
                <w:rFonts w:ascii="宋体" w:hAnsi="宋体" w:cs="宋体"/>
                <w:color w:val="auto"/>
                <w:szCs w:val="21"/>
              </w:rPr>
              <w:t>%</w:t>
            </w:r>
            <w:r>
              <w:rPr>
                <w:rFonts w:hint="eastAsia" w:ascii="宋体" w:hAnsi="宋体" w:cs="宋体"/>
                <w:color w:val="auto"/>
                <w:szCs w:val="21"/>
              </w:rPr>
              <w:t>）</w:t>
            </w:r>
          </w:p>
        </w:tc>
        <w:tc>
          <w:tcPr>
            <w:tcW w:w="2521" w:type="dxa"/>
            <w:noWrap w:val="0"/>
            <w:vAlign w:val="center"/>
          </w:tcPr>
          <w:p w14:paraId="4E501017">
            <w:pPr>
              <w:adjustRightInd w:val="0"/>
              <w:snapToGrid w:val="0"/>
              <w:jc w:val="center"/>
              <w:rPr>
                <w:rFonts w:hint="default" w:eastAsia="宋体" w:cs="宋体"/>
                <w:color w:val="auto"/>
                <w:szCs w:val="21"/>
                <w:lang w:val="en-US" w:eastAsia="zh-CN"/>
              </w:rPr>
            </w:pPr>
            <w:r>
              <w:rPr>
                <w:rFonts w:hint="eastAsia" w:cs="宋体"/>
                <w:color w:val="auto"/>
                <w:szCs w:val="21"/>
                <w:lang w:val="en-US" w:eastAsia="zh-CN"/>
              </w:rPr>
              <w:t>1.55</w:t>
            </w:r>
          </w:p>
        </w:tc>
        <w:tc>
          <w:tcPr>
            <w:tcW w:w="2330" w:type="dxa"/>
            <w:noWrap w:val="0"/>
            <w:tcMar>
              <w:top w:w="16" w:type="dxa"/>
              <w:left w:w="16" w:type="dxa"/>
              <w:right w:w="16" w:type="dxa"/>
            </w:tcMar>
            <w:vAlign w:val="center"/>
          </w:tcPr>
          <w:p w14:paraId="7D977EC4">
            <w:pPr>
              <w:adjustRightInd w:val="0"/>
              <w:snapToGrid w:val="0"/>
              <w:jc w:val="center"/>
              <w:rPr>
                <w:rFonts w:cs="宋体"/>
                <w:color w:val="auto"/>
                <w:szCs w:val="21"/>
              </w:rPr>
            </w:pPr>
            <w:r>
              <w:rPr>
                <w:rFonts w:hint="eastAsia" w:cs="宋体"/>
                <w:color w:val="auto"/>
                <w:szCs w:val="21"/>
              </w:rPr>
              <w:t>施工工期</w:t>
            </w:r>
          </w:p>
        </w:tc>
        <w:tc>
          <w:tcPr>
            <w:tcW w:w="3063" w:type="dxa"/>
            <w:noWrap w:val="0"/>
            <w:vAlign w:val="center"/>
          </w:tcPr>
          <w:p w14:paraId="1E0B4665">
            <w:pPr>
              <w:adjustRightInd w:val="0"/>
              <w:snapToGrid w:val="0"/>
              <w:jc w:val="center"/>
              <w:rPr>
                <w:rFonts w:hint="eastAsia" w:eastAsia="宋体" w:cs="宋体"/>
                <w:color w:val="auto"/>
                <w:szCs w:val="21"/>
                <w:lang w:val="en-US" w:eastAsia="zh-CN"/>
              </w:rPr>
            </w:pPr>
            <w:r>
              <w:rPr>
                <w:rFonts w:hint="eastAsia" w:cs="宋体"/>
                <w:color w:val="auto"/>
                <w:szCs w:val="21"/>
                <w:lang w:val="en-US" w:eastAsia="zh-CN"/>
              </w:rPr>
              <w:t>/</w:t>
            </w:r>
          </w:p>
        </w:tc>
      </w:tr>
      <w:tr w14:paraId="4E56A4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56" w:type="dxa"/>
            <w:noWrap w:val="0"/>
            <w:tcMar>
              <w:top w:w="16" w:type="dxa"/>
              <w:left w:w="16" w:type="dxa"/>
              <w:right w:w="16" w:type="dxa"/>
            </w:tcMar>
            <w:vAlign w:val="center"/>
          </w:tcPr>
          <w:p w14:paraId="3B13C46F">
            <w:pPr>
              <w:adjustRightInd w:val="0"/>
              <w:snapToGrid w:val="0"/>
              <w:jc w:val="center"/>
              <w:rPr>
                <w:rFonts w:hint="eastAsia" w:ascii="宋体" w:hAnsi="宋体" w:cs="宋体"/>
                <w:color w:val="auto"/>
                <w:szCs w:val="21"/>
              </w:rPr>
            </w:pPr>
            <w:r>
              <w:rPr>
                <w:rFonts w:hint="eastAsia" w:ascii="宋体" w:hAnsi="宋体" w:cs="宋体"/>
                <w:color w:val="auto"/>
                <w:szCs w:val="21"/>
              </w:rPr>
              <w:t>是否开工建设</w:t>
            </w:r>
          </w:p>
        </w:tc>
        <w:tc>
          <w:tcPr>
            <w:tcW w:w="2521" w:type="dxa"/>
            <w:noWrap w:val="0"/>
            <w:vAlign w:val="center"/>
          </w:tcPr>
          <w:p w14:paraId="09619786">
            <w:pPr>
              <w:adjustRightInd w:val="0"/>
              <w:snapToGrid w:val="0"/>
              <w:rPr>
                <w:rFonts w:cs="宋体"/>
                <w:color w:val="auto"/>
                <w:szCs w:val="21"/>
              </w:rPr>
            </w:pPr>
            <w:r>
              <w:rPr>
                <w:rFonts w:hint="eastAsia" w:cs="宋体"/>
                <w:color w:val="auto"/>
                <w:szCs w:val="21"/>
              </w:rPr>
              <w:sym w:font="Wingdings 2" w:char="0052"/>
            </w:r>
            <w:r>
              <w:rPr>
                <w:rFonts w:hint="eastAsia" w:cs="宋体"/>
                <w:color w:val="auto"/>
                <w:szCs w:val="21"/>
              </w:rPr>
              <w:t>否</w:t>
            </w:r>
          </w:p>
          <w:p w14:paraId="0CD34D9D">
            <w:pPr>
              <w:adjustRightInd w:val="0"/>
              <w:snapToGrid w:val="0"/>
              <w:rPr>
                <w:rFonts w:hint="default" w:eastAsia="宋体" w:cs="宋体"/>
                <w:color w:val="auto"/>
                <w:szCs w:val="21"/>
                <w:lang w:val="en-US" w:eastAsia="zh-CN"/>
              </w:rPr>
            </w:pPr>
            <w:r>
              <w:rPr>
                <w:rFonts w:hint="eastAsia" w:cs="宋体"/>
                <w:color w:val="auto"/>
                <w:szCs w:val="21"/>
                <w:lang w:eastAsia="zh-CN"/>
              </w:rPr>
              <w:sym w:font="Wingdings 2" w:char="00A3"/>
            </w:r>
            <w:r>
              <w:rPr>
                <w:rFonts w:hint="eastAsia" w:cs="宋体"/>
                <w:color w:val="auto"/>
                <w:szCs w:val="21"/>
              </w:rPr>
              <w:t>是：</w:t>
            </w:r>
          </w:p>
        </w:tc>
        <w:tc>
          <w:tcPr>
            <w:tcW w:w="2330" w:type="dxa"/>
            <w:noWrap w:val="0"/>
            <w:tcMar>
              <w:top w:w="16" w:type="dxa"/>
              <w:left w:w="16" w:type="dxa"/>
              <w:right w:w="16" w:type="dxa"/>
            </w:tcMar>
            <w:vAlign w:val="center"/>
          </w:tcPr>
          <w:p w14:paraId="6871B8BB">
            <w:pPr>
              <w:adjustRightInd w:val="0"/>
              <w:snapToGrid w:val="0"/>
              <w:jc w:val="center"/>
              <w:rPr>
                <w:rFonts w:hint="eastAsia" w:cs="宋体"/>
                <w:color w:val="auto"/>
                <w:szCs w:val="21"/>
              </w:rPr>
            </w:pPr>
            <w:r>
              <w:rPr>
                <w:rFonts w:hint="eastAsia" w:cs="宋体"/>
                <w:color w:val="auto"/>
                <w:szCs w:val="21"/>
              </w:rPr>
              <w:t>用地（用海）</w:t>
            </w:r>
          </w:p>
          <w:p w14:paraId="550A816D">
            <w:pPr>
              <w:adjustRightInd w:val="0"/>
              <w:snapToGrid w:val="0"/>
              <w:jc w:val="center"/>
              <w:rPr>
                <w:rFonts w:hint="eastAsia" w:cs="宋体"/>
                <w:color w:val="auto"/>
                <w:szCs w:val="21"/>
              </w:rPr>
            </w:pPr>
            <w:r>
              <w:rPr>
                <w:rFonts w:hint="eastAsia" w:cs="宋体"/>
                <w:color w:val="auto"/>
                <w:szCs w:val="21"/>
              </w:rPr>
              <w:t>面积（m</w:t>
            </w:r>
            <w:r>
              <w:rPr>
                <w:rFonts w:hint="eastAsia" w:cs="宋体"/>
                <w:color w:val="auto"/>
                <w:szCs w:val="21"/>
                <w:vertAlign w:val="superscript"/>
              </w:rPr>
              <w:t>2</w:t>
            </w:r>
            <w:r>
              <w:rPr>
                <w:rFonts w:hint="eastAsia" w:cs="宋体"/>
                <w:color w:val="auto"/>
                <w:szCs w:val="21"/>
              </w:rPr>
              <w:t>）</w:t>
            </w:r>
          </w:p>
        </w:tc>
        <w:tc>
          <w:tcPr>
            <w:tcW w:w="3063" w:type="dxa"/>
            <w:noWrap w:val="0"/>
            <w:vAlign w:val="center"/>
          </w:tcPr>
          <w:p w14:paraId="49C1462C">
            <w:pPr>
              <w:adjustRightInd w:val="0"/>
              <w:snapToGrid w:val="0"/>
              <w:jc w:val="center"/>
              <w:rPr>
                <w:rFonts w:hint="default" w:cs="宋体"/>
                <w:color w:val="auto"/>
                <w:szCs w:val="21"/>
                <w:lang w:val="en-US"/>
              </w:rPr>
            </w:pPr>
            <w:r>
              <w:rPr>
                <w:rFonts w:hint="eastAsia" w:cs="宋体"/>
                <w:color w:val="auto"/>
                <w:szCs w:val="21"/>
                <w:lang w:val="en-US" w:eastAsia="zh-CN"/>
              </w:rPr>
              <w:t>7000</w:t>
            </w:r>
          </w:p>
        </w:tc>
      </w:tr>
      <w:tr w14:paraId="70BB97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56" w:type="dxa"/>
            <w:noWrap w:val="0"/>
            <w:vAlign w:val="center"/>
          </w:tcPr>
          <w:p w14:paraId="77689BA6">
            <w:pPr>
              <w:autoSpaceDE w:val="0"/>
              <w:autoSpaceDN w:val="0"/>
              <w:adjustRightInd w:val="0"/>
              <w:snapToGrid w:val="0"/>
              <w:jc w:val="center"/>
              <w:rPr>
                <w:rFonts w:ascii="宋体" w:hAnsi="宋体" w:cs="宋体"/>
                <w:color w:val="auto"/>
                <w:kern w:val="0"/>
                <w:szCs w:val="21"/>
              </w:rPr>
            </w:pPr>
            <w:r>
              <w:rPr>
                <w:rFonts w:hint="eastAsia" w:ascii="宋体" w:hAnsi="宋体" w:cs="宋体"/>
                <w:color w:val="auto"/>
                <w:kern w:val="0"/>
                <w:szCs w:val="21"/>
              </w:rPr>
              <w:t>专项评价设置情况</w:t>
            </w:r>
          </w:p>
        </w:tc>
        <w:tc>
          <w:tcPr>
            <w:tcW w:w="7914" w:type="dxa"/>
            <w:gridSpan w:val="3"/>
            <w:noWrap w:val="0"/>
            <w:vAlign w:val="center"/>
          </w:tcPr>
          <w:p w14:paraId="36321A82">
            <w:pPr>
              <w:autoSpaceDE w:val="0"/>
              <w:autoSpaceDN w:val="0"/>
              <w:adjustRightInd w:val="0"/>
              <w:snapToGrid w:val="0"/>
              <w:jc w:val="center"/>
              <w:rPr>
                <w:rFonts w:hint="eastAsia" w:cs="宋体"/>
                <w:color w:val="auto"/>
                <w:kern w:val="0"/>
                <w:szCs w:val="21"/>
              </w:rPr>
            </w:pPr>
            <w:r>
              <w:rPr>
                <w:rFonts w:hint="eastAsia" w:cs="宋体"/>
                <w:color w:val="auto"/>
                <w:kern w:val="0"/>
                <w:szCs w:val="21"/>
              </w:rPr>
              <w:t>无</w:t>
            </w:r>
          </w:p>
        </w:tc>
      </w:tr>
      <w:tr w14:paraId="70B4D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56" w:type="dxa"/>
            <w:noWrap w:val="0"/>
            <w:vAlign w:val="center"/>
          </w:tcPr>
          <w:p w14:paraId="232DA2D9">
            <w:pPr>
              <w:autoSpaceDE w:val="0"/>
              <w:autoSpaceDN w:val="0"/>
              <w:adjustRightInd w:val="0"/>
              <w:snapToGrid w:val="0"/>
              <w:jc w:val="center"/>
              <w:rPr>
                <w:rFonts w:hint="eastAsia" w:ascii="宋体" w:hAnsi="宋体" w:cs="宋体"/>
                <w:color w:val="auto"/>
                <w:kern w:val="0"/>
                <w:szCs w:val="21"/>
              </w:rPr>
            </w:pPr>
            <w:r>
              <w:rPr>
                <w:rFonts w:hint="eastAsia" w:ascii="宋体" w:hAnsi="宋体" w:cs="宋体"/>
                <w:color w:val="auto"/>
                <w:szCs w:val="21"/>
              </w:rPr>
              <w:t>规划情况</w:t>
            </w:r>
          </w:p>
        </w:tc>
        <w:tc>
          <w:tcPr>
            <w:tcW w:w="7914" w:type="dxa"/>
            <w:gridSpan w:val="3"/>
            <w:noWrap w:val="0"/>
            <w:vAlign w:val="center"/>
          </w:tcPr>
          <w:p w14:paraId="7FDE2399">
            <w:pPr>
              <w:keepNext w:val="0"/>
              <w:keepLines w:val="0"/>
              <w:pageBreakBefore w:val="0"/>
              <w:kinsoku/>
              <w:wordWrap/>
              <w:overflowPunct/>
              <w:topLinePunct w:val="0"/>
              <w:autoSpaceDE w:val="0"/>
              <w:autoSpaceDN w:val="0"/>
              <w:bidi w:val="0"/>
              <w:adjustRightInd w:val="0"/>
              <w:snapToGrid w:val="0"/>
              <w:spacing w:line="360" w:lineRule="auto"/>
              <w:ind w:right="0"/>
              <w:textAlignment w:val="auto"/>
              <w:rPr>
                <w:rFonts w:hint="eastAsia"/>
                <w:b w:val="0"/>
                <w:bCs/>
                <w:color w:val="auto"/>
                <w:szCs w:val="21"/>
              </w:rPr>
            </w:pPr>
            <w:r>
              <w:rPr>
                <w:b w:val="0"/>
                <w:bCs/>
                <w:color w:val="auto"/>
                <w:szCs w:val="21"/>
              </w:rPr>
              <w:t>规划文件1：《涟水县经济开发区控制性详细规划》</w:t>
            </w:r>
          </w:p>
          <w:p w14:paraId="250E1D0E">
            <w:pPr>
              <w:pStyle w:val="12"/>
              <w:keepNext w:val="0"/>
              <w:keepLines w:val="0"/>
              <w:pageBreakBefore w:val="0"/>
              <w:kinsoku/>
              <w:wordWrap/>
              <w:overflowPunct/>
              <w:topLinePunct w:val="0"/>
              <w:bidi w:val="0"/>
              <w:adjustRightInd w:val="0"/>
              <w:snapToGrid w:val="0"/>
              <w:spacing w:before="0" w:after="0" w:line="360" w:lineRule="auto"/>
              <w:ind w:right="0"/>
              <w:textAlignment w:val="auto"/>
              <w:rPr>
                <w:rFonts w:hint="eastAsia"/>
                <w:b w:val="0"/>
                <w:bCs/>
                <w:color w:val="auto"/>
                <w:kern w:val="2"/>
                <w:sz w:val="21"/>
                <w:szCs w:val="21"/>
                <w:lang w:val="en-US" w:eastAsia="zh-CN"/>
              </w:rPr>
            </w:pPr>
            <w:r>
              <w:rPr>
                <w:b w:val="0"/>
                <w:bCs/>
                <w:color w:val="auto"/>
                <w:kern w:val="2"/>
                <w:sz w:val="21"/>
                <w:szCs w:val="21"/>
                <w:lang w:val="en-US" w:eastAsia="zh-CN"/>
              </w:rPr>
              <w:t>批准机关及文号</w:t>
            </w:r>
            <w:r>
              <w:rPr>
                <w:rFonts w:hint="eastAsia"/>
                <w:b w:val="0"/>
                <w:bCs/>
                <w:color w:val="auto"/>
                <w:kern w:val="2"/>
                <w:sz w:val="21"/>
                <w:szCs w:val="21"/>
                <w:lang w:val="en-US" w:eastAsia="zh-CN"/>
              </w:rPr>
              <w:t>：</w:t>
            </w:r>
            <w:r>
              <w:rPr>
                <w:b w:val="0"/>
                <w:bCs/>
                <w:color w:val="auto"/>
                <w:kern w:val="2"/>
                <w:sz w:val="21"/>
                <w:szCs w:val="21"/>
                <w:lang w:val="en-US" w:eastAsia="zh-CN"/>
              </w:rPr>
              <w:t>涟水县人民政府、涟政复</w:t>
            </w:r>
            <w:r>
              <w:rPr>
                <w:rFonts w:hint="eastAsia"/>
                <w:b w:val="0"/>
                <w:bCs/>
                <w:color w:val="auto"/>
                <w:kern w:val="2"/>
                <w:sz w:val="21"/>
                <w:szCs w:val="21"/>
                <w:lang w:val="en-US" w:eastAsia="zh-CN"/>
              </w:rPr>
              <w:t>〔2007〕50号</w:t>
            </w:r>
          </w:p>
          <w:p w14:paraId="1ABEF21A">
            <w:pPr>
              <w:keepNext w:val="0"/>
              <w:keepLines w:val="0"/>
              <w:pageBreakBefore w:val="0"/>
              <w:kinsoku/>
              <w:wordWrap/>
              <w:overflowPunct/>
              <w:topLinePunct w:val="0"/>
              <w:autoSpaceDE w:val="0"/>
              <w:autoSpaceDN w:val="0"/>
              <w:bidi w:val="0"/>
              <w:adjustRightInd w:val="0"/>
              <w:snapToGrid w:val="0"/>
              <w:spacing w:line="360" w:lineRule="auto"/>
              <w:textAlignment w:val="auto"/>
              <w:rPr>
                <w:b w:val="0"/>
                <w:bCs/>
                <w:color w:val="auto"/>
                <w:szCs w:val="21"/>
              </w:rPr>
            </w:pPr>
            <w:r>
              <w:rPr>
                <w:b w:val="0"/>
                <w:bCs/>
                <w:color w:val="auto"/>
                <w:szCs w:val="21"/>
              </w:rPr>
              <w:t>规划文件2：《涟水县城市总体规划（2013-2020）》</w:t>
            </w:r>
          </w:p>
          <w:p w14:paraId="65DB812D">
            <w:pPr>
              <w:keepNext w:val="0"/>
              <w:keepLines w:val="0"/>
              <w:pageBreakBefore w:val="0"/>
              <w:kinsoku/>
              <w:wordWrap/>
              <w:overflowPunct/>
              <w:topLinePunct w:val="0"/>
              <w:autoSpaceDE w:val="0"/>
              <w:autoSpaceDN w:val="0"/>
              <w:bidi w:val="0"/>
              <w:adjustRightInd w:val="0"/>
              <w:snapToGrid w:val="0"/>
              <w:spacing w:line="360" w:lineRule="auto"/>
              <w:textAlignment w:val="auto"/>
              <w:rPr>
                <w:b w:val="0"/>
                <w:bCs/>
                <w:color w:val="auto"/>
                <w:szCs w:val="21"/>
              </w:rPr>
            </w:pPr>
            <w:r>
              <w:rPr>
                <w:b w:val="0"/>
                <w:bCs/>
                <w:color w:val="auto"/>
                <w:szCs w:val="21"/>
              </w:rPr>
              <w:t>批准机关及文号</w:t>
            </w:r>
            <w:r>
              <w:rPr>
                <w:rFonts w:hint="eastAsia"/>
                <w:b w:val="0"/>
                <w:bCs/>
                <w:color w:val="auto"/>
                <w:szCs w:val="21"/>
                <w:lang w:eastAsia="zh-CN"/>
              </w:rPr>
              <w:t>：</w:t>
            </w:r>
            <w:r>
              <w:rPr>
                <w:b w:val="0"/>
                <w:bCs/>
                <w:color w:val="auto"/>
                <w:szCs w:val="21"/>
              </w:rPr>
              <w:t>淮安市人民政府、淮政复</w:t>
            </w:r>
            <w:r>
              <w:rPr>
                <w:rFonts w:hint="eastAsia"/>
                <w:b w:val="0"/>
                <w:bCs/>
                <w:color w:val="auto"/>
                <w:szCs w:val="21"/>
                <w:lang w:eastAsia="zh-CN"/>
              </w:rPr>
              <w:t>〔2016〕15号</w:t>
            </w:r>
          </w:p>
          <w:p w14:paraId="33E67520">
            <w:pPr>
              <w:keepNext w:val="0"/>
              <w:keepLines w:val="0"/>
              <w:pageBreakBefore w:val="0"/>
              <w:kinsoku/>
              <w:wordWrap/>
              <w:overflowPunct/>
              <w:topLinePunct w:val="0"/>
              <w:autoSpaceDE w:val="0"/>
              <w:autoSpaceDN w:val="0"/>
              <w:bidi w:val="0"/>
              <w:adjustRightInd w:val="0"/>
              <w:snapToGrid w:val="0"/>
              <w:spacing w:line="360" w:lineRule="auto"/>
              <w:textAlignment w:val="auto"/>
              <w:rPr>
                <w:rFonts w:cs="宋体"/>
                <w:color w:val="auto"/>
                <w:kern w:val="0"/>
                <w:szCs w:val="21"/>
              </w:rPr>
            </w:pPr>
            <w:r>
              <w:rPr>
                <w:rFonts w:hint="eastAsia"/>
                <w:b w:val="0"/>
                <w:bCs/>
                <w:color w:val="auto"/>
                <w:szCs w:val="21"/>
              </w:rPr>
              <w:t>规划文件3：《江苏涟水经济开发区开发建设规划（2022</w:t>
            </w:r>
            <w:r>
              <w:rPr>
                <w:rFonts w:hint="eastAsia"/>
                <w:b w:val="0"/>
                <w:bCs/>
                <w:color w:val="auto"/>
                <w:szCs w:val="21"/>
                <w:lang w:eastAsia="zh-CN"/>
              </w:rPr>
              <w:t>—</w:t>
            </w:r>
            <w:r>
              <w:rPr>
                <w:rFonts w:hint="eastAsia"/>
                <w:b w:val="0"/>
                <w:bCs/>
                <w:color w:val="auto"/>
                <w:szCs w:val="21"/>
              </w:rPr>
              <w:t>2035年）》</w:t>
            </w:r>
          </w:p>
        </w:tc>
      </w:tr>
      <w:tr w14:paraId="705BC3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noWrap w:val="0"/>
            <w:vAlign w:val="center"/>
          </w:tcPr>
          <w:p w14:paraId="21719319">
            <w:pPr>
              <w:adjustRightInd w:val="0"/>
              <w:snapToGrid w:val="0"/>
              <w:jc w:val="center"/>
              <w:rPr>
                <w:rFonts w:ascii="宋体" w:hAnsi="宋体" w:cs="宋体"/>
                <w:color w:val="auto"/>
                <w:szCs w:val="21"/>
              </w:rPr>
            </w:pPr>
            <w:r>
              <w:rPr>
                <w:rFonts w:hint="eastAsia" w:ascii="宋体" w:hAnsi="宋体" w:cs="宋体"/>
                <w:color w:val="auto"/>
                <w:szCs w:val="21"/>
              </w:rPr>
              <w:t>规划环境影响</w:t>
            </w:r>
          </w:p>
          <w:p w14:paraId="4AD29813">
            <w:pPr>
              <w:adjustRightInd w:val="0"/>
              <w:snapToGrid w:val="0"/>
              <w:jc w:val="center"/>
              <w:rPr>
                <w:rFonts w:hint="eastAsia" w:ascii="宋体" w:hAnsi="宋体" w:cs="宋体"/>
                <w:color w:val="auto"/>
                <w:kern w:val="0"/>
                <w:szCs w:val="21"/>
              </w:rPr>
            </w:pPr>
            <w:r>
              <w:rPr>
                <w:rFonts w:hint="eastAsia" w:ascii="宋体" w:hAnsi="宋体" w:cs="宋体"/>
                <w:color w:val="auto"/>
                <w:szCs w:val="21"/>
              </w:rPr>
              <w:t>评价情况</w:t>
            </w:r>
          </w:p>
        </w:tc>
        <w:tc>
          <w:tcPr>
            <w:tcW w:w="7914" w:type="dxa"/>
            <w:gridSpan w:val="3"/>
            <w:noWrap w:val="0"/>
            <w:vAlign w:val="center"/>
          </w:tcPr>
          <w:p w14:paraId="4664502A">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auto"/>
                <w:szCs w:val="21"/>
              </w:rPr>
            </w:pPr>
            <w:r>
              <w:rPr>
                <w:rFonts w:hint="eastAsia" w:cs="宋体"/>
                <w:color w:val="auto"/>
                <w:kern w:val="0"/>
                <w:szCs w:val="21"/>
              </w:rPr>
              <w:t>规</w:t>
            </w:r>
            <w:r>
              <w:rPr>
                <w:rFonts w:hint="eastAsia"/>
                <w:b w:val="0"/>
                <w:bCs/>
                <w:color w:val="auto"/>
                <w:szCs w:val="21"/>
              </w:rPr>
              <w:t>划环评文件名称：《江苏涟水经济开发区环境影响报告书》</w:t>
            </w:r>
          </w:p>
          <w:p w14:paraId="1BDA087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auto"/>
                <w:szCs w:val="21"/>
              </w:rPr>
            </w:pPr>
            <w:r>
              <w:rPr>
                <w:rFonts w:hint="eastAsia"/>
                <w:b w:val="0"/>
                <w:bCs/>
                <w:color w:val="auto"/>
                <w:szCs w:val="21"/>
              </w:rPr>
              <w:t>审查机关：</w:t>
            </w:r>
            <w:r>
              <w:rPr>
                <w:rFonts w:hint="eastAsia"/>
                <w:b w:val="0"/>
                <w:bCs/>
                <w:color w:val="auto"/>
                <w:szCs w:val="21"/>
                <w:lang w:val="en-US" w:eastAsia="zh-CN"/>
              </w:rPr>
              <w:t>原</w:t>
            </w:r>
            <w:r>
              <w:rPr>
                <w:rFonts w:hint="eastAsia"/>
                <w:b w:val="0"/>
                <w:bCs/>
                <w:color w:val="auto"/>
                <w:szCs w:val="21"/>
              </w:rPr>
              <w:t>江苏省环境保护厅</w:t>
            </w:r>
          </w:p>
          <w:p w14:paraId="2189283D">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auto"/>
                <w:szCs w:val="21"/>
              </w:rPr>
            </w:pPr>
            <w:r>
              <w:rPr>
                <w:rFonts w:hint="eastAsia"/>
                <w:b w:val="0"/>
                <w:bCs/>
                <w:color w:val="auto"/>
                <w:szCs w:val="21"/>
              </w:rPr>
              <w:t>审查文件名称及文号：《关于对江苏涟水经济开发区环境影响报告书的批复》（苏环管〔2007〕173号）</w:t>
            </w:r>
          </w:p>
          <w:p w14:paraId="0CB6F99C">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auto"/>
                <w:szCs w:val="21"/>
              </w:rPr>
            </w:pPr>
            <w:r>
              <w:rPr>
                <w:rFonts w:hint="eastAsia"/>
                <w:b w:val="0"/>
                <w:bCs/>
                <w:color w:val="auto"/>
                <w:szCs w:val="21"/>
              </w:rPr>
              <w:t>规划环评文件名称：《江苏涟水经济开发区片区规划环境影响跟踪评价报告书》</w:t>
            </w:r>
          </w:p>
          <w:p w14:paraId="0D9D1F32">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auto"/>
                <w:szCs w:val="21"/>
              </w:rPr>
            </w:pPr>
            <w:r>
              <w:rPr>
                <w:rFonts w:hint="eastAsia"/>
                <w:b w:val="0"/>
                <w:bCs/>
                <w:color w:val="auto"/>
                <w:szCs w:val="21"/>
              </w:rPr>
              <w:t>审查机关：</w:t>
            </w:r>
            <w:r>
              <w:rPr>
                <w:rFonts w:hint="eastAsia"/>
                <w:b w:val="0"/>
                <w:bCs/>
                <w:color w:val="auto"/>
                <w:szCs w:val="21"/>
                <w:lang w:val="en-US" w:eastAsia="zh-CN"/>
              </w:rPr>
              <w:t>原</w:t>
            </w:r>
            <w:r>
              <w:rPr>
                <w:rFonts w:hint="eastAsia"/>
                <w:b w:val="0"/>
                <w:bCs/>
                <w:color w:val="auto"/>
                <w:szCs w:val="21"/>
              </w:rPr>
              <w:t>江苏省环境保护厅</w:t>
            </w:r>
          </w:p>
          <w:p w14:paraId="3417F3B7">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auto"/>
                <w:szCs w:val="21"/>
              </w:rPr>
            </w:pPr>
            <w:r>
              <w:rPr>
                <w:rFonts w:hint="eastAsia"/>
                <w:b w:val="0"/>
                <w:bCs/>
                <w:color w:val="auto"/>
                <w:szCs w:val="21"/>
              </w:rPr>
              <w:t>审查文件名称及文号：《关于对江苏涟水经济开发区片区规划环境影响跟踪评价报告书的审核意见》（苏环审〔2015〕51号）</w:t>
            </w:r>
          </w:p>
          <w:p w14:paraId="39C0C447">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auto"/>
                <w:szCs w:val="21"/>
              </w:rPr>
            </w:pPr>
            <w:r>
              <w:rPr>
                <w:rFonts w:hint="eastAsia"/>
                <w:b w:val="0"/>
                <w:bCs/>
                <w:color w:val="auto"/>
                <w:szCs w:val="21"/>
              </w:rPr>
              <w:t>规划环评文件名称：《江苏涟水经济开发区开发建设规划</w:t>
            </w:r>
            <w:r>
              <w:rPr>
                <w:rFonts w:hint="eastAsia"/>
                <w:b w:val="0"/>
                <w:bCs/>
                <w:color w:val="auto"/>
                <w:szCs w:val="21"/>
                <w:lang w:eastAsia="zh-CN"/>
              </w:rPr>
              <w:t>（</w:t>
            </w:r>
            <w:r>
              <w:rPr>
                <w:rFonts w:hint="eastAsia"/>
                <w:b w:val="0"/>
                <w:bCs/>
                <w:color w:val="auto"/>
                <w:szCs w:val="21"/>
                <w:lang w:val="en-US" w:eastAsia="zh-CN"/>
              </w:rPr>
              <w:t>2022-2035</w:t>
            </w:r>
            <w:r>
              <w:rPr>
                <w:rFonts w:hint="eastAsia"/>
                <w:b w:val="0"/>
                <w:bCs/>
                <w:color w:val="auto"/>
                <w:szCs w:val="21"/>
                <w:lang w:eastAsia="zh-CN"/>
              </w:rPr>
              <w:t>）</w:t>
            </w:r>
            <w:r>
              <w:rPr>
                <w:rFonts w:hint="eastAsia"/>
                <w:b w:val="0"/>
                <w:bCs/>
                <w:color w:val="auto"/>
                <w:szCs w:val="21"/>
              </w:rPr>
              <w:t>环境影响报告书》</w:t>
            </w:r>
          </w:p>
          <w:p w14:paraId="07DA42BE">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b w:val="0"/>
                <w:bCs/>
                <w:color w:val="auto"/>
                <w:szCs w:val="21"/>
              </w:rPr>
            </w:pPr>
            <w:r>
              <w:rPr>
                <w:rFonts w:hint="eastAsia"/>
                <w:b w:val="0"/>
                <w:bCs/>
                <w:color w:val="auto"/>
                <w:szCs w:val="21"/>
                <w:lang w:val="en-US" w:eastAsia="zh-CN"/>
              </w:rPr>
              <w:t>召集</w:t>
            </w:r>
            <w:r>
              <w:rPr>
                <w:rFonts w:hint="eastAsia"/>
                <w:b w:val="0"/>
                <w:bCs/>
                <w:color w:val="auto"/>
                <w:szCs w:val="21"/>
              </w:rPr>
              <w:t>审查机关：江苏省</w:t>
            </w:r>
            <w:r>
              <w:rPr>
                <w:rFonts w:hint="eastAsia"/>
                <w:b w:val="0"/>
                <w:bCs/>
                <w:color w:val="auto"/>
                <w:szCs w:val="21"/>
                <w:lang w:val="en-US" w:eastAsia="zh-CN"/>
              </w:rPr>
              <w:t>生态环境</w:t>
            </w:r>
            <w:r>
              <w:rPr>
                <w:rFonts w:hint="eastAsia"/>
                <w:b w:val="0"/>
                <w:bCs/>
                <w:color w:val="auto"/>
                <w:szCs w:val="21"/>
              </w:rPr>
              <w:t>厅</w:t>
            </w:r>
          </w:p>
          <w:p w14:paraId="4B365503">
            <w:pPr>
              <w:keepNext w:val="0"/>
              <w:keepLines w:val="0"/>
              <w:pageBreakBefore w:val="0"/>
              <w:kinsoku/>
              <w:wordWrap/>
              <w:overflowPunct/>
              <w:topLinePunct w:val="0"/>
              <w:autoSpaceDE w:val="0"/>
              <w:autoSpaceDN w:val="0"/>
              <w:bidi w:val="0"/>
              <w:adjustRightInd w:val="0"/>
              <w:snapToGrid w:val="0"/>
              <w:spacing w:line="360" w:lineRule="auto"/>
              <w:jc w:val="both"/>
              <w:textAlignment w:val="auto"/>
              <w:rPr>
                <w:rFonts w:hint="eastAsia" w:cs="宋体"/>
                <w:color w:val="auto"/>
                <w:kern w:val="0"/>
                <w:szCs w:val="21"/>
              </w:rPr>
            </w:pPr>
            <w:r>
              <w:rPr>
                <w:rFonts w:hint="eastAsia"/>
                <w:b w:val="0"/>
                <w:bCs/>
                <w:color w:val="auto"/>
                <w:szCs w:val="21"/>
              </w:rPr>
              <w:t>审查文件名称及文号：《</w:t>
            </w:r>
            <w:r>
              <w:rPr>
                <w:rFonts w:hint="eastAsia"/>
                <w:b w:val="0"/>
                <w:bCs/>
                <w:color w:val="auto"/>
                <w:szCs w:val="21"/>
                <w:lang w:val="en-US" w:eastAsia="zh-CN"/>
              </w:rPr>
              <w:t>关于江苏涟水经济开发区开发建设规划（2022—2035年）环境影响报告书的审查意见</w:t>
            </w:r>
            <w:r>
              <w:rPr>
                <w:rFonts w:hint="eastAsia"/>
                <w:b w:val="0"/>
                <w:bCs/>
                <w:color w:val="auto"/>
                <w:szCs w:val="21"/>
              </w:rPr>
              <w:t>》（苏环</w:t>
            </w:r>
            <w:r>
              <w:rPr>
                <w:rFonts w:hint="eastAsia"/>
                <w:b w:val="0"/>
                <w:bCs/>
                <w:color w:val="auto"/>
                <w:szCs w:val="21"/>
                <w:lang w:val="en-US" w:eastAsia="zh-CN"/>
              </w:rPr>
              <w:t>审</w:t>
            </w:r>
            <w:r>
              <w:rPr>
                <w:rFonts w:hint="eastAsia"/>
                <w:b w:val="0"/>
                <w:bCs/>
                <w:color w:val="auto"/>
                <w:szCs w:val="21"/>
              </w:rPr>
              <w:t>〔20</w:t>
            </w:r>
            <w:r>
              <w:rPr>
                <w:rFonts w:hint="eastAsia"/>
                <w:b w:val="0"/>
                <w:bCs/>
                <w:color w:val="auto"/>
                <w:szCs w:val="21"/>
                <w:lang w:val="en-US" w:eastAsia="zh-CN"/>
              </w:rPr>
              <w:t>23</w:t>
            </w:r>
            <w:r>
              <w:rPr>
                <w:rFonts w:hint="eastAsia"/>
                <w:b w:val="0"/>
                <w:bCs/>
                <w:color w:val="auto"/>
                <w:szCs w:val="21"/>
              </w:rPr>
              <w:t>〕</w:t>
            </w:r>
            <w:r>
              <w:rPr>
                <w:rFonts w:hint="eastAsia"/>
                <w:b w:val="0"/>
                <w:bCs/>
                <w:color w:val="auto"/>
                <w:szCs w:val="21"/>
                <w:lang w:val="en-US" w:eastAsia="zh-CN"/>
              </w:rPr>
              <w:t>81</w:t>
            </w:r>
            <w:r>
              <w:rPr>
                <w:rFonts w:hint="eastAsia"/>
                <w:b w:val="0"/>
                <w:bCs/>
                <w:color w:val="auto"/>
                <w:szCs w:val="21"/>
              </w:rPr>
              <w:t>号）</w:t>
            </w:r>
          </w:p>
        </w:tc>
      </w:tr>
      <w:tr w14:paraId="30335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56" w:type="dxa"/>
            <w:noWrap w:val="0"/>
            <w:vAlign w:val="center"/>
          </w:tcPr>
          <w:p w14:paraId="38A46575">
            <w:pPr>
              <w:autoSpaceDE w:val="0"/>
              <w:autoSpaceDN w:val="0"/>
              <w:adjustRightInd w:val="0"/>
              <w:snapToGrid w:val="0"/>
              <w:jc w:val="center"/>
              <w:rPr>
                <w:rFonts w:ascii="宋体" w:hAnsi="宋体" w:cs="宋体"/>
                <w:color w:val="auto"/>
                <w:kern w:val="0"/>
                <w:szCs w:val="21"/>
              </w:rPr>
            </w:pPr>
            <w:r>
              <w:rPr>
                <w:rFonts w:hint="eastAsia" w:ascii="宋体" w:hAnsi="宋体" w:cs="宋体"/>
                <w:color w:val="auto"/>
                <w:kern w:val="0"/>
                <w:szCs w:val="21"/>
              </w:rPr>
              <w:t>规划及规划环境影响评价符合性分析</w:t>
            </w:r>
          </w:p>
        </w:tc>
        <w:tc>
          <w:tcPr>
            <w:tcW w:w="7914" w:type="dxa"/>
            <w:gridSpan w:val="3"/>
            <w:noWrap w:val="0"/>
            <w:vAlign w:val="center"/>
          </w:tcPr>
          <w:p w14:paraId="2AEDBC35">
            <w:pPr>
              <w:pStyle w:val="2"/>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color w:val="auto"/>
                <w:sz w:val="24"/>
              </w:rPr>
            </w:pPr>
            <w:r>
              <w:rPr>
                <w:rFonts w:hint="eastAsia" w:ascii="Times New Roman" w:hAnsi="Times New Roman"/>
                <w:b w:val="0"/>
                <w:color w:val="auto"/>
                <w:sz w:val="24"/>
              </w:rPr>
              <w:t>涟水县工业园成立于2000年6月，总体规划面积7.16km</w:t>
            </w:r>
            <w:r>
              <w:rPr>
                <w:rFonts w:hint="eastAsia" w:ascii="Times New Roman" w:hAnsi="Times New Roman"/>
                <w:b w:val="0"/>
                <w:color w:val="auto"/>
                <w:sz w:val="24"/>
                <w:vertAlign w:val="superscript"/>
              </w:rPr>
              <w:t>2</w:t>
            </w:r>
            <w:r>
              <w:rPr>
                <w:rFonts w:hint="eastAsia" w:ascii="Times New Roman" w:hAnsi="Times New Roman"/>
                <w:b w:val="0"/>
                <w:color w:val="auto"/>
                <w:sz w:val="24"/>
              </w:rPr>
              <w:t>，其中启动区面积4.86km</w:t>
            </w:r>
            <w:r>
              <w:rPr>
                <w:rFonts w:hint="eastAsia" w:ascii="Times New Roman" w:hAnsi="Times New Roman"/>
                <w:b w:val="0"/>
                <w:color w:val="auto"/>
                <w:sz w:val="24"/>
                <w:vertAlign w:val="superscript"/>
              </w:rPr>
              <w:t>2</w:t>
            </w:r>
            <w:r>
              <w:rPr>
                <w:rFonts w:hint="eastAsia" w:ascii="Times New Roman" w:hAnsi="Times New Roman"/>
                <w:b w:val="0"/>
                <w:color w:val="auto"/>
                <w:sz w:val="24"/>
              </w:rPr>
              <w:t>。后根据《关于进一步核减现有各类开发区（园区）规划面积的函》（苏国土资传发〔2004〕28号文），涟水工业园规划面积由7.16km</w:t>
            </w:r>
            <w:r>
              <w:rPr>
                <w:rFonts w:hint="eastAsia" w:ascii="Times New Roman" w:hAnsi="Times New Roman"/>
                <w:b w:val="0"/>
                <w:color w:val="auto"/>
                <w:sz w:val="24"/>
                <w:vertAlign w:val="superscript"/>
              </w:rPr>
              <w:t>2</w:t>
            </w:r>
            <w:r>
              <w:rPr>
                <w:rFonts w:hint="eastAsia" w:ascii="Times New Roman" w:hAnsi="Times New Roman"/>
                <w:b w:val="0"/>
                <w:color w:val="auto"/>
                <w:sz w:val="24"/>
              </w:rPr>
              <w:t>核减为2.5km</w:t>
            </w:r>
            <w:r>
              <w:rPr>
                <w:rFonts w:hint="eastAsia" w:ascii="Times New Roman" w:hAnsi="Times New Roman"/>
                <w:b w:val="0"/>
                <w:color w:val="auto"/>
                <w:sz w:val="24"/>
                <w:vertAlign w:val="superscript"/>
              </w:rPr>
              <w:t>2</w:t>
            </w:r>
            <w:r>
              <w:rPr>
                <w:rFonts w:hint="eastAsia" w:ascii="Times New Roman" w:hAnsi="Times New Roman"/>
                <w:b w:val="0"/>
                <w:color w:val="auto"/>
                <w:sz w:val="24"/>
              </w:rPr>
              <w:t>，东至广陵路，南至淮河路南335米处，西至盐河，北至炎黄大道。2006年5月，根据</w:t>
            </w:r>
            <w:r>
              <w:rPr>
                <w:rFonts w:hint="eastAsia" w:ascii="Times New Roman" w:hAnsi="Times New Roman"/>
                <w:b w:val="0"/>
                <w:color w:val="auto"/>
                <w:sz w:val="24"/>
                <w:lang w:eastAsia="zh-CN"/>
              </w:rPr>
              <w:t>国家发展改革委〔2006〕37号</w:t>
            </w:r>
            <w:r>
              <w:rPr>
                <w:rFonts w:hint="eastAsia" w:ascii="Times New Roman" w:hAnsi="Times New Roman"/>
                <w:b w:val="0"/>
                <w:color w:val="auto"/>
                <w:sz w:val="24"/>
              </w:rPr>
              <w:t>公告，涟水工业园被确定为省级开发区，同时更名为江苏涟水经济开发区。《江苏涟水经济开发区环境影响报告书》于2007年8月14日通过原江苏省环境保护厅审批，2015年5月涟水经济开发区管委会委托江苏省环科咨询股份有限公司编制了《江苏涟水经济开发区片区规划环境影响跟踪评价报告书》，并获得省厅《关于对江苏涟水经济开发区片区规划环境影响跟踪评价报告书的审核意见》（苏环审〔2015〕51号）。2022年，管委会委托编制了《江苏涟水经济开发区开发建设规划（2022</w:t>
            </w:r>
            <w:r>
              <w:rPr>
                <w:rFonts w:hint="eastAsia" w:ascii="Times New Roman" w:hAnsi="Times New Roman"/>
                <w:b w:val="0"/>
                <w:color w:val="auto"/>
                <w:sz w:val="24"/>
                <w:lang w:eastAsia="zh-CN"/>
              </w:rPr>
              <w:t>—</w:t>
            </w:r>
            <w:r>
              <w:rPr>
                <w:rFonts w:hint="eastAsia" w:ascii="Times New Roman" w:hAnsi="Times New Roman"/>
                <w:b w:val="0"/>
                <w:color w:val="auto"/>
                <w:sz w:val="24"/>
              </w:rPr>
              <w:t>2035年）</w:t>
            </w:r>
            <w:r>
              <w:rPr>
                <w:rFonts w:hint="eastAsia" w:ascii="Times New Roman" w:hAnsi="Times New Roman"/>
                <w:b w:val="0"/>
                <w:color w:val="auto"/>
                <w:sz w:val="24"/>
                <w:lang w:eastAsia="zh-CN"/>
              </w:rPr>
              <w:t>》《</w:t>
            </w:r>
            <w:r>
              <w:rPr>
                <w:rFonts w:hint="eastAsia" w:ascii="Times New Roman" w:hAnsi="Times New Roman"/>
                <w:b w:val="0"/>
                <w:color w:val="auto"/>
                <w:sz w:val="24"/>
              </w:rPr>
              <w:t>江苏涟水经济开发区开发建设规划（2022-2035）环境影响报告书》于2023年10月获得了省生态环境厅《关于江苏涟水经济开发区开发建设规划（2022</w:t>
            </w:r>
            <w:r>
              <w:rPr>
                <w:rFonts w:hint="eastAsia" w:ascii="Times New Roman" w:hAnsi="Times New Roman"/>
                <w:b w:val="0"/>
                <w:color w:val="auto"/>
                <w:sz w:val="24"/>
                <w:lang w:eastAsia="zh-CN"/>
              </w:rPr>
              <w:t>—</w:t>
            </w:r>
            <w:r>
              <w:rPr>
                <w:rFonts w:hint="eastAsia" w:ascii="Times New Roman" w:hAnsi="Times New Roman"/>
                <w:b w:val="0"/>
                <w:color w:val="auto"/>
                <w:sz w:val="24"/>
              </w:rPr>
              <w:t>2035年）环境影响报告书的审查意见》（苏环审〔2023〕81号）。</w:t>
            </w:r>
          </w:p>
          <w:p w14:paraId="23B0518F">
            <w:pPr>
              <w:pStyle w:val="2"/>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bCs w:val="0"/>
                <w:color w:val="auto"/>
                <w:sz w:val="24"/>
              </w:rPr>
            </w:pPr>
            <w:r>
              <w:rPr>
                <w:rFonts w:hint="eastAsia" w:ascii="Times New Roman" w:hAnsi="Times New Roman"/>
                <w:b w:val="0"/>
                <w:bCs w:val="0"/>
                <w:color w:val="auto"/>
                <w:sz w:val="24"/>
              </w:rPr>
              <w:t>1、规划面积及规划范围</w:t>
            </w:r>
          </w:p>
          <w:p w14:paraId="14CBA366">
            <w:pPr>
              <w:pStyle w:val="2"/>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color w:val="auto"/>
                <w:sz w:val="24"/>
              </w:rPr>
            </w:pPr>
            <w:r>
              <w:rPr>
                <w:rFonts w:hint="eastAsia" w:ascii="Times New Roman" w:hAnsi="Times New Roman"/>
                <w:b w:val="0"/>
                <w:color w:val="auto"/>
                <w:sz w:val="24"/>
              </w:rPr>
              <w:t>《江苏涟水经济开发区开发建设规划（2022</w:t>
            </w:r>
            <w:r>
              <w:rPr>
                <w:rFonts w:hint="eastAsia" w:ascii="Times New Roman" w:hAnsi="Times New Roman"/>
                <w:b w:val="0"/>
                <w:color w:val="auto"/>
                <w:sz w:val="24"/>
                <w:lang w:eastAsia="zh-CN"/>
              </w:rPr>
              <w:t>—</w:t>
            </w:r>
            <w:r>
              <w:rPr>
                <w:rFonts w:hint="eastAsia" w:ascii="Times New Roman" w:hAnsi="Times New Roman"/>
                <w:b w:val="0"/>
                <w:color w:val="auto"/>
                <w:sz w:val="24"/>
              </w:rPr>
              <w:t>2035年）》：规划总面积14.28km</w:t>
            </w:r>
            <w:r>
              <w:rPr>
                <w:rFonts w:hint="eastAsia" w:ascii="Times New Roman" w:hAnsi="Times New Roman"/>
                <w:b w:val="0"/>
                <w:color w:val="auto"/>
                <w:sz w:val="24"/>
                <w:vertAlign w:val="superscript"/>
              </w:rPr>
              <w:t>2</w:t>
            </w:r>
            <w:r>
              <w:rPr>
                <w:rFonts w:hint="eastAsia" w:ascii="Times New Roman" w:hAnsi="Times New Roman"/>
                <w:b w:val="0"/>
                <w:color w:val="auto"/>
                <w:sz w:val="24"/>
              </w:rPr>
              <w:t>，以盐河为界，分为东区2.9km</w:t>
            </w:r>
            <w:r>
              <w:rPr>
                <w:rFonts w:hint="eastAsia" w:ascii="Times New Roman" w:hAnsi="Times New Roman"/>
                <w:b w:val="0"/>
                <w:color w:val="auto"/>
                <w:sz w:val="24"/>
                <w:vertAlign w:val="superscript"/>
              </w:rPr>
              <w:t>2</w:t>
            </w:r>
            <w:r>
              <w:rPr>
                <w:rFonts w:hint="eastAsia" w:ascii="Times New Roman" w:hAnsi="Times New Roman"/>
                <w:b w:val="0"/>
                <w:color w:val="auto"/>
                <w:sz w:val="24"/>
              </w:rPr>
              <w:t>和西区11.38km</w:t>
            </w:r>
            <w:r>
              <w:rPr>
                <w:rFonts w:hint="eastAsia" w:ascii="Times New Roman" w:hAnsi="Times New Roman"/>
                <w:b w:val="0"/>
                <w:color w:val="auto"/>
                <w:sz w:val="24"/>
                <w:vertAlign w:val="superscript"/>
              </w:rPr>
              <w:t>2</w:t>
            </w:r>
            <w:r>
              <w:rPr>
                <w:rFonts w:hint="eastAsia" w:ascii="Times New Roman" w:hAnsi="Times New Roman"/>
                <w:b w:val="0"/>
                <w:color w:val="auto"/>
                <w:sz w:val="24"/>
              </w:rPr>
              <w:t>，规划范围为北达北环路，西临连淮扬镇铁路，南至清涟大道、渠北西路，东跨盐河至广陵路合围区域。</w:t>
            </w:r>
          </w:p>
          <w:p w14:paraId="1A5EAECF">
            <w:pPr>
              <w:pStyle w:val="2"/>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color w:val="auto"/>
                <w:sz w:val="24"/>
              </w:rPr>
            </w:pPr>
            <w:r>
              <w:rPr>
                <w:rFonts w:hint="eastAsia" w:ascii="Times New Roman" w:hAnsi="Times New Roman"/>
                <w:b w:val="0"/>
                <w:color w:val="auto"/>
                <w:sz w:val="24"/>
              </w:rPr>
              <w:t>本项目位于江苏省淮安市</w:t>
            </w:r>
            <w:r>
              <w:rPr>
                <w:rFonts w:hint="eastAsia" w:ascii="Times New Roman" w:hAnsi="Times New Roman"/>
                <w:b w:val="0"/>
                <w:color w:val="auto"/>
                <w:sz w:val="24"/>
                <w:lang w:eastAsia="zh-CN"/>
              </w:rPr>
              <w:t>涟水县经济开发区淮浦北路东侧、兴隆路南侧</w:t>
            </w:r>
            <w:r>
              <w:rPr>
                <w:rFonts w:hint="eastAsia" w:ascii="Times New Roman" w:hAnsi="Times New Roman"/>
                <w:b w:val="0"/>
                <w:color w:val="auto"/>
                <w:sz w:val="24"/>
              </w:rPr>
              <w:t>，属于规划范围内的西区</w:t>
            </w:r>
            <w:r>
              <w:rPr>
                <w:rFonts w:hint="eastAsia" w:ascii="Times New Roman" w:hAnsi="Times New Roman"/>
                <w:b w:val="0"/>
                <w:color w:val="auto"/>
                <w:sz w:val="24"/>
                <w:lang w:eastAsia="zh-CN"/>
              </w:rPr>
              <w:t>，</w:t>
            </w:r>
            <w:r>
              <w:rPr>
                <w:rFonts w:hint="eastAsia" w:ascii="Times New Roman" w:hAnsi="Times New Roman"/>
                <w:b w:val="0"/>
                <w:color w:val="auto"/>
                <w:sz w:val="24"/>
                <w:lang w:val="en-US" w:eastAsia="zh-CN"/>
              </w:rPr>
              <w:t>具体位置关系见附图7</w:t>
            </w:r>
            <w:r>
              <w:rPr>
                <w:rFonts w:hint="eastAsia" w:ascii="Times New Roman" w:hAnsi="Times New Roman"/>
                <w:b w:val="0"/>
                <w:color w:val="auto"/>
                <w:sz w:val="24"/>
              </w:rPr>
              <w:t>。</w:t>
            </w:r>
          </w:p>
          <w:p w14:paraId="210B0913">
            <w:pPr>
              <w:pStyle w:val="2"/>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bCs w:val="0"/>
                <w:color w:val="auto"/>
                <w:sz w:val="24"/>
              </w:rPr>
            </w:pPr>
            <w:r>
              <w:rPr>
                <w:rFonts w:hint="eastAsia" w:ascii="Times New Roman" w:hAnsi="Times New Roman"/>
                <w:b w:val="0"/>
                <w:bCs w:val="0"/>
                <w:color w:val="auto"/>
                <w:sz w:val="24"/>
              </w:rPr>
              <w:t>2、产业定位和布局</w:t>
            </w:r>
          </w:p>
          <w:p w14:paraId="28E32847">
            <w:pPr>
              <w:pStyle w:val="2"/>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color w:val="auto"/>
                <w:sz w:val="24"/>
              </w:rPr>
            </w:pPr>
            <w:r>
              <w:rPr>
                <w:rFonts w:hint="eastAsia" w:ascii="Times New Roman" w:hAnsi="Times New Roman"/>
                <w:b w:val="0"/>
                <w:color w:val="auto"/>
                <w:sz w:val="24"/>
              </w:rPr>
              <w:t>高质量推动“项目引建、产业转型、园区升级”三大突破，培育构建装备制造、纺织服装、电子信息、绿色食品4大主导产业，实施“腾笼换鸟”，优化产业布局，形成四大主导产业组团，即装备制造产业组团、纺织服装产业组团、电子信息产业组团、绿色食品产业组团。本次规划将保留符合上一轮规划产业定位的企业。随着新一轮规划的实施，开发区将不再鼓励引进建材、医药等行业企业。</w:t>
            </w:r>
          </w:p>
          <w:p w14:paraId="61FDC45C">
            <w:pPr>
              <w:pStyle w:val="51"/>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表1-1 </w:t>
            </w:r>
            <w:r>
              <w:rPr>
                <w:rFonts w:hint="eastAsia" w:cs="Times New Roman"/>
                <w:color w:val="auto"/>
                <w:lang w:val="en-US" w:eastAsia="zh-CN"/>
              </w:rPr>
              <w:t xml:space="preserve"> </w:t>
            </w:r>
            <w:r>
              <w:rPr>
                <w:rFonts w:hint="default" w:ascii="Times New Roman" w:hAnsi="Times New Roman" w:cs="Times New Roman"/>
                <w:color w:val="auto"/>
                <w:lang w:val="en-US" w:eastAsia="zh-CN"/>
              </w:rPr>
              <w:t>江苏涟水经济开发区产业准入条件及空间布局约束</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17"/>
              <w:gridCol w:w="6586"/>
            </w:tblGrid>
            <w:tr w14:paraId="397E61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1" w:type="pct"/>
                  <w:gridSpan w:val="2"/>
                  <w:tcBorders>
                    <w:tl2br w:val="nil"/>
                    <w:tr2bl w:val="nil"/>
                  </w:tcBorders>
                  <w:vAlign w:val="center"/>
                </w:tcPr>
                <w:p w14:paraId="4B8F2C38">
                  <w:pPr>
                    <w:pStyle w:val="30"/>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类别</w:t>
                  </w:r>
                </w:p>
              </w:tc>
              <w:tc>
                <w:tcPr>
                  <w:tcW w:w="4278" w:type="pct"/>
                  <w:tcBorders>
                    <w:tl2br w:val="nil"/>
                    <w:tr2bl w:val="nil"/>
                  </w:tcBorders>
                  <w:vAlign w:val="center"/>
                </w:tcPr>
                <w:p w14:paraId="55E739D7">
                  <w:pPr>
                    <w:pStyle w:val="30"/>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环境准入条件</w:t>
                  </w:r>
                </w:p>
              </w:tc>
            </w:tr>
            <w:tr w14:paraId="2A224D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restart"/>
                  <w:tcBorders>
                    <w:tl2br w:val="nil"/>
                    <w:tr2bl w:val="nil"/>
                  </w:tcBorders>
                  <w:vAlign w:val="center"/>
                </w:tcPr>
                <w:p w14:paraId="2AE1382A">
                  <w:pPr>
                    <w:pStyle w:val="30"/>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产业准入</w:t>
                  </w:r>
                </w:p>
              </w:tc>
              <w:tc>
                <w:tcPr>
                  <w:tcW w:w="465" w:type="pct"/>
                  <w:tcBorders>
                    <w:tl2br w:val="nil"/>
                    <w:tr2bl w:val="nil"/>
                  </w:tcBorders>
                  <w:vAlign w:val="center"/>
                </w:tcPr>
                <w:p w14:paraId="5BA2DAC4">
                  <w:pPr>
                    <w:pStyle w:val="30"/>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主导产业</w:t>
                  </w:r>
                </w:p>
              </w:tc>
              <w:tc>
                <w:tcPr>
                  <w:tcW w:w="4278" w:type="pct"/>
                  <w:tcBorders>
                    <w:tl2br w:val="nil"/>
                    <w:tr2bl w:val="nil"/>
                  </w:tcBorders>
                  <w:vAlign w:val="center"/>
                </w:tcPr>
                <w:p w14:paraId="58F246BC">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主要发展装备制造、纺织服装、电子信息、绿色食品4大主导产业。保留符合上一轮规划产业定位的企业，禁止引进建材、医药等行业企业。</w:t>
                  </w:r>
                </w:p>
              </w:tc>
            </w:tr>
            <w:tr w14:paraId="0C302E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53B91940">
                  <w:pPr>
                    <w:pStyle w:val="30"/>
                    <w:bidi w:val="0"/>
                    <w:rPr>
                      <w:rFonts w:hint="default" w:ascii="Times New Roman" w:hAnsi="Times New Roman" w:cs="Times New Roman"/>
                      <w:b w:val="0"/>
                      <w:bCs w:val="0"/>
                      <w:color w:val="auto"/>
                      <w:lang w:val="en-US" w:eastAsia="zh-CN"/>
                    </w:rPr>
                  </w:pPr>
                </w:p>
              </w:tc>
              <w:tc>
                <w:tcPr>
                  <w:tcW w:w="465" w:type="pct"/>
                  <w:vMerge w:val="restart"/>
                  <w:tcBorders>
                    <w:tl2br w:val="nil"/>
                    <w:tr2bl w:val="nil"/>
                  </w:tcBorders>
                  <w:vAlign w:val="center"/>
                </w:tcPr>
                <w:p w14:paraId="1A86AD96">
                  <w:pPr>
                    <w:pStyle w:val="30"/>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禁止引入</w:t>
                  </w:r>
                </w:p>
              </w:tc>
              <w:tc>
                <w:tcPr>
                  <w:tcW w:w="4278" w:type="pct"/>
                  <w:tcBorders>
                    <w:tl2br w:val="nil"/>
                    <w:tr2bl w:val="nil"/>
                  </w:tcBorders>
                  <w:vAlign w:val="center"/>
                </w:tcPr>
                <w:p w14:paraId="4961C7FE">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1、含酿造工艺的项目。</w:t>
                  </w:r>
                </w:p>
              </w:tc>
            </w:tr>
            <w:tr w14:paraId="6AB111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503E0F26">
                  <w:pPr>
                    <w:pStyle w:val="30"/>
                    <w:bidi w:val="0"/>
                    <w:rPr>
                      <w:rFonts w:hint="default" w:ascii="Times New Roman" w:hAnsi="Times New Roman" w:cs="Times New Roman"/>
                      <w:b w:val="0"/>
                      <w:bCs w:val="0"/>
                      <w:color w:val="auto"/>
                      <w:lang w:val="en-US" w:eastAsia="zh-CN"/>
                    </w:rPr>
                  </w:pPr>
                </w:p>
              </w:tc>
              <w:tc>
                <w:tcPr>
                  <w:tcW w:w="465" w:type="pct"/>
                  <w:vMerge w:val="continue"/>
                  <w:tcBorders>
                    <w:tl2br w:val="nil"/>
                    <w:tr2bl w:val="nil"/>
                  </w:tcBorders>
                  <w:vAlign w:val="center"/>
                </w:tcPr>
                <w:p w14:paraId="303EB4D4">
                  <w:pPr>
                    <w:pStyle w:val="30"/>
                    <w:bidi w:val="0"/>
                    <w:rPr>
                      <w:rFonts w:hint="default" w:ascii="Times New Roman" w:hAnsi="Times New Roman" w:cs="Times New Roman"/>
                      <w:b w:val="0"/>
                      <w:bCs w:val="0"/>
                      <w:color w:val="auto"/>
                      <w:lang w:val="en-US" w:eastAsia="zh-CN"/>
                    </w:rPr>
                  </w:pPr>
                </w:p>
              </w:tc>
              <w:tc>
                <w:tcPr>
                  <w:tcW w:w="4278" w:type="pct"/>
                  <w:tcBorders>
                    <w:tl2br w:val="nil"/>
                    <w:tr2bl w:val="nil"/>
                  </w:tcBorders>
                  <w:vAlign w:val="center"/>
                </w:tcPr>
                <w:p w14:paraId="75CAF129">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2、使用高VOCs含量的溶剂型涂料、油墨、</w:t>
                  </w:r>
                  <w:r>
                    <w:rPr>
                      <w:rFonts w:hint="eastAsia" w:ascii="Times New Roman" w:cs="Times New Roman"/>
                      <w:color w:val="auto"/>
                      <w:lang w:val="en-US" w:eastAsia="zh-CN"/>
                    </w:rPr>
                    <w:t>胶黏剂</w:t>
                  </w:r>
                  <w:r>
                    <w:rPr>
                      <w:rFonts w:hint="default" w:ascii="Times New Roman" w:hAnsi="Times New Roman" w:cs="Times New Roman"/>
                      <w:color w:val="auto"/>
                      <w:lang w:val="en-US" w:eastAsia="zh-CN"/>
                    </w:rPr>
                    <w:t>等项目。</w:t>
                  </w:r>
                </w:p>
              </w:tc>
            </w:tr>
            <w:tr w14:paraId="0693B3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5FF04283">
                  <w:pPr>
                    <w:pStyle w:val="30"/>
                    <w:bidi w:val="0"/>
                    <w:rPr>
                      <w:rFonts w:hint="default" w:ascii="Times New Roman" w:hAnsi="Times New Roman" w:cs="Times New Roman"/>
                      <w:b w:val="0"/>
                      <w:bCs w:val="0"/>
                      <w:color w:val="auto"/>
                      <w:lang w:val="en-US" w:eastAsia="zh-CN"/>
                    </w:rPr>
                  </w:pPr>
                </w:p>
              </w:tc>
              <w:tc>
                <w:tcPr>
                  <w:tcW w:w="465" w:type="pct"/>
                  <w:vMerge w:val="continue"/>
                  <w:tcBorders>
                    <w:tl2br w:val="nil"/>
                    <w:tr2bl w:val="nil"/>
                  </w:tcBorders>
                  <w:vAlign w:val="center"/>
                </w:tcPr>
                <w:p w14:paraId="347B63A3">
                  <w:pPr>
                    <w:pStyle w:val="30"/>
                    <w:bidi w:val="0"/>
                    <w:rPr>
                      <w:rFonts w:hint="default" w:ascii="Times New Roman" w:hAnsi="Times New Roman" w:cs="Times New Roman"/>
                      <w:b w:val="0"/>
                      <w:bCs w:val="0"/>
                      <w:color w:val="auto"/>
                      <w:lang w:val="en-US" w:eastAsia="zh-CN"/>
                    </w:rPr>
                  </w:pPr>
                </w:p>
              </w:tc>
              <w:tc>
                <w:tcPr>
                  <w:tcW w:w="4278" w:type="pct"/>
                  <w:tcBorders>
                    <w:tl2br w:val="nil"/>
                    <w:tr2bl w:val="nil"/>
                  </w:tcBorders>
                  <w:vAlign w:val="center"/>
                </w:tcPr>
                <w:p w14:paraId="6726109A">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3、新建排放铅、汞、铬、镉和类金属砷的项目。</w:t>
                  </w:r>
                </w:p>
              </w:tc>
            </w:tr>
            <w:tr w14:paraId="624802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2F9ABAFF">
                  <w:pPr>
                    <w:pStyle w:val="30"/>
                    <w:bidi w:val="0"/>
                    <w:rPr>
                      <w:rFonts w:hint="default" w:ascii="Times New Roman" w:hAnsi="Times New Roman" w:cs="Times New Roman"/>
                      <w:b w:val="0"/>
                      <w:bCs w:val="0"/>
                      <w:color w:val="auto"/>
                      <w:lang w:val="en-US" w:eastAsia="zh-CN"/>
                    </w:rPr>
                  </w:pPr>
                </w:p>
              </w:tc>
              <w:tc>
                <w:tcPr>
                  <w:tcW w:w="465" w:type="pct"/>
                  <w:vMerge w:val="continue"/>
                  <w:tcBorders>
                    <w:tl2br w:val="nil"/>
                    <w:tr2bl w:val="nil"/>
                  </w:tcBorders>
                  <w:vAlign w:val="center"/>
                </w:tcPr>
                <w:p w14:paraId="471B7E6B">
                  <w:pPr>
                    <w:pStyle w:val="30"/>
                    <w:bidi w:val="0"/>
                    <w:rPr>
                      <w:rFonts w:hint="default" w:ascii="Times New Roman" w:hAnsi="Times New Roman" w:cs="Times New Roman"/>
                      <w:b w:val="0"/>
                      <w:bCs w:val="0"/>
                      <w:color w:val="auto"/>
                      <w:lang w:val="en-US" w:eastAsia="zh-CN"/>
                    </w:rPr>
                  </w:pPr>
                </w:p>
              </w:tc>
              <w:tc>
                <w:tcPr>
                  <w:tcW w:w="4278" w:type="pct"/>
                  <w:tcBorders>
                    <w:tl2br w:val="nil"/>
                    <w:tr2bl w:val="nil"/>
                  </w:tcBorders>
                  <w:vAlign w:val="center"/>
                </w:tcPr>
                <w:p w14:paraId="73CF562B">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4、属于《淮河流域水污染防治暂行条例》中禁止的项目。</w:t>
                  </w:r>
                </w:p>
              </w:tc>
            </w:tr>
            <w:tr w14:paraId="38144E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 w:type="pct"/>
                  <w:vMerge w:val="continue"/>
                  <w:tcBorders>
                    <w:tl2br w:val="nil"/>
                    <w:tr2bl w:val="nil"/>
                  </w:tcBorders>
                  <w:vAlign w:val="center"/>
                </w:tcPr>
                <w:p w14:paraId="65D8CAA1">
                  <w:pPr>
                    <w:pStyle w:val="30"/>
                    <w:bidi w:val="0"/>
                    <w:rPr>
                      <w:rFonts w:hint="default" w:ascii="Times New Roman" w:hAnsi="Times New Roman" w:cs="Times New Roman"/>
                      <w:b w:val="0"/>
                      <w:bCs w:val="0"/>
                      <w:color w:val="auto"/>
                      <w:lang w:val="en-US" w:eastAsia="zh-CN"/>
                    </w:rPr>
                  </w:pPr>
                </w:p>
              </w:tc>
              <w:tc>
                <w:tcPr>
                  <w:tcW w:w="465" w:type="pct"/>
                  <w:vMerge w:val="continue"/>
                  <w:tcBorders>
                    <w:tl2br w:val="nil"/>
                    <w:tr2bl w:val="nil"/>
                  </w:tcBorders>
                  <w:vAlign w:val="center"/>
                </w:tcPr>
                <w:p w14:paraId="68F69A5F">
                  <w:pPr>
                    <w:pStyle w:val="30"/>
                    <w:bidi w:val="0"/>
                    <w:rPr>
                      <w:rFonts w:hint="default" w:ascii="Times New Roman" w:hAnsi="Times New Roman" w:cs="Times New Roman"/>
                      <w:b w:val="0"/>
                      <w:bCs w:val="0"/>
                      <w:color w:val="auto"/>
                      <w:lang w:val="en-US" w:eastAsia="zh-CN"/>
                    </w:rPr>
                  </w:pPr>
                </w:p>
              </w:tc>
              <w:tc>
                <w:tcPr>
                  <w:tcW w:w="4278" w:type="pct"/>
                  <w:tcBorders>
                    <w:tl2br w:val="nil"/>
                    <w:tr2bl w:val="nil"/>
                  </w:tcBorders>
                  <w:vAlign w:val="center"/>
                </w:tcPr>
                <w:p w14:paraId="6D3F8C35">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5、属于《环境保护综合名录（2021年版</w:t>
                  </w:r>
                  <w:r>
                    <w:rPr>
                      <w:rFonts w:hint="eastAsia" w:ascii="Times New Roman" w:cs="Times New Roman"/>
                      <w:color w:val="auto"/>
                      <w:lang w:val="en-US" w:eastAsia="zh-CN"/>
                    </w:rPr>
                    <w:t>）</w:t>
                  </w:r>
                  <w:r>
                    <w:rPr>
                      <w:rFonts w:hint="default" w:ascii="Times New Roman" w:hAnsi="Times New Roman" w:cs="Times New Roman"/>
                      <w:color w:val="auto"/>
                      <w:lang w:val="en-US" w:eastAsia="zh-CN"/>
                    </w:rPr>
                    <w:t>》中</w:t>
                  </w:r>
                  <w:r>
                    <w:rPr>
                      <w:rFonts w:hint="eastAsia" w:ascii="Times New Roman" w:cs="Times New Roman"/>
                      <w:color w:val="auto"/>
                      <w:lang w:val="en-US" w:eastAsia="zh-CN"/>
                    </w:rPr>
                    <w:t>“</w:t>
                  </w:r>
                  <w:r>
                    <w:rPr>
                      <w:rFonts w:hint="default" w:ascii="Times New Roman" w:hAnsi="Times New Roman" w:cs="Times New Roman"/>
                      <w:color w:val="auto"/>
                      <w:lang w:val="en-US" w:eastAsia="zh-CN"/>
                    </w:rPr>
                    <w:t>高污染、高环境风险</w:t>
                  </w:r>
                  <w:r>
                    <w:rPr>
                      <w:rFonts w:hint="eastAsia" w:ascii="Times New Roman" w:cs="Times New Roman"/>
                      <w:color w:val="auto"/>
                      <w:lang w:val="en-US" w:eastAsia="zh-CN"/>
                    </w:rPr>
                    <w:t>”</w:t>
                  </w:r>
                  <w:r>
                    <w:rPr>
                      <w:rFonts w:hint="default" w:ascii="Times New Roman" w:hAnsi="Times New Roman" w:cs="Times New Roman"/>
                      <w:color w:val="auto"/>
                      <w:lang w:val="en-US" w:eastAsia="zh-CN"/>
                    </w:rPr>
                    <w:t>产品名录的项目；国家和地方产业政策规定的淘汰类或禁止类的建设项目和工艺。</w:t>
                  </w:r>
                </w:p>
              </w:tc>
            </w:tr>
            <w:tr w14:paraId="419D51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1B44870B">
                  <w:pPr>
                    <w:pStyle w:val="30"/>
                    <w:bidi w:val="0"/>
                    <w:rPr>
                      <w:rFonts w:hint="default" w:ascii="Times New Roman" w:hAnsi="Times New Roman" w:cs="Times New Roman"/>
                      <w:b w:val="0"/>
                      <w:bCs w:val="0"/>
                      <w:color w:val="auto"/>
                      <w:lang w:val="en-US" w:eastAsia="zh-CN"/>
                    </w:rPr>
                  </w:pPr>
                </w:p>
              </w:tc>
              <w:tc>
                <w:tcPr>
                  <w:tcW w:w="465" w:type="pct"/>
                  <w:vMerge w:val="restart"/>
                  <w:tcBorders>
                    <w:tl2br w:val="nil"/>
                    <w:tr2bl w:val="nil"/>
                  </w:tcBorders>
                  <w:vAlign w:val="center"/>
                </w:tcPr>
                <w:p w14:paraId="33E58606">
                  <w:pPr>
                    <w:pStyle w:val="30"/>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限制引入</w:t>
                  </w:r>
                </w:p>
              </w:tc>
              <w:tc>
                <w:tcPr>
                  <w:tcW w:w="4278" w:type="pct"/>
                  <w:tcBorders>
                    <w:tl2br w:val="nil"/>
                    <w:tr2bl w:val="nil"/>
                  </w:tcBorders>
                  <w:vAlign w:val="center"/>
                </w:tcPr>
                <w:p w14:paraId="2C82C801">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1、《产业结构调整指导目录》及修订、《江苏省工业和信息产业结构调整限制淘汰目录和能耗限额》中限制项目。</w:t>
                  </w:r>
                </w:p>
              </w:tc>
            </w:tr>
            <w:tr w14:paraId="1DAFB0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3126FDBD">
                  <w:pPr>
                    <w:pStyle w:val="30"/>
                    <w:bidi w:val="0"/>
                    <w:rPr>
                      <w:rFonts w:hint="default" w:ascii="Times New Roman" w:hAnsi="Times New Roman" w:cs="Times New Roman"/>
                      <w:b w:val="0"/>
                      <w:bCs w:val="0"/>
                      <w:color w:val="auto"/>
                      <w:lang w:val="en-US" w:eastAsia="zh-CN"/>
                    </w:rPr>
                  </w:pPr>
                </w:p>
              </w:tc>
              <w:tc>
                <w:tcPr>
                  <w:tcW w:w="465" w:type="pct"/>
                  <w:vMerge w:val="continue"/>
                  <w:tcBorders>
                    <w:tl2br w:val="nil"/>
                    <w:tr2bl w:val="nil"/>
                  </w:tcBorders>
                  <w:vAlign w:val="center"/>
                </w:tcPr>
                <w:p w14:paraId="4428BE1B">
                  <w:pPr>
                    <w:pStyle w:val="30"/>
                    <w:bidi w:val="0"/>
                    <w:rPr>
                      <w:rFonts w:hint="default" w:ascii="Times New Roman" w:hAnsi="Times New Roman" w:cs="Times New Roman"/>
                      <w:b w:val="0"/>
                      <w:bCs w:val="0"/>
                      <w:color w:val="auto"/>
                      <w:lang w:val="en-US" w:eastAsia="zh-CN"/>
                    </w:rPr>
                  </w:pPr>
                </w:p>
              </w:tc>
              <w:tc>
                <w:tcPr>
                  <w:tcW w:w="4278" w:type="pct"/>
                  <w:tcBorders>
                    <w:tl2br w:val="nil"/>
                    <w:tr2bl w:val="nil"/>
                  </w:tcBorders>
                  <w:vAlign w:val="center"/>
                </w:tcPr>
                <w:p w14:paraId="4B2B5137">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2、污染治理措施达不到《挥发性有机物（VOCs）污染防治技术政策》、</w:t>
                  </w:r>
                </w:p>
                <w:p w14:paraId="307D95E9">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《江苏省重点行业挥发性有机物污染控制指南》等要求的项目。</w:t>
                  </w:r>
                </w:p>
              </w:tc>
            </w:tr>
            <w:tr w14:paraId="4C4791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6A763DAB">
                  <w:pPr>
                    <w:pStyle w:val="30"/>
                    <w:bidi w:val="0"/>
                    <w:rPr>
                      <w:rFonts w:hint="default" w:ascii="Times New Roman" w:hAnsi="Times New Roman" w:cs="Times New Roman"/>
                      <w:b w:val="0"/>
                      <w:bCs w:val="0"/>
                      <w:color w:val="auto"/>
                      <w:lang w:val="en-US" w:eastAsia="zh-CN"/>
                    </w:rPr>
                  </w:pPr>
                </w:p>
              </w:tc>
              <w:tc>
                <w:tcPr>
                  <w:tcW w:w="465" w:type="pct"/>
                  <w:vMerge w:val="continue"/>
                  <w:tcBorders>
                    <w:tl2br w:val="nil"/>
                    <w:tr2bl w:val="nil"/>
                  </w:tcBorders>
                  <w:vAlign w:val="center"/>
                </w:tcPr>
                <w:p w14:paraId="04DB9177">
                  <w:pPr>
                    <w:pStyle w:val="30"/>
                    <w:bidi w:val="0"/>
                    <w:rPr>
                      <w:rFonts w:hint="default" w:ascii="Times New Roman" w:hAnsi="Times New Roman" w:cs="Times New Roman"/>
                      <w:b w:val="0"/>
                      <w:bCs w:val="0"/>
                      <w:color w:val="auto"/>
                      <w:lang w:val="en-US" w:eastAsia="zh-CN"/>
                    </w:rPr>
                  </w:pPr>
                </w:p>
              </w:tc>
              <w:tc>
                <w:tcPr>
                  <w:tcW w:w="4278" w:type="pct"/>
                  <w:tcBorders>
                    <w:tl2br w:val="nil"/>
                    <w:tr2bl w:val="nil"/>
                  </w:tcBorders>
                  <w:vAlign w:val="center"/>
                </w:tcPr>
                <w:p w14:paraId="06B92560">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3、属于《淮河流域水污染防治暂行条例》中限制的项目。</w:t>
                  </w:r>
                </w:p>
              </w:tc>
            </w:tr>
            <w:tr w14:paraId="2BEB97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vAlign w:val="center"/>
                </w:tcPr>
                <w:p w14:paraId="122A1AB5">
                  <w:pPr>
                    <w:pStyle w:val="30"/>
                    <w:bidi w:val="0"/>
                    <w:rPr>
                      <w:rFonts w:hint="default" w:ascii="Times New Roman" w:hAnsi="Times New Roman" w:cs="Times New Roman"/>
                      <w:b w:val="0"/>
                      <w:bCs w:val="0"/>
                      <w:color w:val="auto"/>
                      <w:lang w:val="en-US" w:eastAsia="zh-CN"/>
                    </w:rPr>
                  </w:pPr>
                </w:p>
              </w:tc>
              <w:tc>
                <w:tcPr>
                  <w:tcW w:w="465" w:type="pct"/>
                  <w:vMerge w:val="continue"/>
                  <w:tcBorders>
                    <w:tl2br w:val="nil"/>
                    <w:tr2bl w:val="nil"/>
                  </w:tcBorders>
                  <w:vAlign w:val="center"/>
                </w:tcPr>
                <w:p w14:paraId="7E86A63F">
                  <w:pPr>
                    <w:pStyle w:val="30"/>
                    <w:bidi w:val="0"/>
                    <w:rPr>
                      <w:rFonts w:hint="default" w:ascii="Times New Roman" w:hAnsi="Times New Roman" w:cs="Times New Roman"/>
                      <w:b w:val="0"/>
                      <w:bCs w:val="0"/>
                      <w:color w:val="auto"/>
                      <w:lang w:val="en-US" w:eastAsia="zh-CN"/>
                    </w:rPr>
                  </w:pPr>
                </w:p>
              </w:tc>
              <w:tc>
                <w:tcPr>
                  <w:tcW w:w="4278" w:type="pct"/>
                  <w:tcBorders>
                    <w:tl2br w:val="nil"/>
                    <w:tr2bl w:val="nil"/>
                  </w:tcBorders>
                  <w:vAlign w:val="center"/>
                </w:tcPr>
                <w:p w14:paraId="09CA4A9E">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4、开发区印染排水量不得突破7000吨/日。</w:t>
                  </w:r>
                </w:p>
              </w:tc>
            </w:tr>
            <w:tr w14:paraId="11F520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1" w:type="pct"/>
                  <w:gridSpan w:val="2"/>
                  <w:vMerge w:val="restart"/>
                  <w:tcBorders>
                    <w:tl2br w:val="nil"/>
                    <w:tr2bl w:val="nil"/>
                  </w:tcBorders>
                  <w:vAlign w:val="center"/>
                </w:tcPr>
                <w:p w14:paraId="41D78A9B">
                  <w:pPr>
                    <w:pStyle w:val="30"/>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空间布局约束</w:t>
                  </w:r>
                </w:p>
              </w:tc>
              <w:tc>
                <w:tcPr>
                  <w:tcW w:w="4278" w:type="pct"/>
                  <w:tcBorders>
                    <w:tl2br w:val="nil"/>
                    <w:tr2bl w:val="nil"/>
                  </w:tcBorders>
                  <w:vAlign w:val="center"/>
                </w:tcPr>
                <w:p w14:paraId="21057F61">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落实江苏省、淮安市</w:t>
                  </w:r>
                  <w:r>
                    <w:rPr>
                      <w:rFonts w:hint="eastAsia" w:ascii="Times New Roman" w:cs="Times New Roman"/>
                      <w:color w:val="auto"/>
                      <w:lang w:val="en-US" w:eastAsia="zh-CN"/>
                    </w:rPr>
                    <w:t>“</w:t>
                  </w:r>
                  <w:r>
                    <w:rPr>
                      <w:rFonts w:hint="default" w:ascii="Times New Roman" w:hAnsi="Times New Roman" w:cs="Times New Roman"/>
                      <w:color w:val="auto"/>
                      <w:lang w:val="en-US" w:eastAsia="zh-CN"/>
                    </w:rPr>
                    <w:t>三线一单</w:t>
                  </w:r>
                  <w:r>
                    <w:rPr>
                      <w:rFonts w:hint="eastAsia" w:ascii="Times New Roman" w:cs="Times New Roman"/>
                      <w:color w:val="auto"/>
                      <w:lang w:val="en-US" w:eastAsia="zh-CN"/>
                    </w:rPr>
                    <w:t>”《</w:t>
                  </w:r>
                  <w:r>
                    <w:rPr>
                      <w:rFonts w:hint="default" w:ascii="Times New Roman" w:hAnsi="Times New Roman" w:cs="Times New Roman"/>
                      <w:color w:val="auto"/>
                      <w:lang w:val="en-US" w:eastAsia="zh-CN"/>
                    </w:rPr>
                    <w:t>江苏省生态空间管控区域规划</w:t>
                  </w:r>
                  <w:r>
                    <w:rPr>
                      <w:rFonts w:hint="eastAsia" w:ascii="Times New Roman" w:cs="Times New Roman"/>
                      <w:color w:val="auto"/>
                      <w:lang w:val="en-US" w:eastAsia="zh-CN"/>
                    </w:rPr>
                    <w:t>》《</w:t>
                  </w:r>
                  <w:r>
                    <w:rPr>
                      <w:rFonts w:hint="default" w:ascii="Times New Roman" w:hAnsi="Times New Roman" w:cs="Times New Roman"/>
                      <w:color w:val="auto"/>
                      <w:lang w:val="en-US" w:eastAsia="zh-CN"/>
                    </w:rPr>
                    <w:t>江苏省国家级生态保护红线规划</w:t>
                  </w:r>
                  <w:r>
                    <w:rPr>
                      <w:rFonts w:hint="eastAsia" w:ascii="Times New Roman" w:cs="Times New Roman"/>
                      <w:color w:val="auto"/>
                      <w:lang w:val="en-US" w:eastAsia="zh-CN"/>
                    </w:rPr>
                    <w:t>》等</w:t>
                  </w:r>
                  <w:r>
                    <w:rPr>
                      <w:rFonts w:hint="default" w:ascii="Times New Roman" w:hAnsi="Times New Roman" w:cs="Times New Roman"/>
                      <w:color w:val="auto"/>
                      <w:lang w:val="en-US" w:eastAsia="zh-CN"/>
                    </w:rPr>
                    <w:t>管控要求。</w:t>
                  </w:r>
                </w:p>
              </w:tc>
            </w:tr>
            <w:tr w14:paraId="717631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1" w:type="pct"/>
                  <w:gridSpan w:val="2"/>
                  <w:vMerge w:val="continue"/>
                  <w:tcBorders>
                    <w:tl2br w:val="nil"/>
                    <w:tr2bl w:val="nil"/>
                  </w:tcBorders>
                  <w:vAlign w:val="center"/>
                </w:tcPr>
                <w:p w14:paraId="0B557750">
                  <w:pPr>
                    <w:pStyle w:val="30"/>
                    <w:bidi w:val="0"/>
                    <w:rPr>
                      <w:rFonts w:hint="default" w:ascii="Times New Roman" w:hAnsi="Times New Roman" w:cs="Times New Roman"/>
                      <w:color w:val="auto"/>
                      <w:lang w:val="en-US" w:eastAsia="zh-CN"/>
                    </w:rPr>
                  </w:pPr>
                </w:p>
              </w:tc>
              <w:tc>
                <w:tcPr>
                  <w:tcW w:w="4278" w:type="pct"/>
                  <w:tcBorders>
                    <w:tl2br w:val="nil"/>
                    <w:tr2bl w:val="nil"/>
                  </w:tcBorders>
                  <w:vAlign w:val="center"/>
                </w:tcPr>
                <w:p w14:paraId="6C934FEA">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区内规划的水域和防护绿地，禁止与环境保护功能无关的建设活动。</w:t>
                  </w:r>
                </w:p>
              </w:tc>
            </w:tr>
            <w:tr w14:paraId="21B1B7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1" w:type="pct"/>
                  <w:gridSpan w:val="2"/>
                  <w:vMerge w:val="continue"/>
                  <w:tcBorders>
                    <w:tl2br w:val="nil"/>
                    <w:tr2bl w:val="nil"/>
                  </w:tcBorders>
                  <w:vAlign w:val="center"/>
                </w:tcPr>
                <w:p w14:paraId="6EFBF15A">
                  <w:pPr>
                    <w:pStyle w:val="30"/>
                    <w:bidi w:val="0"/>
                    <w:rPr>
                      <w:rFonts w:hint="default" w:ascii="Times New Roman" w:hAnsi="Times New Roman" w:cs="Times New Roman"/>
                      <w:color w:val="auto"/>
                      <w:lang w:val="en-US" w:eastAsia="zh-CN"/>
                    </w:rPr>
                  </w:pPr>
                </w:p>
              </w:tc>
              <w:tc>
                <w:tcPr>
                  <w:tcW w:w="4278" w:type="pct"/>
                  <w:tcBorders>
                    <w:tl2br w:val="nil"/>
                    <w:tr2bl w:val="nil"/>
                  </w:tcBorders>
                  <w:vAlign w:val="center"/>
                </w:tcPr>
                <w:p w14:paraId="6213F0D3">
                  <w:pPr>
                    <w:pStyle w:val="30"/>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工业用地与居住用地、商住混合用地、学校之间须设置适当的空间隔离带。</w:t>
                  </w:r>
                </w:p>
              </w:tc>
            </w:tr>
          </w:tbl>
          <w:p w14:paraId="3D789977">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Times New Roman" w:hAnsi="Times New Roman" w:eastAsia="宋体"/>
                <w:b w:val="0"/>
                <w:color w:val="auto"/>
                <w:sz w:val="24"/>
                <w:lang w:eastAsia="zh-CN"/>
              </w:rPr>
            </w:pPr>
            <w:r>
              <w:rPr>
                <w:rFonts w:hint="eastAsia" w:ascii="Times New Roman" w:hAnsi="Times New Roman"/>
                <w:b w:val="0"/>
                <w:color w:val="auto"/>
                <w:sz w:val="24"/>
              </w:rPr>
              <w:t>本项目为</w:t>
            </w:r>
            <w:r>
              <w:rPr>
                <w:rFonts w:hint="eastAsia" w:ascii="Times New Roman" w:hAnsi="Times New Roman"/>
                <w:b w:val="0"/>
                <w:color w:val="auto"/>
                <w:sz w:val="24"/>
                <w:lang w:val="en-US" w:eastAsia="zh-CN"/>
              </w:rPr>
              <w:t>江苏鑫宇建材科技有限公司玻璃加工项目</w:t>
            </w:r>
            <w:r>
              <w:rPr>
                <w:rFonts w:hint="eastAsia" w:ascii="Times New Roman" w:hAnsi="Times New Roman"/>
                <w:b w:val="0"/>
                <w:color w:val="auto"/>
                <w:sz w:val="24"/>
              </w:rPr>
              <w:t>，行业类别属于</w:t>
            </w:r>
            <w:r>
              <w:rPr>
                <w:rFonts w:hint="eastAsia" w:ascii="Times New Roman" w:hAnsi="Times New Roman"/>
                <w:b w:val="0"/>
                <w:color w:val="auto"/>
                <w:sz w:val="24"/>
                <w:lang w:eastAsia="zh-CN"/>
              </w:rPr>
              <w:t>C3042 特种玻璃制造</w:t>
            </w:r>
            <w:r>
              <w:rPr>
                <w:rFonts w:hint="eastAsia" w:ascii="Times New Roman" w:hAnsi="Times New Roman"/>
                <w:b w:val="0"/>
                <w:color w:val="auto"/>
                <w:sz w:val="24"/>
              </w:rPr>
              <w:t>，本项目不属于园区主导产业，也不属于园区禁止引入和</w:t>
            </w:r>
            <w:r>
              <w:rPr>
                <w:rFonts w:hint="eastAsia" w:ascii="Times New Roman" w:hAnsi="Times New Roman"/>
                <w:b w:val="0"/>
                <w:color w:val="auto"/>
                <w:sz w:val="24"/>
                <w:lang w:val="en-US" w:eastAsia="zh-CN"/>
              </w:rPr>
              <w:t>限制</w:t>
            </w:r>
            <w:r>
              <w:rPr>
                <w:rFonts w:hint="eastAsia" w:ascii="Times New Roman" w:hAnsi="Times New Roman"/>
                <w:b w:val="0"/>
                <w:color w:val="auto"/>
                <w:sz w:val="24"/>
              </w:rPr>
              <w:t>引入的产业，属于允许引</w:t>
            </w:r>
            <w:r>
              <w:rPr>
                <w:rFonts w:hint="eastAsia" w:ascii="Times New Roman" w:hAnsi="Times New Roman"/>
                <w:b w:val="0"/>
                <w:color w:val="auto"/>
                <w:sz w:val="24"/>
                <w:lang w:eastAsia="zh-CN"/>
              </w:rPr>
              <w:t>入的</w:t>
            </w:r>
            <w:r>
              <w:rPr>
                <w:rFonts w:hint="eastAsia" w:ascii="Times New Roman" w:hAnsi="Times New Roman"/>
                <w:b w:val="0"/>
                <w:color w:val="auto"/>
                <w:sz w:val="24"/>
              </w:rPr>
              <w:t>产业，符合园区产业准入条件，项目位于江苏</w:t>
            </w:r>
            <w:r>
              <w:rPr>
                <w:rFonts w:hint="eastAsia" w:ascii="Times New Roman" w:hAnsi="Times New Roman"/>
                <w:b w:val="0"/>
                <w:color w:val="auto"/>
                <w:sz w:val="24"/>
                <w:lang w:eastAsia="zh-CN"/>
              </w:rPr>
              <w:t>涟水县经济开发区淮浦北路东侧、兴隆路南侧</w:t>
            </w:r>
            <w:r>
              <w:rPr>
                <w:rFonts w:hint="eastAsia" w:ascii="Times New Roman" w:hAnsi="Times New Roman"/>
                <w:b w:val="0"/>
                <w:color w:val="auto"/>
                <w:sz w:val="24"/>
              </w:rPr>
              <w:t>，属于工业用地，符合园区用地规划要求</w:t>
            </w:r>
            <w:r>
              <w:rPr>
                <w:rFonts w:hint="eastAsia" w:ascii="Times New Roman" w:hAnsi="Times New Roman"/>
                <w:b w:val="0"/>
                <w:color w:val="auto"/>
                <w:sz w:val="24"/>
                <w:lang w:eastAsia="zh-CN"/>
              </w:rPr>
              <w:t>。</w:t>
            </w:r>
          </w:p>
          <w:p w14:paraId="418AA6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z w:val="24"/>
                <w:szCs w:val="24"/>
              </w:rPr>
            </w:pPr>
            <w:r>
              <w:rPr>
                <w:rFonts w:hint="eastAsia"/>
                <w:b w:val="0"/>
                <w:bCs w:val="0"/>
                <w:color w:val="auto"/>
                <w:sz w:val="24"/>
                <w:szCs w:val="24"/>
                <w:lang w:val="en-US" w:eastAsia="zh-CN"/>
              </w:rPr>
              <w:t>3</w:t>
            </w:r>
            <w:r>
              <w:rPr>
                <w:rFonts w:hint="eastAsia"/>
                <w:b w:val="0"/>
                <w:bCs w:val="0"/>
                <w:color w:val="auto"/>
                <w:sz w:val="24"/>
                <w:szCs w:val="24"/>
              </w:rPr>
              <w:t>、</w:t>
            </w:r>
            <w:r>
              <w:rPr>
                <w:b w:val="0"/>
                <w:bCs w:val="0"/>
                <w:color w:val="auto"/>
                <w:sz w:val="24"/>
                <w:szCs w:val="24"/>
              </w:rPr>
              <w:t>与园区规划环评审查意见相符性分析</w:t>
            </w:r>
          </w:p>
          <w:p w14:paraId="7C3C9A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color w:val="auto"/>
                <w:sz w:val="24"/>
                <w:szCs w:val="24"/>
              </w:rPr>
              <w:t>涟水</w:t>
            </w:r>
            <w:r>
              <w:rPr>
                <w:rFonts w:hint="eastAsia"/>
                <w:color w:val="auto"/>
                <w:sz w:val="24"/>
                <w:szCs w:val="24"/>
                <w:lang w:val="en-US" w:eastAsia="zh-CN"/>
              </w:rPr>
              <w:t>经济</w:t>
            </w:r>
            <w:r>
              <w:rPr>
                <w:color w:val="auto"/>
                <w:sz w:val="24"/>
                <w:szCs w:val="24"/>
              </w:rPr>
              <w:t>开发区于20</w:t>
            </w:r>
            <w:r>
              <w:rPr>
                <w:rFonts w:hint="eastAsia"/>
                <w:color w:val="auto"/>
                <w:sz w:val="24"/>
                <w:szCs w:val="24"/>
                <w:lang w:val="en-US" w:eastAsia="zh-CN"/>
              </w:rPr>
              <w:t>23</w:t>
            </w:r>
            <w:r>
              <w:rPr>
                <w:color w:val="auto"/>
                <w:sz w:val="24"/>
                <w:szCs w:val="24"/>
              </w:rPr>
              <w:t>年</w:t>
            </w:r>
            <w:r>
              <w:rPr>
                <w:rFonts w:hint="eastAsia"/>
                <w:color w:val="auto"/>
                <w:sz w:val="24"/>
                <w:szCs w:val="24"/>
                <w:lang w:val="en-US" w:eastAsia="zh-CN"/>
              </w:rPr>
              <w:t>10</w:t>
            </w:r>
            <w:r>
              <w:rPr>
                <w:color w:val="auto"/>
                <w:sz w:val="24"/>
                <w:szCs w:val="24"/>
              </w:rPr>
              <w:t>月取得了江苏省环保厅《关于江苏涟水经济开发区</w:t>
            </w:r>
            <w:r>
              <w:rPr>
                <w:rFonts w:hint="eastAsia"/>
                <w:color w:val="auto"/>
                <w:sz w:val="24"/>
                <w:szCs w:val="24"/>
                <w:lang w:val="en-US" w:eastAsia="zh-CN"/>
              </w:rPr>
              <w:t>开发建设规划（2022—2035年）环境影响报告书</w:t>
            </w:r>
            <w:r>
              <w:rPr>
                <w:color w:val="auto"/>
                <w:sz w:val="24"/>
                <w:szCs w:val="24"/>
              </w:rPr>
              <w:t>的</w:t>
            </w:r>
            <w:r>
              <w:rPr>
                <w:rFonts w:hint="eastAsia"/>
                <w:color w:val="auto"/>
                <w:sz w:val="24"/>
                <w:szCs w:val="24"/>
                <w:lang w:val="en-US" w:eastAsia="zh-CN"/>
              </w:rPr>
              <w:t>审查</w:t>
            </w:r>
            <w:r>
              <w:rPr>
                <w:color w:val="auto"/>
                <w:sz w:val="24"/>
                <w:szCs w:val="24"/>
              </w:rPr>
              <w:t>意见》</w:t>
            </w:r>
            <w:r>
              <w:rPr>
                <w:rFonts w:hint="eastAsia"/>
                <w:color w:val="auto"/>
                <w:sz w:val="24"/>
                <w:szCs w:val="24"/>
                <w:lang w:eastAsia="zh-CN"/>
              </w:rPr>
              <w:t>（</w:t>
            </w:r>
            <w:r>
              <w:rPr>
                <w:color w:val="auto"/>
                <w:sz w:val="24"/>
                <w:szCs w:val="24"/>
              </w:rPr>
              <w:t>苏环审</w:t>
            </w:r>
            <w:r>
              <w:rPr>
                <w:rFonts w:hint="eastAsia"/>
                <w:color w:val="auto"/>
                <w:sz w:val="24"/>
                <w:szCs w:val="24"/>
                <w:lang w:eastAsia="zh-CN"/>
              </w:rPr>
              <w:t>〔</w:t>
            </w:r>
            <w:r>
              <w:rPr>
                <w:color w:val="auto"/>
                <w:sz w:val="24"/>
                <w:szCs w:val="24"/>
              </w:rPr>
              <w:t>20</w:t>
            </w:r>
            <w:r>
              <w:rPr>
                <w:rFonts w:hint="eastAsia"/>
                <w:color w:val="auto"/>
                <w:sz w:val="24"/>
                <w:szCs w:val="24"/>
                <w:lang w:val="en-US" w:eastAsia="zh-CN"/>
              </w:rPr>
              <w:t>23</w:t>
            </w:r>
            <w:r>
              <w:rPr>
                <w:rFonts w:hint="eastAsia"/>
                <w:color w:val="auto"/>
                <w:sz w:val="24"/>
                <w:szCs w:val="24"/>
                <w:lang w:eastAsia="zh-CN"/>
              </w:rPr>
              <w:t>〕</w:t>
            </w:r>
            <w:r>
              <w:rPr>
                <w:rFonts w:hint="eastAsia"/>
                <w:color w:val="auto"/>
                <w:sz w:val="24"/>
                <w:szCs w:val="24"/>
                <w:lang w:val="en-US" w:eastAsia="zh-CN"/>
              </w:rPr>
              <w:t>8</w:t>
            </w:r>
            <w:r>
              <w:rPr>
                <w:color w:val="auto"/>
                <w:sz w:val="24"/>
                <w:szCs w:val="24"/>
              </w:rPr>
              <w:t>1号</w:t>
            </w:r>
            <w:r>
              <w:rPr>
                <w:rFonts w:hint="eastAsia"/>
                <w:color w:val="auto"/>
                <w:sz w:val="24"/>
                <w:szCs w:val="24"/>
                <w:lang w:eastAsia="zh-CN"/>
              </w:rPr>
              <w:t>），</w:t>
            </w:r>
            <w:r>
              <w:rPr>
                <w:rFonts w:hint="eastAsia"/>
                <w:color w:val="auto"/>
                <w:sz w:val="24"/>
                <w:szCs w:val="24"/>
                <w:lang w:val="en-US" w:eastAsia="zh-CN"/>
              </w:rPr>
              <w:t>本项目与</w:t>
            </w:r>
            <w:r>
              <w:rPr>
                <w:color w:val="auto"/>
                <w:sz w:val="24"/>
                <w:szCs w:val="24"/>
              </w:rPr>
              <w:t>审查意见相符性分析见下表。</w:t>
            </w:r>
          </w:p>
          <w:p w14:paraId="6B9075A4">
            <w:pPr>
              <w:pStyle w:val="51"/>
              <w:keepNext w:val="0"/>
              <w:keepLines w:val="0"/>
              <w:pageBreakBefore w:val="0"/>
              <w:widowControl/>
              <w:kinsoku/>
              <w:wordWrap/>
              <w:overflowPunct/>
              <w:topLinePunct w:val="0"/>
              <w:autoSpaceDE/>
              <w:autoSpaceDN/>
              <w:bidi w:val="0"/>
              <w:adjustRightInd/>
              <w:snapToGrid/>
              <w:textAlignment w:val="auto"/>
              <w:rPr>
                <w:color w:val="auto"/>
              </w:rPr>
            </w:pPr>
            <w:r>
              <w:rPr>
                <w:color w:val="auto"/>
              </w:rPr>
              <w:t>表1-</w:t>
            </w:r>
            <w:r>
              <w:rPr>
                <w:rFonts w:hint="eastAsia"/>
                <w:color w:val="auto"/>
                <w:lang w:val="en-US" w:eastAsia="zh-CN"/>
              </w:rPr>
              <w:t>2</w:t>
            </w:r>
            <w:r>
              <w:rPr>
                <w:color w:val="auto"/>
              </w:rPr>
              <w:t xml:space="preserve"> </w:t>
            </w:r>
            <w:r>
              <w:rPr>
                <w:rFonts w:hint="eastAsia"/>
                <w:color w:val="auto"/>
                <w:lang w:val="en-US" w:eastAsia="zh-CN"/>
              </w:rPr>
              <w:t xml:space="preserve"> </w:t>
            </w:r>
            <w:r>
              <w:rPr>
                <w:color w:val="auto"/>
              </w:rPr>
              <w:t>审查意见与本项目相符性分析</w:t>
            </w:r>
          </w:p>
          <w:tbl>
            <w:tblPr>
              <w:tblStyle w:val="22"/>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
              <w:gridCol w:w="4644"/>
              <w:gridCol w:w="2040"/>
              <w:gridCol w:w="663"/>
            </w:tblGrid>
            <w:tr w14:paraId="3EBC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top w:val="single" w:color="auto" w:sz="12" w:space="0"/>
                    <w:left w:val="nil"/>
                    <w:bottom w:val="single" w:color="auto" w:sz="8" w:space="0"/>
                  </w:tcBorders>
                  <w:noWrap w:val="0"/>
                  <w:vAlign w:val="center"/>
                </w:tcPr>
                <w:p w14:paraId="262AC9D2">
                  <w:pPr>
                    <w:pStyle w:val="30"/>
                    <w:bidi w:val="0"/>
                    <w:rPr>
                      <w:rFonts w:hint="default" w:ascii="Times New Roman" w:hAnsi="Times New Roman" w:cs="Times New Roman"/>
                      <w:color w:val="auto"/>
                    </w:rPr>
                  </w:pPr>
                  <w:r>
                    <w:rPr>
                      <w:rFonts w:hint="default" w:ascii="Times New Roman" w:hAnsi="Times New Roman" w:cs="Times New Roman"/>
                      <w:color w:val="auto"/>
                    </w:rPr>
                    <w:t>序号</w:t>
                  </w:r>
                </w:p>
              </w:tc>
              <w:tc>
                <w:tcPr>
                  <w:tcW w:w="3028" w:type="pct"/>
                  <w:tcBorders>
                    <w:top w:val="single" w:color="auto" w:sz="12" w:space="0"/>
                    <w:bottom w:val="single" w:color="auto" w:sz="8" w:space="0"/>
                  </w:tcBorders>
                  <w:noWrap w:val="0"/>
                  <w:vAlign w:val="center"/>
                </w:tcPr>
                <w:p w14:paraId="6A7C54E1">
                  <w:pPr>
                    <w:pStyle w:val="30"/>
                    <w:bidi w:val="0"/>
                    <w:rPr>
                      <w:rFonts w:hint="default" w:ascii="Times New Roman" w:hAnsi="Times New Roman" w:cs="Times New Roman"/>
                      <w:color w:val="auto"/>
                    </w:rPr>
                  </w:pPr>
                  <w:r>
                    <w:rPr>
                      <w:rFonts w:hint="default" w:ascii="Times New Roman" w:hAnsi="Times New Roman" w:cs="Times New Roman"/>
                      <w:color w:val="auto"/>
                    </w:rPr>
                    <w:t>审查意见</w:t>
                  </w:r>
                </w:p>
              </w:tc>
              <w:tc>
                <w:tcPr>
                  <w:tcW w:w="1330" w:type="pct"/>
                  <w:tcBorders>
                    <w:top w:val="single" w:color="auto" w:sz="12" w:space="0"/>
                    <w:bottom w:val="single" w:color="auto" w:sz="8" w:space="0"/>
                  </w:tcBorders>
                  <w:noWrap w:val="0"/>
                  <w:vAlign w:val="center"/>
                </w:tcPr>
                <w:p w14:paraId="5D2B9B9D">
                  <w:pPr>
                    <w:pStyle w:val="30"/>
                    <w:bidi w:val="0"/>
                    <w:rPr>
                      <w:rFonts w:hint="default" w:ascii="Times New Roman" w:hAnsi="Times New Roman" w:cs="Times New Roman"/>
                      <w:color w:val="auto"/>
                    </w:rPr>
                  </w:pPr>
                  <w:r>
                    <w:rPr>
                      <w:rFonts w:hint="default" w:ascii="Times New Roman" w:hAnsi="Times New Roman" w:cs="Times New Roman"/>
                      <w:color w:val="auto"/>
                    </w:rPr>
                    <w:t>本项目</w:t>
                  </w:r>
                </w:p>
              </w:tc>
              <w:tc>
                <w:tcPr>
                  <w:tcW w:w="432" w:type="pct"/>
                  <w:tcBorders>
                    <w:top w:val="single" w:color="auto" w:sz="12" w:space="0"/>
                    <w:bottom w:val="single" w:color="auto" w:sz="8" w:space="0"/>
                    <w:right w:val="nil"/>
                  </w:tcBorders>
                  <w:noWrap w:val="0"/>
                  <w:vAlign w:val="center"/>
                </w:tcPr>
                <w:p w14:paraId="078384E6">
                  <w:pPr>
                    <w:pStyle w:val="30"/>
                    <w:bidi w:val="0"/>
                    <w:rPr>
                      <w:rFonts w:hint="default" w:ascii="Times New Roman" w:hAnsi="Times New Roman" w:cs="Times New Roman"/>
                      <w:color w:val="auto"/>
                    </w:rPr>
                  </w:pPr>
                  <w:r>
                    <w:rPr>
                      <w:rFonts w:hint="default" w:ascii="Times New Roman" w:hAnsi="Times New Roman" w:cs="Times New Roman"/>
                      <w:color w:val="auto"/>
                    </w:rPr>
                    <w:t>是否符合</w:t>
                  </w:r>
                </w:p>
              </w:tc>
            </w:tr>
            <w:tr w14:paraId="4A20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top w:val="single" w:color="auto" w:sz="8" w:space="0"/>
                    <w:left w:val="nil"/>
                  </w:tcBorders>
                  <w:noWrap w:val="0"/>
                  <w:vAlign w:val="center"/>
                </w:tcPr>
                <w:p w14:paraId="7C6420A7">
                  <w:pPr>
                    <w:pStyle w:val="30"/>
                    <w:bidi w:val="0"/>
                    <w:rPr>
                      <w:rFonts w:hint="default" w:ascii="Times New Roman" w:hAnsi="Times New Roman" w:cs="Times New Roman"/>
                      <w:color w:val="auto"/>
                    </w:rPr>
                  </w:pPr>
                  <w:r>
                    <w:rPr>
                      <w:rFonts w:hint="default" w:ascii="Times New Roman" w:hAnsi="Times New Roman" w:cs="Times New Roman"/>
                      <w:color w:val="auto"/>
                    </w:rPr>
                    <w:t>1</w:t>
                  </w:r>
                </w:p>
              </w:tc>
              <w:tc>
                <w:tcPr>
                  <w:tcW w:w="3028" w:type="pct"/>
                  <w:tcBorders>
                    <w:top w:val="single" w:color="auto" w:sz="8" w:space="0"/>
                  </w:tcBorders>
                  <w:noWrap w:val="0"/>
                  <w:vAlign w:val="center"/>
                </w:tcPr>
                <w:p w14:paraId="6DF9BA77">
                  <w:pPr>
                    <w:pStyle w:val="30"/>
                    <w:bidi w:val="0"/>
                    <w:rPr>
                      <w:rFonts w:hint="default" w:ascii="Times New Roman" w:hAnsi="Times New Roman" w:cs="Times New Roman"/>
                      <w:color w:val="auto"/>
                    </w:rPr>
                  </w:pPr>
                  <w:r>
                    <w:rPr>
                      <w:rFonts w:hint="default" w:ascii="Times New Roman" w:hAnsi="Times New Roman" w:cs="Times New Roman"/>
                      <w:color w:val="auto"/>
                      <w:lang w:val="en-US" w:eastAsia="zh-CN"/>
                    </w:rPr>
                    <w:t>严格空间管控，优化空间布局。落实《报告书》提出的现有环境问题整改措施，2025年底前，江苏快乐电源（涟水）有限公司限制扩大规模、涟水龙盛气体有限公司搬迁退让；淮安市亚森木业有限公司等11家企业仅允许实施规范化整治提升。强化工业企业退出和产业升级过程中的污染防治。开发区内绿地及水域在规划期内禁止开发利用。加强区内空间隔离带建设</w:t>
                  </w:r>
                  <w:r>
                    <w:rPr>
                      <w:rFonts w:hint="eastAsia" w:ascii="Times New Roman" w:cs="Times New Roman"/>
                      <w:color w:val="auto"/>
                      <w:lang w:val="en-US" w:eastAsia="zh-CN"/>
                    </w:rPr>
                    <w:t>，在</w:t>
                  </w:r>
                  <w:r>
                    <w:rPr>
                      <w:rFonts w:hint="default" w:ascii="Times New Roman" w:hAnsi="Times New Roman" w:cs="Times New Roman"/>
                      <w:color w:val="auto"/>
                      <w:lang w:val="en-US" w:eastAsia="zh-CN"/>
                    </w:rPr>
                    <w:t>西区工业用地与居住、商住混合用地、学校之间设置50米以上空间隔离带，或在该范围内布置办公等不产生噪声污染、废气排放的设施，并设置不少于20米的绿化隔离带，确保开发区产业布局与生态环境保护、人居环境安全相协调。</w:t>
                  </w:r>
                </w:p>
              </w:tc>
              <w:tc>
                <w:tcPr>
                  <w:tcW w:w="1330" w:type="pct"/>
                  <w:tcBorders>
                    <w:top w:val="single" w:color="auto" w:sz="8" w:space="0"/>
                  </w:tcBorders>
                  <w:noWrap w:val="0"/>
                  <w:vAlign w:val="center"/>
                </w:tcPr>
                <w:p w14:paraId="3CF195CC">
                  <w:pPr>
                    <w:pStyle w:val="30"/>
                    <w:bidi w:val="0"/>
                    <w:rPr>
                      <w:rFonts w:hint="default" w:ascii="Times New Roman" w:hAnsi="Times New Roman" w:cs="Times New Roman"/>
                      <w:color w:val="auto"/>
                      <w:lang w:val="en-US"/>
                    </w:rPr>
                  </w:pPr>
                  <w:r>
                    <w:rPr>
                      <w:rFonts w:hint="default" w:ascii="Times New Roman" w:hAnsi="Times New Roman" w:cs="Times New Roman"/>
                      <w:color w:val="auto"/>
                    </w:rPr>
                    <w:t>本</w:t>
                  </w:r>
                  <w:r>
                    <w:rPr>
                      <w:rFonts w:hint="default" w:ascii="Times New Roman" w:hAnsi="Times New Roman" w:cs="Times New Roman"/>
                      <w:color w:val="auto"/>
                      <w:lang w:val="en-US" w:eastAsia="zh-CN"/>
                    </w:rPr>
                    <w:t>次</w:t>
                  </w:r>
                  <w:r>
                    <w:rPr>
                      <w:rFonts w:hint="default" w:ascii="Times New Roman" w:hAnsi="Times New Roman" w:cs="Times New Roman"/>
                      <w:color w:val="auto"/>
                    </w:rPr>
                    <w:t>项目位于</w:t>
                  </w:r>
                  <w:r>
                    <w:rPr>
                      <w:rFonts w:hint="eastAsia" w:ascii="Times New Roman" w:cs="Times New Roman"/>
                      <w:color w:val="auto"/>
                      <w:lang w:val="en-US" w:eastAsia="zh-CN"/>
                    </w:rPr>
                    <w:t>涟水县经济开发区淮浦北路东侧、兴隆路南侧</w:t>
                  </w:r>
                  <w:r>
                    <w:rPr>
                      <w:rFonts w:hint="default" w:ascii="Times New Roman" w:hAnsi="Times New Roman" w:cs="Times New Roman"/>
                      <w:color w:val="auto"/>
                      <w:lang w:val="en-US" w:eastAsia="zh-CN"/>
                    </w:rPr>
                    <w:t>，</w:t>
                  </w:r>
                  <w:r>
                    <w:rPr>
                      <w:rFonts w:hint="eastAsia" w:ascii="Times New Roman" w:cs="Times New Roman"/>
                      <w:color w:val="auto"/>
                      <w:lang w:val="en-US" w:eastAsia="zh-CN"/>
                    </w:rPr>
                    <w:t>占地面积为7000m</w:t>
                  </w:r>
                  <w:r>
                    <w:rPr>
                      <w:rFonts w:hint="eastAsia" w:ascii="Times New Roman" w:cs="Times New Roman"/>
                      <w:color w:val="auto"/>
                      <w:vertAlign w:val="superscript"/>
                      <w:lang w:val="en-US" w:eastAsia="zh-CN"/>
                    </w:rPr>
                    <w:t>2</w:t>
                  </w:r>
                  <w:r>
                    <w:rPr>
                      <w:rFonts w:hint="eastAsia" w:ascii="Times New Roman" w:cs="Times New Roman"/>
                      <w:color w:val="auto"/>
                      <w:lang w:val="en-US" w:eastAsia="zh-CN"/>
                    </w:rPr>
                    <w:t>，租赁生产厂房总建筑面积为6451m</w:t>
                  </w:r>
                  <w:r>
                    <w:rPr>
                      <w:rFonts w:hint="eastAsia" w:ascii="Times New Roman" w:cs="Times New Roman"/>
                      <w:color w:val="auto"/>
                      <w:vertAlign w:val="superscript"/>
                      <w:lang w:val="en-US" w:eastAsia="zh-CN"/>
                    </w:rPr>
                    <w:t>2</w:t>
                  </w:r>
                  <w:r>
                    <w:rPr>
                      <w:rFonts w:hint="default" w:ascii="Times New Roman" w:hAnsi="Times New Roman" w:cs="Times New Roman"/>
                      <w:color w:val="auto"/>
                    </w:rPr>
                    <w:t>。</w:t>
                  </w:r>
                  <w:r>
                    <w:rPr>
                      <w:rFonts w:hint="default" w:ascii="Times New Roman" w:hAnsi="Times New Roman" w:cs="Times New Roman"/>
                      <w:color w:val="auto"/>
                      <w:lang w:val="en-US" w:eastAsia="zh-CN"/>
                    </w:rPr>
                    <w:t>不在《报告书》提出的现有环境问题整改措施范围内。</w:t>
                  </w:r>
                </w:p>
              </w:tc>
              <w:tc>
                <w:tcPr>
                  <w:tcW w:w="432" w:type="pct"/>
                  <w:tcBorders>
                    <w:top w:val="single" w:color="auto" w:sz="8" w:space="0"/>
                    <w:right w:val="nil"/>
                  </w:tcBorders>
                  <w:noWrap w:val="0"/>
                  <w:vAlign w:val="center"/>
                </w:tcPr>
                <w:p w14:paraId="67210DFA">
                  <w:pPr>
                    <w:pStyle w:val="30"/>
                    <w:bidi w:val="0"/>
                    <w:rPr>
                      <w:rFonts w:hint="default" w:ascii="Times New Roman" w:hAnsi="Times New Roman" w:cs="Times New Roman"/>
                      <w:color w:val="auto"/>
                    </w:rPr>
                  </w:pPr>
                  <w:r>
                    <w:rPr>
                      <w:rFonts w:hint="default" w:ascii="Times New Roman" w:hAnsi="Times New Roman" w:cs="Times New Roman"/>
                      <w:color w:val="auto"/>
                    </w:rPr>
                    <w:t>是</w:t>
                  </w:r>
                </w:p>
              </w:tc>
            </w:tr>
            <w:tr w14:paraId="4675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left w:val="nil"/>
                  </w:tcBorders>
                  <w:noWrap w:val="0"/>
                  <w:vAlign w:val="center"/>
                </w:tcPr>
                <w:p w14:paraId="2ED00997">
                  <w:pPr>
                    <w:pStyle w:val="30"/>
                    <w:bidi w:val="0"/>
                    <w:rPr>
                      <w:rFonts w:hint="default" w:ascii="Times New Roman" w:hAnsi="Times New Roman" w:cs="Times New Roman"/>
                      <w:color w:val="auto"/>
                    </w:rPr>
                  </w:pPr>
                  <w:r>
                    <w:rPr>
                      <w:rFonts w:hint="default" w:ascii="Times New Roman" w:hAnsi="Times New Roman" w:cs="Times New Roman"/>
                      <w:color w:val="auto"/>
                    </w:rPr>
                    <w:t>2</w:t>
                  </w:r>
                </w:p>
              </w:tc>
              <w:tc>
                <w:tcPr>
                  <w:tcW w:w="3028" w:type="pct"/>
                  <w:noWrap w:val="0"/>
                  <w:vAlign w:val="center"/>
                </w:tcPr>
                <w:p w14:paraId="2800E3A3">
                  <w:pPr>
                    <w:pStyle w:val="30"/>
                    <w:bidi w:val="0"/>
                    <w:rPr>
                      <w:rFonts w:hint="default" w:ascii="Times New Roman" w:hAnsi="Times New Roman" w:cs="Times New Roman"/>
                      <w:color w:val="auto"/>
                    </w:rPr>
                  </w:pPr>
                  <w:r>
                    <w:rPr>
                      <w:rFonts w:hint="default" w:ascii="Times New Roman" w:hAnsi="Times New Roman" w:cs="Times New Roman"/>
                      <w:color w:val="auto"/>
                    </w:rPr>
                    <w:t>严守环境质量底线</w:t>
                  </w:r>
                  <w:r>
                    <w:rPr>
                      <w:rFonts w:hint="default" w:ascii="Times New Roman" w:hAnsi="Times New Roman" w:cs="Times New Roman"/>
                      <w:color w:val="auto"/>
                      <w:lang w:eastAsia="zh-CN"/>
                    </w:rPr>
                    <w:t>，</w:t>
                  </w:r>
                  <w:r>
                    <w:rPr>
                      <w:rFonts w:hint="default" w:ascii="Times New Roman" w:hAnsi="Times New Roman" w:cs="Times New Roman"/>
                      <w:color w:val="auto"/>
                    </w:rPr>
                    <w:t>实施污染物排放限值限量管理。落实国家和江苏省关于大气、水、土壤、噪声污染防治、区域生态环境分区管控、工业园区</w:t>
                  </w:r>
                  <w:r>
                    <w:rPr>
                      <w:rFonts w:hint="default" w:ascii="Times New Roman" w:hAnsi="Times New Roman" w:cs="Times New Roman"/>
                      <w:color w:val="auto"/>
                      <w:lang w:eastAsia="zh-CN"/>
                    </w:rPr>
                    <w:t>（</w:t>
                  </w:r>
                  <w:r>
                    <w:rPr>
                      <w:rFonts w:hint="default" w:ascii="Times New Roman" w:hAnsi="Times New Roman" w:cs="Times New Roman"/>
                      <w:color w:val="auto"/>
                    </w:rPr>
                    <w:t>集中区</w:t>
                  </w:r>
                  <w:r>
                    <w:rPr>
                      <w:rFonts w:hint="default" w:ascii="Times New Roman" w:hAnsi="Times New Roman" w:cs="Times New Roman"/>
                      <w:color w:val="auto"/>
                      <w:lang w:eastAsia="zh-CN"/>
                    </w:rPr>
                    <w:t>）</w:t>
                  </w:r>
                  <w:r>
                    <w:rPr>
                      <w:rFonts w:hint="default" w:ascii="Times New Roman" w:hAnsi="Times New Roman" w:cs="Times New Roman"/>
                      <w:color w:val="auto"/>
                    </w:rPr>
                    <w:t>污染物排放限值限量管理相关要求</w:t>
                  </w:r>
                  <w:r>
                    <w:rPr>
                      <w:rFonts w:hint="default" w:ascii="Times New Roman" w:hAnsi="Times New Roman" w:cs="Times New Roman"/>
                      <w:color w:val="auto"/>
                      <w:lang w:eastAsia="zh-CN"/>
                    </w:rPr>
                    <w:t>，</w:t>
                  </w:r>
                  <w:r>
                    <w:rPr>
                      <w:rFonts w:hint="default" w:ascii="Times New Roman" w:hAnsi="Times New Roman" w:cs="Times New Roman"/>
                      <w:color w:val="auto"/>
                    </w:rPr>
                    <w:t>建立以环境质量为核心的污染物总量控制管理体系</w:t>
                  </w:r>
                  <w:r>
                    <w:rPr>
                      <w:rFonts w:hint="default" w:ascii="Times New Roman" w:hAnsi="Times New Roman" w:cs="Times New Roman"/>
                      <w:color w:val="auto"/>
                      <w:lang w:eastAsia="zh-CN"/>
                    </w:rPr>
                    <w:t>，</w:t>
                  </w:r>
                  <w:r>
                    <w:rPr>
                      <w:rFonts w:hint="default" w:ascii="Times New Roman" w:hAnsi="Times New Roman" w:cs="Times New Roman"/>
                      <w:color w:val="auto"/>
                    </w:rPr>
                    <w:t>实施主要污染物排放浓度和总量“双管控”。2025年</w:t>
                  </w:r>
                  <w:r>
                    <w:rPr>
                      <w:rFonts w:hint="default" w:ascii="Times New Roman" w:hAnsi="Times New Roman" w:cs="Times New Roman"/>
                      <w:color w:val="auto"/>
                      <w:lang w:eastAsia="zh-CN"/>
                    </w:rPr>
                    <w:t>，</w:t>
                  </w:r>
                  <w:r>
                    <w:rPr>
                      <w:rFonts w:hint="default" w:ascii="Times New Roman" w:hAnsi="Times New Roman" w:cs="Times New Roman"/>
                      <w:color w:val="auto"/>
                    </w:rPr>
                    <w:t>开发区环境空气细颗粒物</w:t>
                  </w:r>
                  <w:r>
                    <w:rPr>
                      <w:rFonts w:hint="default" w:ascii="Times New Roman" w:hAnsi="Times New Roman" w:cs="Times New Roman"/>
                      <w:color w:val="auto"/>
                      <w:lang w:eastAsia="zh-CN"/>
                    </w:rPr>
                    <w:t>（</w:t>
                  </w:r>
                  <w:r>
                    <w:rPr>
                      <w:rFonts w:hint="default" w:ascii="Times New Roman" w:hAnsi="Times New Roman" w:cs="Times New Roman"/>
                      <w:color w:val="auto"/>
                    </w:rPr>
                    <w:t>PM</w:t>
                  </w:r>
                  <w:r>
                    <w:rPr>
                      <w:rFonts w:hint="default" w:ascii="Times New Roman" w:hAnsi="Times New Roman" w:cs="Times New Roman"/>
                      <w:color w:val="auto"/>
                      <w:vertAlign w:val="subscript"/>
                      <w:lang w:val="en-US" w:eastAsia="zh-CN"/>
                    </w:rPr>
                    <w:t>2.5</w:t>
                  </w:r>
                  <w:r>
                    <w:rPr>
                      <w:rFonts w:hint="default" w:ascii="Times New Roman" w:hAnsi="Times New Roman" w:cs="Times New Roman"/>
                      <w:color w:val="auto"/>
                      <w:lang w:eastAsia="zh-CN"/>
                    </w:rPr>
                    <w:t>）</w:t>
                  </w:r>
                  <w:r>
                    <w:rPr>
                      <w:rFonts w:hint="default" w:ascii="Times New Roman" w:hAnsi="Times New Roman" w:cs="Times New Roman"/>
                      <w:color w:val="auto"/>
                    </w:rPr>
                    <w:t>年均浓度应达到29微克/立方米</w:t>
                  </w:r>
                  <w:r>
                    <w:rPr>
                      <w:rFonts w:hint="default" w:ascii="Times New Roman" w:hAnsi="Times New Roman" w:cs="Times New Roman"/>
                      <w:color w:val="auto"/>
                      <w:lang w:eastAsia="zh-CN"/>
                    </w:rPr>
                    <w:t>，</w:t>
                  </w:r>
                  <w:r>
                    <w:rPr>
                      <w:rFonts w:hint="default" w:ascii="Times New Roman" w:hAnsi="Times New Roman" w:cs="Times New Roman"/>
                      <w:color w:val="auto"/>
                    </w:rPr>
                    <w:t>盐河应稳定达到II</w:t>
                  </w:r>
                  <w:r>
                    <w:rPr>
                      <w:rFonts w:hint="default" w:ascii="Times New Roman" w:hAnsi="Times New Roman" w:cs="Times New Roman"/>
                      <w:color w:val="auto"/>
                      <w:lang w:eastAsia="zh-CN"/>
                    </w:rPr>
                    <w:t>、</w:t>
                  </w:r>
                  <w:r>
                    <w:rPr>
                      <w:rFonts w:hint="default" w:ascii="Times New Roman" w:hAnsi="Times New Roman" w:cs="Times New Roman"/>
                      <w:color w:val="auto"/>
                    </w:rPr>
                    <w:t>Ⅲ类水质标准。</w:t>
                  </w:r>
                </w:p>
              </w:tc>
              <w:tc>
                <w:tcPr>
                  <w:tcW w:w="1330" w:type="pct"/>
                  <w:noWrap w:val="0"/>
                  <w:vAlign w:val="center"/>
                </w:tcPr>
                <w:p w14:paraId="565989B6">
                  <w:pPr>
                    <w:pStyle w:val="30"/>
                    <w:bidi w:val="0"/>
                    <w:rPr>
                      <w:rFonts w:hint="default" w:ascii="Times New Roman" w:hAnsi="Times New Roman" w:cs="Times New Roman"/>
                      <w:color w:val="auto"/>
                    </w:rPr>
                  </w:pPr>
                  <w:r>
                    <w:rPr>
                      <w:rFonts w:hint="default" w:ascii="Times New Roman" w:hAnsi="Times New Roman" w:cs="Times New Roman"/>
                      <w:color w:val="auto"/>
                      <w:lang w:val="en-US" w:eastAsia="zh-CN"/>
                    </w:rPr>
                    <w:t>本次项目污染物排放执行园区总量控制管理相关要求，本次项目</w:t>
                  </w:r>
                  <w:r>
                    <w:rPr>
                      <w:rFonts w:hint="default" w:ascii="Times New Roman" w:hAnsi="Times New Roman" w:cs="Times New Roman"/>
                      <w:color w:val="auto"/>
                    </w:rPr>
                    <w:t>主要污染物排放浓度和总量</w:t>
                  </w:r>
                  <w:r>
                    <w:rPr>
                      <w:rFonts w:hint="default" w:ascii="Times New Roman" w:hAnsi="Times New Roman" w:cs="Times New Roman"/>
                      <w:color w:val="auto"/>
                      <w:lang w:val="en-US" w:eastAsia="zh-CN"/>
                    </w:rPr>
                    <w:t>双达标</w:t>
                  </w:r>
                  <w:r>
                    <w:rPr>
                      <w:rFonts w:hint="default" w:ascii="Times New Roman" w:hAnsi="Times New Roman" w:cs="Times New Roman"/>
                      <w:color w:val="auto"/>
                    </w:rPr>
                    <w:t>。</w:t>
                  </w:r>
                </w:p>
              </w:tc>
              <w:tc>
                <w:tcPr>
                  <w:tcW w:w="432" w:type="pct"/>
                  <w:tcBorders>
                    <w:right w:val="nil"/>
                  </w:tcBorders>
                  <w:noWrap w:val="0"/>
                  <w:vAlign w:val="center"/>
                </w:tcPr>
                <w:p w14:paraId="033D2D62">
                  <w:pPr>
                    <w:pStyle w:val="30"/>
                    <w:bidi w:val="0"/>
                    <w:rPr>
                      <w:rFonts w:hint="default" w:ascii="Times New Roman" w:hAnsi="Times New Roman" w:cs="Times New Roman"/>
                      <w:color w:val="auto"/>
                    </w:rPr>
                  </w:pPr>
                  <w:r>
                    <w:rPr>
                      <w:rFonts w:hint="default" w:ascii="Times New Roman" w:hAnsi="Times New Roman" w:cs="Times New Roman"/>
                      <w:color w:val="auto"/>
                    </w:rPr>
                    <w:t>是</w:t>
                  </w:r>
                </w:p>
              </w:tc>
            </w:tr>
            <w:tr w14:paraId="414E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left w:val="nil"/>
                  </w:tcBorders>
                  <w:noWrap w:val="0"/>
                  <w:vAlign w:val="center"/>
                </w:tcPr>
                <w:p w14:paraId="10D72E0D">
                  <w:pPr>
                    <w:pStyle w:val="30"/>
                    <w:bidi w:val="0"/>
                    <w:rPr>
                      <w:rFonts w:hint="default" w:ascii="Times New Roman" w:hAnsi="Times New Roman" w:cs="Times New Roman"/>
                      <w:color w:val="auto"/>
                    </w:rPr>
                  </w:pPr>
                  <w:r>
                    <w:rPr>
                      <w:rFonts w:hint="default" w:ascii="Times New Roman" w:hAnsi="Times New Roman" w:cs="Times New Roman"/>
                      <w:color w:val="auto"/>
                    </w:rPr>
                    <w:t>3</w:t>
                  </w:r>
                </w:p>
              </w:tc>
              <w:tc>
                <w:tcPr>
                  <w:tcW w:w="3028" w:type="pct"/>
                  <w:noWrap w:val="0"/>
                  <w:vAlign w:val="center"/>
                </w:tcPr>
                <w:p w14:paraId="33D92C4C">
                  <w:pPr>
                    <w:pStyle w:val="30"/>
                    <w:bidi w:val="0"/>
                    <w:rPr>
                      <w:rFonts w:hint="default" w:ascii="Times New Roman" w:hAnsi="Times New Roman" w:cs="Times New Roman"/>
                      <w:color w:val="auto"/>
                    </w:rPr>
                  </w:pPr>
                  <w:r>
                    <w:rPr>
                      <w:rFonts w:hint="default" w:ascii="Times New Roman" w:hAnsi="Times New Roman" w:cs="Times New Roman"/>
                      <w:color w:val="auto"/>
                    </w:rPr>
                    <w:t>加强源头治理</w:t>
                  </w:r>
                  <w:r>
                    <w:rPr>
                      <w:rFonts w:hint="default" w:ascii="Times New Roman" w:hAnsi="Times New Roman" w:cs="Times New Roman"/>
                      <w:color w:val="auto"/>
                      <w:lang w:eastAsia="zh-CN"/>
                    </w:rPr>
                    <w:t>，</w:t>
                  </w:r>
                  <w:r>
                    <w:rPr>
                      <w:rFonts w:hint="default" w:ascii="Times New Roman" w:hAnsi="Times New Roman" w:cs="Times New Roman"/>
                      <w:color w:val="auto"/>
                    </w:rPr>
                    <w:t>协同推进减污降碳。严格落实生态环境准入清单</w:t>
                  </w:r>
                  <w:r>
                    <w:rPr>
                      <w:rFonts w:hint="default" w:ascii="Times New Roman" w:hAnsi="Times New Roman" w:cs="Times New Roman"/>
                      <w:color w:val="auto"/>
                      <w:lang w:eastAsia="zh-CN"/>
                    </w:rPr>
                    <w:t>（</w:t>
                  </w:r>
                  <w:r>
                    <w:rPr>
                      <w:rFonts w:hint="default" w:ascii="Times New Roman" w:hAnsi="Times New Roman" w:cs="Times New Roman"/>
                      <w:color w:val="auto"/>
                    </w:rPr>
                    <w:t>附件2</w:t>
                  </w:r>
                  <w:r>
                    <w:rPr>
                      <w:rFonts w:hint="default" w:ascii="Times New Roman" w:hAnsi="Times New Roman" w:cs="Times New Roman"/>
                      <w:color w:val="auto"/>
                      <w:lang w:eastAsia="zh-CN"/>
                    </w:rPr>
                    <w:t>）</w:t>
                  </w:r>
                  <w:r>
                    <w:rPr>
                      <w:rFonts w:hint="eastAsia" w:ascii="Times New Roman" w:cs="Times New Roman"/>
                      <w:color w:val="auto"/>
                      <w:lang w:eastAsia="zh-CN"/>
                    </w:rPr>
                    <w:t>，</w:t>
                  </w:r>
                  <w:r>
                    <w:rPr>
                      <w:rFonts w:hint="default" w:ascii="Times New Roman" w:hAnsi="Times New Roman" w:cs="Times New Roman"/>
                      <w:color w:val="auto"/>
                    </w:rPr>
                    <w:t>以及《报告书》提出的生态环境准入要求</w:t>
                  </w:r>
                  <w:r>
                    <w:rPr>
                      <w:rFonts w:hint="default" w:ascii="Times New Roman" w:hAnsi="Times New Roman" w:cs="Times New Roman"/>
                      <w:color w:val="auto"/>
                      <w:lang w:eastAsia="zh-CN"/>
                    </w:rPr>
                    <w:t>，</w:t>
                  </w:r>
                  <w:r>
                    <w:rPr>
                      <w:rFonts w:hint="default" w:ascii="Times New Roman" w:hAnsi="Times New Roman" w:cs="Times New Roman"/>
                      <w:color w:val="auto"/>
                    </w:rPr>
                    <w:t>严格限制与主导产业不相关且排污负荷大的项目入区</w:t>
                  </w:r>
                  <w:r>
                    <w:rPr>
                      <w:rFonts w:hint="default" w:ascii="Times New Roman" w:hAnsi="Times New Roman" w:cs="Times New Roman"/>
                      <w:color w:val="auto"/>
                      <w:lang w:eastAsia="zh-CN"/>
                    </w:rPr>
                    <w:t>，</w:t>
                  </w:r>
                  <w:r>
                    <w:rPr>
                      <w:rFonts w:hint="default" w:ascii="Times New Roman" w:hAnsi="Times New Roman" w:cs="Times New Roman"/>
                      <w:color w:val="auto"/>
                    </w:rPr>
                    <w:t>执行最严格的行业废水、废气排放控制要求。强化企业特征</w:t>
                  </w:r>
                  <w:r>
                    <w:rPr>
                      <w:rFonts w:hint="eastAsia" w:ascii="Times New Roman" w:cs="Times New Roman"/>
                      <w:color w:val="auto"/>
                      <w:lang w:eastAsia="zh-CN"/>
                    </w:rPr>
                    <w:t>污染物协同控制</w:t>
                  </w:r>
                  <w:r>
                    <w:rPr>
                      <w:rFonts w:hint="default" w:ascii="Times New Roman" w:hAnsi="Times New Roman" w:cs="Times New Roman"/>
                      <w:color w:val="auto"/>
                    </w:rPr>
                    <w:t>、高效治理设施建设以及精细化管控</w:t>
                  </w:r>
                  <w:r>
                    <w:rPr>
                      <w:rFonts w:hint="default" w:ascii="Times New Roman" w:hAnsi="Times New Roman" w:cs="Times New Roman"/>
                      <w:color w:val="auto"/>
                      <w:lang w:eastAsia="zh-CN"/>
                    </w:rPr>
                    <w:t>，</w:t>
                  </w:r>
                  <w:r>
                    <w:rPr>
                      <w:rFonts w:hint="default" w:ascii="Times New Roman" w:hAnsi="Times New Roman" w:cs="Times New Roman"/>
                      <w:color w:val="auto"/>
                    </w:rPr>
                    <w:t>引进项目的生产工艺、设备</w:t>
                  </w:r>
                  <w:r>
                    <w:rPr>
                      <w:rFonts w:hint="default" w:ascii="Times New Roman" w:hAnsi="Times New Roman" w:cs="Times New Roman"/>
                      <w:color w:val="auto"/>
                      <w:lang w:eastAsia="zh-CN"/>
                    </w:rPr>
                    <w:t>，</w:t>
                  </w:r>
                  <w:r>
                    <w:rPr>
                      <w:rFonts w:hint="default" w:ascii="Times New Roman" w:hAnsi="Times New Roman" w:cs="Times New Roman"/>
                      <w:color w:val="auto"/>
                    </w:rPr>
                    <w:t>以及单位产品水耗、能耗、污染物排放和资源利用效率等应达到同行业国内先进水平。全面开展清洁生产审核</w:t>
                  </w:r>
                  <w:r>
                    <w:rPr>
                      <w:rFonts w:hint="default" w:ascii="Times New Roman" w:hAnsi="Times New Roman" w:cs="Times New Roman"/>
                      <w:color w:val="auto"/>
                      <w:lang w:eastAsia="zh-CN"/>
                    </w:rPr>
                    <w:t>，</w:t>
                  </w:r>
                  <w:r>
                    <w:rPr>
                      <w:rFonts w:hint="default" w:ascii="Times New Roman" w:hAnsi="Times New Roman" w:cs="Times New Roman"/>
                      <w:color w:val="auto"/>
                    </w:rPr>
                    <w:t>推动重点行业依法实施强制性审核</w:t>
                  </w:r>
                  <w:r>
                    <w:rPr>
                      <w:rFonts w:hint="default" w:ascii="Times New Roman" w:hAnsi="Times New Roman" w:cs="Times New Roman"/>
                      <w:color w:val="auto"/>
                      <w:lang w:eastAsia="zh-CN"/>
                    </w:rPr>
                    <w:t>，</w:t>
                  </w:r>
                  <w:r>
                    <w:rPr>
                      <w:rFonts w:hint="default" w:ascii="Times New Roman" w:hAnsi="Times New Roman" w:cs="Times New Roman"/>
                      <w:color w:val="auto"/>
                    </w:rPr>
                    <w:t>引导其他行业自觉自愿开展审核</w:t>
                  </w:r>
                  <w:r>
                    <w:rPr>
                      <w:rFonts w:hint="default" w:ascii="Times New Roman" w:hAnsi="Times New Roman" w:cs="Times New Roman"/>
                      <w:color w:val="auto"/>
                      <w:lang w:eastAsia="zh-CN"/>
                    </w:rPr>
                    <w:t>，</w:t>
                  </w:r>
                  <w:r>
                    <w:rPr>
                      <w:rFonts w:hint="default" w:ascii="Times New Roman" w:hAnsi="Times New Roman" w:cs="Times New Roman"/>
                      <w:color w:val="auto"/>
                    </w:rPr>
                    <w:t>不断提高现有企业清洁生产和污染治理水平。根据国家和地方碳减排、碳达峰行动方案和路径要求</w:t>
                  </w:r>
                  <w:r>
                    <w:rPr>
                      <w:rFonts w:hint="default" w:ascii="Times New Roman" w:hAnsi="Times New Roman" w:cs="Times New Roman"/>
                      <w:color w:val="auto"/>
                      <w:lang w:eastAsia="zh-CN"/>
                    </w:rPr>
                    <w:t>，</w:t>
                  </w:r>
                  <w:r>
                    <w:rPr>
                      <w:rFonts w:hint="default" w:ascii="Times New Roman" w:hAnsi="Times New Roman" w:cs="Times New Roman"/>
                      <w:color w:val="auto"/>
                    </w:rPr>
                    <w:t>优化产业结构、能源结构等规划内容</w:t>
                  </w:r>
                  <w:r>
                    <w:rPr>
                      <w:rFonts w:hint="default" w:ascii="Times New Roman" w:hAnsi="Times New Roman" w:cs="Times New Roman"/>
                      <w:color w:val="auto"/>
                      <w:lang w:eastAsia="zh-CN"/>
                    </w:rPr>
                    <w:t>，</w:t>
                  </w:r>
                  <w:r>
                    <w:rPr>
                      <w:rFonts w:hint="default" w:ascii="Times New Roman" w:hAnsi="Times New Roman" w:cs="Times New Roman"/>
                      <w:color w:val="auto"/>
                    </w:rPr>
                    <w:t>推进减污降碳协同增效。</w:t>
                  </w:r>
                </w:p>
              </w:tc>
              <w:tc>
                <w:tcPr>
                  <w:tcW w:w="1330" w:type="pct"/>
                  <w:noWrap w:val="0"/>
                  <w:vAlign w:val="center"/>
                </w:tcPr>
                <w:p w14:paraId="08882B7D">
                  <w:pPr>
                    <w:pStyle w:val="30"/>
                    <w:bidi w:val="0"/>
                    <w:rPr>
                      <w:rFonts w:hint="default" w:ascii="Times New Roman" w:hAnsi="Times New Roman" w:cs="Times New Roman"/>
                      <w:color w:val="auto"/>
                      <w:lang w:val="en-US" w:eastAsia="zh-CN"/>
                    </w:rPr>
                  </w:pPr>
                  <w:r>
                    <w:rPr>
                      <w:rFonts w:hint="default" w:ascii="Times New Roman" w:hAnsi="Times New Roman" w:cs="Times New Roman"/>
                      <w:color w:val="auto"/>
                    </w:rPr>
                    <w:t>本项目</w:t>
                  </w:r>
                  <w:r>
                    <w:rPr>
                      <w:rFonts w:hint="default" w:ascii="Times New Roman" w:hAnsi="Times New Roman" w:cs="Times New Roman"/>
                      <w:color w:val="auto"/>
                      <w:lang w:val="en-US" w:eastAsia="zh-CN"/>
                    </w:rPr>
                    <w:t>属于</w:t>
                  </w:r>
                  <w:r>
                    <w:rPr>
                      <w:rFonts w:hint="eastAsia" w:ascii="Times New Roman" w:cs="Times New Roman"/>
                      <w:color w:val="auto"/>
                      <w:lang w:eastAsia="zh-CN"/>
                    </w:rPr>
                    <w:t>C3042 特种玻璃制造</w:t>
                  </w:r>
                  <w:r>
                    <w:rPr>
                      <w:rFonts w:hint="default" w:ascii="Times New Roman" w:hAnsi="Times New Roman" w:cs="Times New Roman"/>
                      <w:color w:val="auto"/>
                      <w:lang w:val="en-US" w:eastAsia="zh-CN"/>
                    </w:rPr>
                    <w:t>，不属于园区主导产业，也不属于限制引入和禁止引入的产业，属于允许引入类产业，</w:t>
                  </w:r>
                  <w:r>
                    <w:rPr>
                      <w:rFonts w:hint="default" w:ascii="Times New Roman" w:hAnsi="Times New Roman" w:cs="Times New Roman"/>
                      <w:color w:val="auto"/>
                    </w:rPr>
                    <w:t>符合</w:t>
                  </w:r>
                  <w:r>
                    <w:rPr>
                      <w:rFonts w:hint="default" w:ascii="Times New Roman" w:hAnsi="Times New Roman" w:cs="Times New Roman"/>
                      <w:color w:val="auto"/>
                      <w:lang w:val="en-US" w:eastAsia="zh-CN"/>
                    </w:rPr>
                    <w:t>园区产业准入条件</w:t>
                  </w:r>
                  <w:r>
                    <w:rPr>
                      <w:rFonts w:hint="default" w:ascii="Times New Roman" w:hAnsi="Times New Roman" w:cs="Times New Roman"/>
                      <w:color w:val="auto"/>
                    </w:rPr>
                    <w:t>。</w:t>
                  </w:r>
                </w:p>
              </w:tc>
              <w:tc>
                <w:tcPr>
                  <w:tcW w:w="432" w:type="pct"/>
                  <w:tcBorders>
                    <w:right w:val="nil"/>
                  </w:tcBorders>
                  <w:noWrap w:val="0"/>
                  <w:vAlign w:val="center"/>
                </w:tcPr>
                <w:p w14:paraId="396EA389">
                  <w:pPr>
                    <w:pStyle w:val="30"/>
                    <w:bidi w:val="0"/>
                    <w:rPr>
                      <w:rFonts w:hint="default" w:ascii="Times New Roman" w:hAnsi="Times New Roman" w:cs="Times New Roman"/>
                      <w:color w:val="auto"/>
                    </w:rPr>
                  </w:pPr>
                  <w:r>
                    <w:rPr>
                      <w:rFonts w:hint="default" w:ascii="Times New Roman" w:hAnsi="Times New Roman" w:cs="Times New Roman"/>
                      <w:color w:val="auto"/>
                    </w:rPr>
                    <w:t>是</w:t>
                  </w:r>
                </w:p>
              </w:tc>
            </w:tr>
            <w:tr w14:paraId="60AF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left w:val="nil"/>
                  </w:tcBorders>
                  <w:noWrap w:val="0"/>
                  <w:vAlign w:val="center"/>
                </w:tcPr>
                <w:p w14:paraId="3919BBA4">
                  <w:pPr>
                    <w:pStyle w:val="30"/>
                    <w:bidi w:val="0"/>
                    <w:rPr>
                      <w:rFonts w:hint="default" w:ascii="Times New Roman" w:hAnsi="Times New Roman" w:cs="Times New Roman"/>
                      <w:color w:val="auto"/>
                    </w:rPr>
                  </w:pPr>
                  <w:r>
                    <w:rPr>
                      <w:rFonts w:hint="default" w:ascii="Times New Roman" w:hAnsi="Times New Roman" w:cs="Times New Roman"/>
                      <w:color w:val="auto"/>
                    </w:rPr>
                    <w:t>4</w:t>
                  </w:r>
                </w:p>
              </w:tc>
              <w:tc>
                <w:tcPr>
                  <w:tcW w:w="3028" w:type="pct"/>
                  <w:noWrap w:val="0"/>
                  <w:vAlign w:val="center"/>
                </w:tcPr>
                <w:p w14:paraId="4B0806A2">
                  <w:pPr>
                    <w:pStyle w:val="30"/>
                    <w:bidi w:val="0"/>
                    <w:rPr>
                      <w:rFonts w:hint="default" w:ascii="Times New Roman" w:hAnsi="Times New Roman" w:cs="Times New Roman"/>
                      <w:color w:val="auto"/>
                    </w:rPr>
                  </w:pPr>
                  <w:r>
                    <w:rPr>
                      <w:rFonts w:hint="default" w:ascii="Times New Roman" w:hAnsi="Times New Roman" w:cs="Times New Roman"/>
                      <w:color w:val="auto"/>
                    </w:rPr>
                    <w:t>完善环境基础设施建设</w:t>
                  </w:r>
                  <w:r>
                    <w:rPr>
                      <w:rFonts w:hint="default" w:ascii="Times New Roman" w:hAnsi="Times New Roman" w:cs="Times New Roman"/>
                      <w:color w:val="auto"/>
                      <w:lang w:eastAsia="zh-CN"/>
                    </w:rPr>
                    <w:t>，</w:t>
                  </w:r>
                  <w:r>
                    <w:rPr>
                      <w:rFonts w:hint="default" w:ascii="Times New Roman" w:hAnsi="Times New Roman" w:cs="Times New Roman"/>
                      <w:color w:val="auto"/>
                    </w:rPr>
                    <w:t>提高基础设施运行效能。加快推进西区</w:t>
                  </w:r>
                  <w:r>
                    <w:rPr>
                      <w:rFonts w:hint="eastAsia" w:ascii="Times New Roman" w:cs="Times New Roman"/>
                      <w:color w:val="auto"/>
                      <w:lang w:eastAsia="zh-CN"/>
                    </w:rPr>
                    <w:t>污水处理厂</w:t>
                  </w:r>
                  <w:r>
                    <w:rPr>
                      <w:rFonts w:hint="default" w:ascii="Times New Roman" w:hAnsi="Times New Roman" w:cs="Times New Roman"/>
                      <w:color w:val="auto"/>
                    </w:rPr>
                    <w:t>中水回用设施及回用管网建设</w:t>
                  </w:r>
                  <w:r>
                    <w:rPr>
                      <w:rFonts w:hint="default" w:ascii="Times New Roman" w:hAnsi="Times New Roman" w:cs="Times New Roman"/>
                      <w:color w:val="auto"/>
                      <w:lang w:eastAsia="zh-CN"/>
                    </w:rPr>
                    <w:t>，</w:t>
                  </w:r>
                  <w:r>
                    <w:rPr>
                      <w:rFonts w:hint="default" w:ascii="Times New Roman" w:hAnsi="Times New Roman" w:cs="Times New Roman"/>
                      <w:color w:val="auto"/>
                    </w:rPr>
                    <w:t>2025年底前建成二支大沟生态安全缓冲区</w:t>
                  </w:r>
                  <w:r>
                    <w:rPr>
                      <w:rFonts w:hint="default" w:ascii="Times New Roman" w:hAnsi="Times New Roman" w:cs="Times New Roman"/>
                      <w:color w:val="auto"/>
                      <w:lang w:eastAsia="zh-CN"/>
                    </w:rPr>
                    <w:t>，</w:t>
                  </w:r>
                  <w:r>
                    <w:rPr>
                      <w:rFonts w:hint="default" w:ascii="Times New Roman" w:hAnsi="Times New Roman" w:cs="Times New Roman"/>
                      <w:color w:val="auto"/>
                    </w:rPr>
                    <w:t>改造建成2万吨/日工业污水处理设施、1万吨/日中水回用工程</w:t>
                  </w:r>
                  <w:r>
                    <w:rPr>
                      <w:rFonts w:hint="default" w:ascii="Times New Roman" w:hAnsi="Times New Roman" w:cs="Times New Roman"/>
                      <w:color w:val="auto"/>
                      <w:lang w:eastAsia="zh-CN"/>
                    </w:rPr>
                    <w:t>，</w:t>
                  </w:r>
                  <w:r>
                    <w:rPr>
                      <w:rFonts w:hint="default" w:ascii="Times New Roman" w:hAnsi="Times New Roman" w:cs="Times New Roman"/>
                      <w:color w:val="auto"/>
                    </w:rPr>
                    <w:t>确保工业废水与生活污水分类收集、分质处理。开展区内入河排污口排查及规范化整治</w:t>
                  </w:r>
                  <w:r>
                    <w:rPr>
                      <w:rFonts w:hint="default" w:ascii="Times New Roman" w:hAnsi="Times New Roman" w:cs="Times New Roman"/>
                      <w:color w:val="auto"/>
                      <w:lang w:eastAsia="zh-CN"/>
                    </w:rPr>
                    <w:t>，</w:t>
                  </w:r>
                  <w:r>
                    <w:rPr>
                      <w:rFonts w:hint="default" w:ascii="Times New Roman" w:hAnsi="Times New Roman" w:cs="Times New Roman"/>
                      <w:color w:val="auto"/>
                    </w:rPr>
                    <w:t>建立名录</w:t>
                  </w:r>
                  <w:r>
                    <w:rPr>
                      <w:rFonts w:hint="default" w:ascii="Times New Roman" w:hAnsi="Times New Roman" w:cs="Times New Roman"/>
                      <w:color w:val="auto"/>
                      <w:lang w:eastAsia="zh-CN"/>
                    </w:rPr>
                    <w:t>，</w:t>
                  </w:r>
                  <w:r>
                    <w:rPr>
                      <w:rFonts w:hint="default" w:ascii="Times New Roman" w:hAnsi="Times New Roman" w:cs="Times New Roman"/>
                      <w:color w:val="auto"/>
                    </w:rPr>
                    <w:t>强化日常监管。加强园区固体废物减量化、资源化、无害化处理</w:t>
                  </w:r>
                  <w:r>
                    <w:rPr>
                      <w:rFonts w:hint="default" w:ascii="Times New Roman" w:hAnsi="Times New Roman" w:cs="Times New Roman"/>
                      <w:color w:val="auto"/>
                      <w:lang w:eastAsia="zh-CN"/>
                    </w:rPr>
                    <w:t>，</w:t>
                  </w:r>
                  <w:r>
                    <w:rPr>
                      <w:rFonts w:hint="default" w:ascii="Times New Roman" w:hAnsi="Times New Roman" w:cs="Times New Roman"/>
                      <w:color w:val="auto"/>
                    </w:rPr>
                    <w:t>一般工业固废、危险废物应依法依规收集、处理处置</w:t>
                  </w:r>
                  <w:r>
                    <w:rPr>
                      <w:rFonts w:hint="default" w:ascii="Times New Roman" w:hAnsi="Times New Roman" w:cs="Times New Roman"/>
                      <w:color w:val="auto"/>
                      <w:lang w:eastAsia="zh-CN"/>
                    </w:rPr>
                    <w:t>，</w:t>
                  </w:r>
                  <w:r>
                    <w:rPr>
                      <w:rFonts w:hint="default" w:ascii="Times New Roman" w:hAnsi="Times New Roman" w:cs="Times New Roman"/>
                      <w:color w:val="auto"/>
                    </w:rPr>
                    <w:t>做到“就地分类收集、就近转移处置”。</w:t>
                  </w:r>
                </w:p>
              </w:tc>
              <w:tc>
                <w:tcPr>
                  <w:tcW w:w="1330" w:type="pct"/>
                  <w:noWrap w:val="0"/>
                  <w:vAlign w:val="center"/>
                </w:tcPr>
                <w:p w14:paraId="181EBA7E">
                  <w:pPr>
                    <w:pStyle w:val="30"/>
                    <w:bidi w:val="0"/>
                    <w:rPr>
                      <w:rFonts w:hint="default" w:ascii="Times New Roman" w:hAnsi="Times New Roman" w:cs="Times New Roman"/>
                      <w:color w:val="auto"/>
                      <w:lang w:val="en-US" w:eastAsia="zh-CN"/>
                    </w:rPr>
                  </w:pPr>
                  <w:r>
                    <w:rPr>
                      <w:rFonts w:hint="default" w:ascii="Times New Roman" w:hAnsi="Times New Roman" w:cs="Times New Roman"/>
                      <w:color w:val="auto"/>
                    </w:rPr>
                    <w:t>本项目</w:t>
                  </w:r>
                  <w:r>
                    <w:rPr>
                      <w:rFonts w:hint="default" w:ascii="Times New Roman" w:hAnsi="Times New Roman" w:cs="Times New Roman"/>
                      <w:color w:val="auto"/>
                      <w:lang w:val="en-US" w:eastAsia="zh-CN"/>
                    </w:rPr>
                    <w:t>无外排</w:t>
                  </w:r>
                  <w:r>
                    <w:rPr>
                      <w:rFonts w:hint="default" w:ascii="Times New Roman" w:hAnsi="Times New Roman" w:cs="Times New Roman"/>
                      <w:color w:val="auto"/>
                    </w:rPr>
                    <w:t>生产废水</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生活污水</w:t>
                  </w:r>
                  <w:r>
                    <w:rPr>
                      <w:rFonts w:hint="eastAsia" w:ascii="Times New Roman" w:cs="Times New Roman"/>
                      <w:color w:val="auto"/>
                      <w:lang w:val="en-US" w:eastAsia="zh-CN"/>
                    </w:rPr>
                    <w:t>经化粪池处理后接管至涟水经济开发区西区污水处理厂</w:t>
                  </w:r>
                  <w:r>
                    <w:rPr>
                      <w:rFonts w:hint="default" w:ascii="Times New Roman" w:hAnsi="Times New Roman" w:cs="Times New Roman"/>
                      <w:color w:val="auto"/>
                    </w:rPr>
                    <w:t>。</w:t>
                  </w:r>
                  <w:r>
                    <w:rPr>
                      <w:rFonts w:hint="default" w:ascii="Times New Roman" w:hAnsi="Times New Roman" w:cs="Times New Roman"/>
                      <w:color w:val="auto"/>
                      <w:lang w:val="en-US" w:eastAsia="zh-CN"/>
                    </w:rPr>
                    <w:t>本项目</w:t>
                  </w:r>
                  <w:r>
                    <w:rPr>
                      <w:rFonts w:hint="default" w:ascii="Times New Roman" w:hAnsi="Times New Roman" w:cs="Times New Roman"/>
                      <w:color w:val="auto"/>
                    </w:rPr>
                    <w:t>一般工业固废、危险废物</w:t>
                  </w:r>
                  <w:r>
                    <w:rPr>
                      <w:rFonts w:hint="default" w:ascii="Times New Roman" w:hAnsi="Times New Roman" w:cs="Times New Roman"/>
                      <w:color w:val="auto"/>
                      <w:lang w:val="en-US" w:eastAsia="zh-CN"/>
                    </w:rPr>
                    <w:t>分类收集、暂存并委托处理。</w:t>
                  </w:r>
                </w:p>
              </w:tc>
              <w:tc>
                <w:tcPr>
                  <w:tcW w:w="432" w:type="pct"/>
                  <w:tcBorders>
                    <w:right w:val="nil"/>
                  </w:tcBorders>
                  <w:noWrap w:val="0"/>
                  <w:vAlign w:val="center"/>
                </w:tcPr>
                <w:p w14:paraId="34CA9D73">
                  <w:pPr>
                    <w:pStyle w:val="30"/>
                    <w:bidi w:val="0"/>
                    <w:rPr>
                      <w:rFonts w:hint="default" w:ascii="Times New Roman" w:hAnsi="Times New Roman" w:cs="Times New Roman"/>
                      <w:color w:val="auto"/>
                    </w:rPr>
                  </w:pPr>
                  <w:r>
                    <w:rPr>
                      <w:rFonts w:hint="default" w:ascii="Times New Roman" w:hAnsi="Times New Roman" w:cs="Times New Roman"/>
                      <w:color w:val="auto"/>
                    </w:rPr>
                    <w:t>是</w:t>
                  </w:r>
                </w:p>
              </w:tc>
            </w:tr>
            <w:tr w14:paraId="1232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left w:val="nil"/>
                  </w:tcBorders>
                  <w:noWrap w:val="0"/>
                  <w:vAlign w:val="center"/>
                </w:tcPr>
                <w:p w14:paraId="22775F14">
                  <w:pPr>
                    <w:pStyle w:val="30"/>
                    <w:bidi w:val="0"/>
                    <w:rPr>
                      <w:rFonts w:hint="default" w:ascii="Times New Roman" w:hAnsi="Times New Roman" w:cs="Times New Roman"/>
                      <w:color w:val="auto"/>
                    </w:rPr>
                  </w:pPr>
                  <w:r>
                    <w:rPr>
                      <w:rFonts w:hint="default" w:ascii="Times New Roman" w:hAnsi="Times New Roman" w:cs="Times New Roman"/>
                      <w:color w:val="auto"/>
                    </w:rPr>
                    <w:t>5</w:t>
                  </w:r>
                </w:p>
              </w:tc>
              <w:tc>
                <w:tcPr>
                  <w:tcW w:w="3028" w:type="pct"/>
                  <w:noWrap w:val="0"/>
                  <w:vAlign w:val="center"/>
                </w:tcPr>
                <w:p w14:paraId="293CA437">
                  <w:pPr>
                    <w:pStyle w:val="30"/>
                    <w:bidi w:val="0"/>
                    <w:rPr>
                      <w:rFonts w:hint="default" w:ascii="Times New Roman" w:hAnsi="Times New Roman" w:cs="Times New Roman"/>
                      <w:color w:val="auto"/>
                    </w:rPr>
                  </w:pPr>
                  <w:r>
                    <w:rPr>
                      <w:rFonts w:hint="default" w:ascii="Times New Roman" w:hAnsi="Times New Roman" w:cs="Times New Roman"/>
                      <w:color w:val="auto"/>
                    </w:rPr>
                    <w:t>建立健全环境监测监控体系。开展包括环境空气、地表水、地下水、土壤、底泥等环境要素的长期跟踪监测与管理。结合区域跟踪监测情况</w:t>
                  </w:r>
                  <w:r>
                    <w:rPr>
                      <w:rFonts w:hint="default" w:ascii="Times New Roman" w:hAnsi="Times New Roman" w:cs="Times New Roman"/>
                      <w:color w:val="auto"/>
                      <w:lang w:eastAsia="zh-CN"/>
                    </w:rPr>
                    <w:t>，</w:t>
                  </w:r>
                  <w:r>
                    <w:rPr>
                      <w:rFonts w:hint="default" w:ascii="Times New Roman" w:hAnsi="Times New Roman" w:cs="Times New Roman"/>
                      <w:color w:val="auto"/>
                    </w:rPr>
                    <w:t>动态调整开发区开发建设规模和时序进度</w:t>
                  </w:r>
                  <w:r>
                    <w:rPr>
                      <w:rFonts w:hint="default" w:ascii="Times New Roman" w:hAnsi="Times New Roman" w:cs="Times New Roman"/>
                      <w:color w:val="auto"/>
                      <w:lang w:eastAsia="zh-CN"/>
                    </w:rPr>
                    <w:t>，</w:t>
                  </w:r>
                  <w:r>
                    <w:rPr>
                      <w:rFonts w:hint="default" w:ascii="Times New Roman" w:hAnsi="Times New Roman" w:cs="Times New Roman"/>
                      <w:color w:val="auto"/>
                    </w:rPr>
                    <w:t>优化生态环境保护措施</w:t>
                  </w:r>
                  <w:r>
                    <w:rPr>
                      <w:rFonts w:hint="default" w:ascii="Times New Roman" w:hAnsi="Times New Roman" w:cs="Times New Roman"/>
                      <w:color w:val="auto"/>
                      <w:lang w:eastAsia="zh-CN"/>
                    </w:rPr>
                    <w:t>，</w:t>
                  </w:r>
                  <w:r>
                    <w:rPr>
                      <w:rFonts w:hint="default" w:ascii="Times New Roman" w:hAnsi="Times New Roman" w:cs="Times New Roman"/>
                      <w:color w:val="auto"/>
                    </w:rPr>
                    <w:t>确保区域生态环境质量不恶化。探索开展新污染物环境本底调查监测</w:t>
                  </w:r>
                  <w:r>
                    <w:rPr>
                      <w:rFonts w:hint="default" w:ascii="Times New Roman" w:hAnsi="Times New Roman" w:cs="Times New Roman"/>
                      <w:color w:val="auto"/>
                      <w:lang w:eastAsia="zh-CN"/>
                    </w:rPr>
                    <w:t>，</w:t>
                  </w:r>
                  <w:r>
                    <w:rPr>
                      <w:rFonts w:hint="default" w:ascii="Times New Roman" w:hAnsi="Times New Roman" w:cs="Times New Roman"/>
                      <w:color w:val="auto"/>
                    </w:rPr>
                    <w:t>依法公开新污染物信息。积极推进氟化物污染物排放及水环境质量的监测监控</w:t>
                  </w:r>
                  <w:r>
                    <w:rPr>
                      <w:rFonts w:hint="default" w:ascii="Times New Roman" w:hAnsi="Times New Roman" w:cs="Times New Roman"/>
                      <w:color w:val="auto"/>
                      <w:lang w:eastAsia="zh-CN"/>
                    </w:rPr>
                    <w:t>，</w:t>
                  </w:r>
                  <w:r>
                    <w:rPr>
                      <w:rFonts w:hint="default" w:ascii="Times New Roman" w:hAnsi="Times New Roman" w:cs="Times New Roman"/>
                      <w:color w:val="auto"/>
                    </w:rPr>
                    <w:t>园区重点涉氟企业雨水污水排放口完成氟化物自动监控系统安装</w:t>
                  </w:r>
                  <w:r>
                    <w:rPr>
                      <w:rFonts w:hint="default" w:ascii="Times New Roman" w:hAnsi="Times New Roman" w:cs="Times New Roman"/>
                      <w:color w:val="auto"/>
                      <w:lang w:eastAsia="zh-CN"/>
                    </w:rPr>
                    <w:t>，</w:t>
                  </w:r>
                  <w:r>
                    <w:rPr>
                      <w:rFonts w:hint="default" w:ascii="Times New Roman" w:hAnsi="Times New Roman" w:cs="Times New Roman"/>
                      <w:color w:val="auto"/>
                    </w:rPr>
                    <w:t>并与省、市平台联网。指导区内企业规范安装在线监测设备并联网</w:t>
                  </w:r>
                  <w:r>
                    <w:rPr>
                      <w:rFonts w:hint="default" w:ascii="Times New Roman" w:hAnsi="Times New Roman" w:cs="Times New Roman"/>
                      <w:color w:val="auto"/>
                      <w:lang w:eastAsia="zh-CN"/>
                    </w:rPr>
                    <w:t>，</w:t>
                  </w:r>
                  <w:r>
                    <w:rPr>
                      <w:rFonts w:hint="default" w:ascii="Times New Roman" w:hAnsi="Times New Roman" w:cs="Times New Roman"/>
                      <w:color w:val="auto"/>
                    </w:rPr>
                    <w:t>推进区内排污许可重点管理单位自动监测全覆盖；暂不具备安装在线监测设备条件的企业</w:t>
                  </w:r>
                  <w:r>
                    <w:rPr>
                      <w:rFonts w:hint="default" w:ascii="Times New Roman" w:hAnsi="Times New Roman" w:cs="Times New Roman"/>
                      <w:color w:val="auto"/>
                      <w:lang w:eastAsia="zh-CN"/>
                    </w:rPr>
                    <w:t>，</w:t>
                  </w:r>
                  <w:r>
                    <w:rPr>
                      <w:rFonts w:hint="default" w:ascii="Times New Roman" w:hAnsi="Times New Roman" w:cs="Times New Roman"/>
                      <w:color w:val="auto"/>
                    </w:rPr>
                    <w:t>应做好委托监测工作。</w:t>
                  </w:r>
                </w:p>
              </w:tc>
              <w:tc>
                <w:tcPr>
                  <w:tcW w:w="1330" w:type="pct"/>
                  <w:noWrap w:val="0"/>
                  <w:vAlign w:val="center"/>
                </w:tcPr>
                <w:p w14:paraId="162B672B">
                  <w:pPr>
                    <w:pStyle w:val="30"/>
                    <w:bidi w:val="0"/>
                    <w:rPr>
                      <w:rFonts w:hint="default" w:ascii="Times New Roman" w:hAnsi="Times New Roman" w:cs="Times New Roman"/>
                      <w:color w:val="auto"/>
                    </w:rPr>
                  </w:pPr>
                  <w:r>
                    <w:rPr>
                      <w:rFonts w:hint="default" w:ascii="Times New Roman" w:hAnsi="Times New Roman" w:cs="Times New Roman"/>
                      <w:color w:val="auto"/>
                    </w:rPr>
                    <w:t>本</w:t>
                  </w:r>
                  <w:r>
                    <w:rPr>
                      <w:rFonts w:hint="default" w:ascii="Times New Roman" w:hAnsi="Times New Roman" w:cs="Times New Roman"/>
                      <w:color w:val="auto"/>
                      <w:lang w:val="en-US" w:eastAsia="zh-CN"/>
                    </w:rPr>
                    <w:t>项目不涉及污染因子氟化物</w:t>
                  </w:r>
                  <w:r>
                    <w:rPr>
                      <w:rFonts w:hint="default" w:ascii="Times New Roman" w:hAnsi="Times New Roman" w:cs="Times New Roman"/>
                      <w:color w:val="auto"/>
                    </w:rPr>
                    <w:t>。废气、废水排口均加强污染源监管</w:t>
                  </w:r>
                  <w:r>
                    <w:rPr>
                      <w:rFonts w:hint="default" w:ascii="Times New Roman" w:hAnsi="Times New Roman" w:cs="Times New Roman"/>
                      <w:color w:val="auto"/>
                      <w:lang w:eastAsia="zh-CN"/>
                    </w:rPr>
                    <w:t>，</w:t>
                  </w:r>
                  <w:r>
                    <w:rPr>
                      <w:rFonts w:hint="default" w:ascii="Times New Roman" w:hAnsi="Times New Roman" w:cs="Times New Roman"/>
                      <w:color w:val="auto"/>
                    </w:rPr>
                    <w:t>确保污染物稳定达标排放。本项目</w:t>
                  </w:r>
                  <w:r>
                    <w:rPr>
                      <w:rFonts w:hint="default" w:ascii="Times New Roman" w:hAnsi="Times New Roman" w:cs="Times New Roman"/>
                      <w:color w:val="auto"/>
                      <w:lang w:val="en-US" w:eastAsia="zh-CN"/>
                    </w:rPr>
                    <w:t>将按排污许可要求委托有资质的检测公司开展监测工作</w:t>
                  </w:r>
                  <w:r>
                    <w:rPr>
                      <w:rFonts w:hint="default" w:ascii="Times New Roman" w:hAnsi="Times New Roman" w:cs="Times New Roman"/>
                      <w:color w:val="auto"/>
                    </w:rPr>
                    <w:t>。</w:t>
                  </w:r>
                </w:p>
              </w:tc>
              <w:tc>
                <w:tcPr>
                  <w:tcW w:w="432" w:type="pct"/>
                  <w:tcBorders>
                    <w:right w:val="nil"/>
                  </w:tcBorders>
                  <w:noWrap w:val="0"/>
                  <w:vAlign w:val="center"/>
                </w:tcPr>
                <w:p w14:paraId="6CBDF4F3">
                  <w:pPr>
                    <w:pStyle w:val="30"/>
                    <w:bidi w:val="0"/>
                    <w:rPr>
                      <w:rFonts w:hint="default" w:ascii="Times New Roman" w:hAnsi="Times New Roman" w:cs="Times New Roman"/>
                      <w:color w:val="auto"/>
                    </w:rPr>
                  </w:pPr>
                  <w:r>
                    <w:rPr>
                      <w:rFonts w:hint="default" w:ascii="Times New Roman" w:hAnsi="Times New Roman" w:cs="Times New Roman"/>
                      <w:color w:val="auto"/>
                    </w:rPr>
                    <w:t>是</w:t>
                  </w:r>
                </w:p>
              </w:tc>
            </w:tr>
            <w:tr w14:paraId="43DE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left w:val="nil"/>
                  </w:tcBorders>
                  <w:noWrap w:val="0"/>
                  <w:vAlign w:val="center"/>
                </w:tcPr>
                <w:p w14:paraId="57409FB0">
                  <w:pPr>
                    <w:pStyle w:val="30"/>
                    <w:bidi w:val="0"/>
                    <w:rPr>
                      <w:rFonts w:hint="default" w:ascii="Times New Roman" w:hAnsi="Times New Roman" w:cs="Times New Roman"/>
                      <w:color w:val="auto"/>
                    </w:rPr>
                  </w:pPr>
                  <w:r>
                    <w:rPr>
                      <w:rFonts w:hint="default" w:ascii="Times New Roman" w:hAnsi="Times New Roman" w:cs="Times New Roman"/>
                      <w:color w:val="auto"/>
                    </w:rPr>
                    <w:t>6</w:t>
                  </w:r>
                </w:p>
              </w:tc>
              <w:tc>
                <w:tcPr>
                  <w:tcW w:w="3028" w:type="pct"/>
                  <w:noWrap w:val="0"/>
                  <w:vAlign w:val="center"/>
                </w:tcPr>
                <w:p w14:paraId="762BC58E">
                  <w:pPr>
                    <w:pStyle w:val="30"/>
                    <w:bidi w:val="0"/>
                    <w:rPr>
                      <w:rFonts w:hint="eastAsia" w:ascii="Times New Roman" w:hAnsi="Times New Roman" w:eastAsia="宋体" w:cs="Times New Roman"/>
                      <w:color w:val="auto"/>
                      <w:lang w:eastAsia="zh-CN"/>
                    </w:rPr>
                  </w:pPr>
                  <w:r>
                    <w:rPr>
                      <w:rFonts w:hint="default" w:ascii="Times New Roman" w:hAnsi="Times New Roman" w:cs="Times New Roman"/>
                      <w:color w:val="auto"/>
                    </w:rPr>
                    <w:t>健全环境风险防控体系</w:t>
                  </w:r>
                  <w:r>
                    <w:rPr>
                      <w:rFonts w:hint="default" w:ascii="Times New Roman" w:hAnsi="Times New Roman" w:cs="Times New Roman"/>
                      <w:color w:val="auto"/>
                      <w:lang w:eastAsia="zh-CN"/>
                    </w:rPr>
                    <w:t>，</w:t>
                  </w:r>
                  <w:r>
                    <w:rPr>
                      <w:rFonts w:hint="default" w:ascii="Times New Roman" w:hAnsi="Times New Roman" w:cs="Times New Roman"/>
                      <w:color w:val="auto"/>
                    </w:rPr>
                    <w:t>提升环境应急能力。完善开发区风险防控体系建设</w:t>
                  </w:r>
                  <w:r>
                    <w:rPr>
                      <w:rFonts w:hint="default" w:ascii="Times New Roman" w:hAnsi="Times New Roman" w:cs="Times New Roman"/>
                      <w:color w:val="auto"/>
                      <w:lang w:eastAsia="zh-CN"/>
                    </w:rPr>
                    <w:t>，</w:t>
                  </w:r>
                  <w:r>
                    <w:rPr>
                      <w:rFonts w:hint="default" w:ascii="Times New Roman" w:hAnsi="Times New Roman" w:cs="Times New Roman"/>
                      <w:color w:val="auto"/>
                    </w:rPr>
                    <w:t>确保事故废水不进入外环境。加强环境应急基础设施建设</w:t>
                  </w:r>
                  <w:r>
                    <w:rPr>
                      <w:rFonts w:hint="default" w:ascii="Times New Roman" w:hAnsi="Times New Roman" w:cs="Times New Roman"/>
                      <w:color w:val="auto"/>
                      <w:lang w:eastAsia="zh-CN"/>
                    </w:rPr>
                    <w:t>，</w:t>
                  </w:r>
                  <w:r>
                    <w:rPr>
                      <w:rFonts w:hint="default" w:ascii="Times New Roman" w:hAnsi="Times New Roman" w:cs="Times New Roman"/>
                      <w:color w:val="auto"/>
                    </w:rPr>
                    <w:t>配备充足的应急装备物资</w:t>
                  </w:r>
                  <w:r>
                    <w:rPr>
                      <w:rFonts w:hint="default" w:ascii="Times New Roman" w:hAnsi="Times New Roman" w:cs="Times New Roman"/>
                      <w:color w:val="auto"/>
                      <w:lang w:eastAsia="zh-CN"/>
                    </w:rPr>
                    <w:t>，</w:t>
                  </w:r>
                  <w:r>
                    <w:rPr>
                      <w:rFonts w:hint="default" w:ascii="Times New Roman" w:hAnsi="Times New Roman" w:cs="Times New Roman"/>
                      <w:color w:val="auto"/>
                    </w:rPr>
                    <w:t>形成环境应急救援能力。健全环境风险评估和应急预案制度</w:t>
                  </w:r>
                  <w:r>
                    <w:rPr>
                      <w:rFonts w:hint="default" w:ascii="Times New Roman" w:hAnsi="Times New Roman" w:cs="Times New Roman"/>
                      <w:color w:val="auto"/>
                      <w:lang w:eastAsia="zh-CN"/>
                    </w:rPr>
                    <w:t>，</w:t>
                  </w:r>
                  <w:r>
                    <w:rPr>
                      <w:rFonts w:hint="default" w:ascii="Times New Roman" w:hAnsi="Times New Roman" w:cs="Times New Roman"/>
                      <w:color w:val="auto"/>
                    </w:rPr>
                    <w:t>定期开展环境应急演练</w:t>
                  </w:r>
                  <w:r>
                    <w:rPr>
                      <w:rFonts w:hint="default" w:ascii="Times New Roman" w:hAnsi="Times New Roman" w:cs="Times New Roman"/>
                      <w:color w:val="auto"/>
                      <w:lang w:eastAsia="zh-CN"/>
                    </w:rPr>
                    <w:t>，</w:t>
                  </w:r>
                  <w:r>
                    <w:rPr>
                      <w:rFonts w:hint="default" w:ascii="Times New Roman" w:hAnsi="Times New Roman" w:cs="Times New Roman"/>
                      <w:color w:val="auto"/>
                    </w:rPr>
                    <w:t>完善环境应急响应联动机制</w:t>
                  </w:r>
                  <w:r>
                    <w:rPr>
                      <w:rFonts w:hint="default" w:ascii="Times New Roman" w:hAnsi="Times New Roman" w:cs="Times New Roman"/>
                      <w:color w:val="auto"/>
                      <w:lang w:eastAsia="zh-CN"/>
                    </w:rPr>
                    <w:t>，</w:t>
                  </w:r>
                  <w:r>
                    <w:rPr>
                      <w:rFonts w:hint="default" w:ascii="Times New Roman" w:hAnsi="Times New Roman" w:cs="Times New Roman"/>
                      <w:color w:val="auto"/>
                    </w:rPr>
                    <w:t>提升应急实战水平。建立突发环境事件隐患排查长效机制</w:t>
                  </w:r>
                  <w:r>
                    <w:rPr>
                      <w:rFonts w:hint="default" w:ascii="Times New Roman" w:hAnsi="Times New Roman" w:cs="Times New Roman"/>
                      <w:color w:val="auto"/>
                      <w:lang w:eastAsia="zh-CN"/>
                    </w:rPr>
                    <w:t>，</w:t>
                  </w:r>
                  <w:r>
                    <w:rPr>
                      <w:rFonts w:hint="default" w:ascii="Times New Roman" w:hAnsi="Times New Roman" w:cs="Times New Roman"/>
                      <w:color w:val="auto"/>
                    </w:rPr>
                    <w:t>定期排查突发环境事件隐患</w:t>
                  </w:r>
                  <w:r>
                    <w:rPr>
                      <w:rFonts w:hint="default" w:ascii="Times New Roman" w:hAnsi="Times New Roman" w:cs="Times New Roman"/>
                      <w:color w:val="auto"/>
                      <w:lang w:eastAsia="zh-CN"/>
                    </w:rPr>
                    <w:t>，</w:t>
                  </w:r>
                  <w:r>
                    <w:rPr>
                      <w:rFonts w:hint="default" w:ascii="Times New Roman" w:hAnsi="Times New Roman" w:cs="Times New Roman"/>
                      <w:color w:val="auto"/>
                    </w:rPr>
                    <w:t>建立隐患清单并督促整改到位</w:t>
                  </w:r>
                  <w:r>
                    <w:rPr>
                      <w:rFonts w:hint="default" w:ascii="Times New Roman" w:hAnsi="Times New Roman" w:cs="Times New Roman"/>
                      <w:color w:val="auto"/>
                      <w:lang w:eastAsia="zh-CN"/>
                    </w:rPr>
                    <w:t>，</w:t>
                  </w:r>
                  <w:r>
                    <w:rPr>
                      <w:rFonts w:hint="default" w:ascii="Times New Roman" w:hAnsi="Times New Roman" w:cs="Times New Roman"/>
                      <w:color w:val="auto"/>
                    </w:rPr>
                    <w:t>保障区域环境安全。重点关注并督促指导涉重金属企业构筑“风险单元</w:t>
                  </w:r>
                  <w:r>
                    <w:rPr>
                      <w:rFonts w:hint="eastAsia" w:ascii="Times New Roman" w:cs="Times New Roman"/>
                      <w:color w:val="auto"/>
                      <w:lang w:eastAsia="zh-CN"/>
                    </w:rPr>
                    <w:t>－</w:t>
                  </w:r>
                  <w:r>
                    <w:rPr>
                      <w:rFonts w:hint="default" w:ascii="Times New Roman" w:hAnsi="Times New Roman" w:cs="Times New Roman"/>
                      <w:color w:val="auto"/>
                    </w:rPr>
                    <w:t>管网、应急池</w:t>
                  </w:r>
                  <w:r>
                    <w:rPr>
                      <w:rFonts w:hint="eastAsia" w:ascii="Times New Roman" w:cs="Times New Roman"/>
                      <w:color w:val="auto"/>
                      <w:lang w:eastAsia="zh-CN"/>
                    </w:rPr>
                    <w:t>－</w:t>
                  </w:r>
                  <w:r>
                    <w:rPr>
                      <w:rFonts w:hint="default" w:ascii="Times New Roman" w:hAnsi="Times New Roman" w:cs="Times New Roman"/>
                      <w:color w:val="auto"/>
                    </w:rPr>
                    <w:t>厂界”环境风险防控体系</w:t>
                  </w:r>
                  <w:r>
                    <w:rPr>
                      <w:rFonts w:hint="default" w:ascii="Times New Roman" w:hAnsi="Times New Roman" w:cs="Times New Roman"/>
                      <w:color w:val="auto"/>
                      <w:lang w:eastAsia="zh-CN"/>
                    </w:rPr>
                    <w:t>，</w:t>
                  </w:r>
                  <w:r>
                    <w:rPr>
                      <w:rFonts w:hint="default" w:ascii="Times New Roman" w:hAnsi="Times New Roman" w:cs="Times New Roman"/>
                      <w:color w:val="auto"/>
                    </w:rPr>
                    <w:t>严防涉重金属突发水污染事件</w:t>
                  </w:r>
                  <w:r>
                    <w:rPr>
                      <w:rFonts w:hint="eastAsia" w:ascii="Times New Roman" w:cs="Times New Roman"/>
                      <w:color w:val="auto"/>
                      <w:lang w:eastAsia="zh-CN"/>
                    </w:rPr>
                    <w:t>。</w:t>
                  </w:r>
                </w:p>
              </w:tc>
              <w:tc>
                <w:tcPr>
                  <w:tcW w:w="1330" w:type="pct"/>
                  <w:noWrap w:val="0"/>
                  <w:vAlign w:val="center"/>
                </w:tcPr>
                <w:p w14:paraId="29793F58">
                  <w:pPr>
                    <w:pStyle w:val="30"/>
                    <w:bidi w:val="0"/>
                    <w:rPr>
                      <w:rFonts w:hint="default" w:ascii="Times New Roman" w:hAnsi="Times New Roman" w:cs="Times New Roman"/>
                      <w:color w:val="auto"/>
                    </w:rPr>
                  </w:pPr>
                  <w:r>
                    <w:rPr>
                      <w:rFonts w:hint="default" w:ascii="Times New Roman" w:hAnsi="Times New Roman" w:cs="Times New Roman"/>
                      <w:color w:val="auto"/>
                      <w:lang w:val="en-US" w:eastAsia="zh-CN"/>
                    </w:rPr>
                    <w:t>企业将针对本次项目，进行突发环境事件应急预案的编制，</w:t>
                  </w:r>
                  <w:r>
                    <w:rPr>
                      <w:rFonts w:hint="eastAsia" w:ascii="Times New Roman" w:hAnsi="Times New Roman" w:cs="Times New Roman"/>
                      <w:color w:val="auto"/>
                      <w:lang w:val="en-US" w:eastAsia="zh-CN"/>
                    </w:rPr>
                    <w:t>制定</w:t>
                  </w:r>
                  <w:r>
                    <w:rPr>
                      <w:rFonts w:hint="default" w:ascii="Times New Roman" w:hAnsi="Times New Roman" w:cs="Times New Roman"/>
                      <w:color w:val="auto"/>
                    </w:rPr>
                    <w:t>环境应急措施</w:t>
                  </w:r>
                  <w:r>
                    <w:rPr>
                      <w:rFonts w:hint="default" w:ascii="Times New Roman" w:hAnsi="Times New Roman" w:cs="Times New Roman"/>
                      <w:color w:val="auto"/>
                      <w:lang w:eastAsia="zh-CN"/>
                    </w:rPr>
                    <w:t>，</w:t>
                  </w:r>
                  <w:r>
                    <w:rPr>
                      <w:rFonts w:hint="default" w:ascii="Times New Roman" w:hAnsi="Times New Roman" w:cs="Times New Roman"/>
                      <w:color w:val="auto"/>
                    </w:rPr>
                    <w:t>配备充足的应急装备物资</w:t>
                  </w:r>
                  <w:r>
                    <w:rPr>
                      <w:rFonts w:hint="default" w:ascii="Times New Roman" w:hAnsi="Times New Roman" w:cs="Times New Roman"/>
                      <w:color w:val="auto"/>
                      <w:lang w:eastAsia="zh-CN"/>
                    </w:rPr>
                    <w:t>，</w:t>
                  </w:r>
                  <w:r>
                    <w:rPr>
                      <w:rFonts w:hint="default" w:ascii="Times New Roman" w:hAnsi="Times New Roman" w:cs="Times New Roman"/>
                      <w:color w:val="auto"/>
                    </w:rPr>
                    <w:t>积极响应市、县、</w:t>
                  </w:r>
                  <w:r>
                    <w:rPr>
                      <w:rFonts w:hint="default" w:ascii="Times New Roman" w:hAnsi="Times New Roman" w:cs="Times New Roman"/>
                      <w:color w:val="auto"/>
                      <w:lang w:val="en-US" w:eastAsia="zh-CN"/>
                    </w:rPr>
                    <w:t>园区</w:t>
                  </w:r>
                  <w:r>
                    <w:rPr>
                      <w:rFonts w:hint="default" w:ascii="Times New Roman" w:hAnsi="Times New Roman" w:cs="Times New Roman"/>
                      <w:color w:val="auto"/>
                    </w:rPr>
                    <w:t>突发环境事件应急响应体系</w:t>
                  </w:r>
                  <w:r>
                    <w:rPr>
                      <w:rFonts w:hint="default" w:ascii="Times New Roman" w:hAnsi="Times New Roman" w:cs="Times New Roman"/>
                      <w:color w:val="auto"/>
                      <w:lang w:eastAsia="zh-CN"/>
                    </w:rPr>
                    <w:t>，</w:t>
                  </w:r>
                  <w:r>
                    <w:rPr>
                      <w:rFonts w:hint="default" w:ascii="Times New Roman" w:hAnsi="Times New Roman" w:cs="Times New Roman"/>
                      <w:color w:val="auto"/>
                    </w:rPr>
                    <w:t>组织</w:t>
                  </w:r>
                  <w:r>
                    <w:rPr>
                      <w:rFonts w:hint="default" w:ascii="Times New Roman" w:hAnsi="Times New Roman" w:cs="Times New Roman"/>
                      <w:color w:val="auto"/>
                      <w:lang w:val="en-US" w:eastAsia="zh-CN"/>
                    </w:rPr>
                    <w:t>有针对性的应急</w:t>
                  </w:r>
                  <w:r>
                    <w:rPr>
                      <w:rFonts w:hint="default" w:ascii="Times New Roman" w:hAnsi="Times New Roman" w:cs="Times New Roman"/>
                      <w:color w:val="auto"/>
                    </w:rPr>
                    <w:t>演练</w:t>
                  </w:r>
                  <w:r>
                    <w:rPr>
                      <w:rFonts w:hint="default" w:ascii="Times New Roman" w:hAnsi="Times New Roman" w:cs="Times New Roman"/>
                      <w:color w:val="auto"/>
                      <w:lang w:eastAsia="zh-CN"/>
                    </w:rPr>
                    <w:t>，</w:t>
                  </w:r>
                  <w:r>
                    <w:rPr>
                      <w:rFonts w:hint="default" w:ascii="Times New Roman" w:hAnsi="Times New Roman" w:cs="Times New Roman"/>
                      <w:color w:val="auto"/>
                    </w:rPr>
                    <w:t>从而提高应急处置能力</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并及时进行备案。</w:t>
                  </w:r>
                </w:p>
              </w:tc>
              <w:tc>
                <w:tcPr>
                  <w:tcW w:w="432" w:type="pct"/>
                  <w:tcBorders>
                    <w:right w:val="nil"/>
                  </w:tcBorders>
                  <w:noWrap w:val="0"/>
                  <w:vAlign w:val="center"/>
                </w:tcPr>
                <w:p w14:paraId="0B2E9B0A">
                  <w:pPr>
                    <w:pStyle w:val="30"/>
                    <w:bidi w:val="0"/>
                    <w:rPr>
                      <w:rFonts w:hint="default" w:ascii="Times New Roman" w:hAnsi="Times New Roman" w:cs="Times New Roman"/>
                      <w:color w:val="auto"/>
                    </w:rPr>
                  </w:pPr>
                  <w:r>
                    <w:rPr>
                      <w:rFonts w:hint="default" w:ascii="Times New Roman" w:hAnsi="Times New Roman" w:cs="Times New Roman"/>
                      <w:color w:val="auto"/>
                    </w:rPr>
                    <w:t>是</w:t>
                  </w:r>
                </w:p>
              </w:tc>
            </w:tr>
            <w:tr w14:paraId="7556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 w:type="pct"/>
                  <w:tcBorders>
                    <w:left w:val="nil"/>
                    <w:bottom w:val="single" w:color="auto" w:sz="12" w:space="0"/>
                  </w:tcBorders>
                  <w:noWrap w:val="0"/>
                  <w:vAlign w:val="center"/>
                </w:tcPr>
                <w:p w14:paraId="0F967221">
                  <w:pPr>
                    <w:pStyle w:val="30"/>
                    <w:bidi w:val="0"/>
                    <w:rPr>
                      <w:rFonts w:hint="default" w:ascii="Times New Roman" w:hAnsi="Times New Roman" w:cs="Times New Roman"/>
                      <w:color w:val="auto"/>
                    </w:rPr>
                  </w:pPr>
                  <w:r>
                    <w:rPr>
                      <w:rFonts w:hint="default" w:ascii="Times New Roman" w:hAnsi="Times New Roman" w:cs="Times New Roman"/>
                      <w:color w:val="auto"/>
                    </w:rPr>
                    <w:t>7</w:t>
                  </w:r>
                </w:p>
              </w:tc>
              <w:tc>
                <w:tcPr>
                  <w:tcW w:w="3028" w:type="pct"/>
                  <w:tcBorders>
                    <w:bottom w:val="single" w:color="auto" w:sz="12" w:space="0"/>
                  </w:tcBorders>
                  <w:noWrap w:val="0"/>
                  <w:vAlign w:val="center"/>
                </w:tcPr>
                <w:p w14:paraId="60ACDD16">
                  <w:pPr>
                    <w:pStyle w:val="30"/>
                    <w:bidi w:val="0"/>
                    <w:rPr>
                      <w:rFonts w:hint="default" w:ascii="Times New Roman" w:hAnsi="Times New Roman" w:cs="Times New Roman"/>
                      <w:color w:val="auto"/>
                    </w:rPr>
                  </w:pPr>
                  <w:r>
                    <w:rPr>
                      <w:rFonts w:hint="default" w:ascii="Times New Roman" w:hAnsi="Times New Roman" w:cs="Times New Roman"/>
                      <w:color w:val="auto"/>
                    </w:rPr>
                    <w:t>切实加强园区环境管理。健全园区环境管理机构</w:t>
                  </w:r>
                  <w:r>
                    <w:rPr>
                      <w:rFonts w:hint="default" w:ascii="Times New Roman" w:hAnsi="Times New Roman" w:cs="Times New Roman"/>
                      <w:color w:val="auto"/>
                      <w:lang w:eastAsia="zh-CN"/>
                    </w:rPr>
                    <w:t>，</w:t>
                  </w:r>
                  <w:r>
                    <w:rPr>
                      <w:rFonts w:hint="default" w:ascii="Times New Roman" w:hAnsi="Times New Roman" w:cs="Times New Roman"/>
                      <w:color w:val="auto"/>
                    </w:rPr>
                    <w:t>严格环境管理制度</w:t>
                  </w:r>
                  <w:r>
                    <w:rPr>
                      <w:rFonts w:hint="default" w:ascii="Times New Roman" w:hAnsi="Times New Roman" w:cs="Times New Roman"/>
                      <w:color w:val="auto"/>
                      <w:lang w:eastAsia="zh-CN"/>
                    </w:rPr>
                    <w:t>，</w:t>
                  </w:r>
                  <w:r>
                    <w:rPr>
                      <w:rFonts w:hint="default" w:ascii="Times New Roman" w:hAnsi="Times New Roman" w:cs="Times New Roman"/>
                      <w:color w:val="auto"/>
                    </w:rPr>
                    <w:t>强化日常环境监督管理</w:t>
                  </w:r>
                  <w:r>
                    <w:rPr>
                      <w:rFonts w:hint="default" w:ascii="Times New Roman" w:hAnsi="Times New Roman" w:cs="Times New Roman"/>
                      <w:color w:val="auto"/>
                      <w:lang w:eastAsia="zh-CN"/>
                    </w:rPr>
                    <w:t>，</w:t>
                  </w:r>
                  <w:r>
                    <w:rPr>
                      <w:rFonts w:hint="default" w:ascii="Times New Roman" w:hAnsi="Times New Roman" w:cs="Times New Roman"/>
                      <w:color w:val="auto"/>
                    </w:rPr>
                    <w:t>落实区域环境质量监测和污染源监控计划；加快推进区内企业竣工环保验收进程</w:t>
                  </w:r>
                  <w:r>
                    <w:rPr>
                      <w:rFonts w:hint="default" w:ascii="Times New Roman" w:hAnsi="Times New Roman" w:cs="Times New Roman"/>
                      <w:color w:val="auto"/>
                      <w:lang w:eastAsia="zh-CN"/>
                    </w:rPr>
                    <w:t>，</w:t>
                  </w:r>
                  <w:r>
                    <w:rPr>
                      <w:rFonts w:hint="default" w:ascii="Times New Roman" w:hAnsi="Times New Roman" w:cs="Times New Roman"/>
                      <w:color w:val="auto"/>
                    </w:rPr>
                    <w:t>今后所有入区企业和项目须严格执行环境影响评价和“三同时”制度；完善园区和企业风险防范措施与应急预案</w:t>
                  </w:r>
                  <w:r>
                    <w:rPr>
                      <w:rFonts w:hint="default" w:ascii="Times New Roman" w:hAnsi="Times New Roman" w:cs="Times New Roman"/>
                      <w:color w:val="auto"/>
                      <w:lang w:eastAsia="zh-CN"/>
                    </w:rPr>
                    <w:t>，</w:t>
                  </w:r>
                  <w:r>
                    <w:rPr>
                      <w:rFonts w:hint="default" w:ascii="Times New Roman" w:hAnsi="Times New Roman" w:cs="Times New Roman"/>
                      <w:color w:val="auto"/>
                    </w:rPr>
                    <w:t>定期开展应急演练；制定危险化学品登记管理制度；进一步梳理区内不符合产业定位或环境管理要求的企业和项目</w:t>
                  </w:r>
                  <w:r>
                    <w:rPr>
                      <w:rFonts w:hint="default" w:ascii="Times New Roman" w:hAnsi="Times New Roman" w:cs="Times New Roman"/>
                      <w:color w:val="auto"/>
                      <w:lang w:eastAsia="zh-CN"/>
                    </w:rPr>
                    <w:t>，</w:t>
                  </w:r>
                  <w:r>
                    <w:rPr>
                      <w:rFonts w:hint="default" w:ascii="Times New Roman" w:hAnsi="Times New Roman" w:cs="Times New Roman"/>
                      <w:color w:val="auto"/>
                    </w:rPr>
                    <w:t>提出并落实整改措施；开展区内各河道水环境综合整治。</w:t>
                  </w:r>
                </w:p>
              </w:tc>
              <w:tc>
                <w:tcPr>
                  <w:tcW w:w="1330" w:type="pct"/>
                  <w:tcBorders>
                    <w:bottom w:val="single" w:color="auto" w:sz="12" w:space="0"/>
                  </w:tcBorders>
                  <w:noWrap w:val="0"/>
                  <w:vAlign w:val="center"/>
                </w:tcPr>
                <w:p w14:paraId="73524A08">
                  <w:pPr>
                    <w:pStyle w:val="30"/>
                    <w:bidi w:val="0"/>
                    <w:rPr>
                      <w:rFonts w:hint="default" w:ascii="Times New Roman" w:hAnsi="Times New Roman" w:cs="Times New Roman"/>
                      <w:color w:val="auto"/>
                    </w:rPr>
                  </w:pPr>
                  <w:r>
                    <w:rPr>
                      <w:rFonts w:hint="default" w:ascii="Times New Roman" w:hAnsi="Times New Roman" w:cs="Times New Roman"/>
                      <w:color w:val="auto"/>
                    </w:rPr>
                    <w:t>企业切实加强环境管理制度</w:t>
                  </w:r>
                  <w:r>
                    <w:rPr>
                      <w:rFonts w:hint="default" w:ascii="Times New Roman" w:hAnsi="Times New Roman" w:cs="Times New Roman"/>
                      <w:color w:val="auto"/>
                      <w:lang w:eastAsia="zh-CN"/>
                    </w:rPr>
                    <w:t>，</w:t>
                  </w:r>
                  <w:r>
                    <w:rPr>
                      <w:rFonts w:hint="default" w:ascii="Times New Roman" w:hAnsi="Times New Roman" w:cs="Times New Roman"/>
                      <w:color w:val="auto"/>
                    </w:rPr>
                    <w:t>强化日常环境监督管理</w:t>
                  </w:r>
                  <w:r>
                    <w:rPr>
                      <w:rFonts w:hint="default" w:ascii="Times New Roman" w:hAnsi="Times New Roman" w:cs="Times New Roman"/>
                      <w:color w:val="auto"/>
                      <w:lang w:eastAsia="zh-CN"/>
                    </w:rPr>
                    <w:t>，</w:t>
                  </w:r>
                  <w:r>
                    <w:rPr>
                      <w:rFonts w:hint="default" w:ascii="Times New Roman" w:hAnsi="Times New Roman" w:cs="Times New Roman"/>
                      <w:color w:val="auto"/>
                    </w:rPr>
                    <w:t>严格执行</w:t>
                  </w:r>
                  <w:r>
                    <w:rPr>
                      <w:rFonts w:hint="eastAsia" w:ascii="Times New Roman" w:cs="Times New Roman"/>
                      <w:color w:val="auto"/>
                      <w:lang w:eastAsia="zh-CN"/>
                    </w:rPr>
                    <w:t>“</w:t>
                  </w:r>
                  <w:r>
                    <w:rPr>
                      <w:rFonts w:hint="default" w:ascii="Times New Roman" w:hAnsi="Times New Roman" w:cs="Times New Roman"/>
                      <w:color w:val="auto"/>
                    </w:rPr>
                    <w:t>三同时</w:t>
                  </w:r>
                  <w:r>
                    <w:rPr>
                      <w:rFonts w:hint="eastAsia" w:ascii="Times New Roman" w:cs="Times New Roman"/>
                      <w:color w:val="auto"/>
                      <w:lang w:eastAsia="zh-CN"/>
                    </w:rPr>
                    <w:t>”</w:t>
                  </w:r>
                  <w:r>
                    <w:rPr>
                      <w:rFonts w:hint="default" w:ascii="Times New Roman" w:hAnsi="Times New Roman" w:cs="Times New Roman"/>
                      <w:color w:val="auto"/>
                    </w:rPr>
                    <w:t>制度。</w:t>
                  </w:r>
                </w:p>
              </w:tc>
              <w:tc>
                <w:tcPr>
                  <w:tcW w:w="432" w:type="pct"/>
                  <w:tcBorders>
                    <w:bottom w:val="single" w:color="auto" w:sz="12" w:space="0"/>
                    <w:right w:val="nil"/>
                  </w:tcBorders>
                  <w:noWrap w:val="0"/>
                  <w:vAlign w:val="center"/>
                </w:tcPr>
                <w:p w14:paraId="52A668F3">
                  <w:pPr>
                    <w:pStyle w:val="30"/>
                    <w:bidi w:val="0"/>
                    <w:rPr>
                      <w:rFonts w:hint="default" w:ascii="Times New Roman" w:hAnsi="Times New Roman" w:cs="Times New Roman"/>
                      <w:color w:val="auto"/>
                    </w:rPr>
                  </w:pPr>
                  <w:r>
                    <w:rPr>
                      <w:rFonts w:hint="default" w:ascii="Times New Roman" w:hAnsi="Times New Roman" w:cs="Times New Roman"/>
                      <w:color w:val="auto"/>
                    </w:rPr>
                    <w:t>是</w:t>
                  </w:r>
                </w:p>
              </w:tc>
            </w:tr>
          </w:tbl>
          <w:p w14:paraId="1728E747">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eastAsia="zh-CN"/>
              </w:rPr>
            </w:pPr>
            <w:r>
              <w:rPr>
                <w:color w:val="auto"/>
              </w:rPr>
              <w:t>综上所述</w:t>
            </w:r>
            <w:r>
              <w:rPr>
                <w:rFonts w:hint="eastAsia"/>
                <w:color w:val="auto"/>
                <w:lang w:eastAsia="zh-CN"/>
              </w:rPr>
              <w:t>，</w:t>
            </w:r>
            <w:r>
              <w:rPr>
                <w:color w:val="auto"/>
              </w:rPr>
              <w:t>本项目符合开发区环境保护的总体要求</w:t>
            </w:r>
            <w:r>
              <w:rPr>
                <w:rFonts w:hint="eastAsia"/>
                <w:color w:val="auto"/>
                <w:lang w:eastAsia="zh-CN"/>
              </w:rPr>
              <w:t>，</w:t>
            </w:r>
            <w:r>
              <w:rPr>
                <w:color w:val="auto"/>
              </w:rPr>
              <w:t>符合涟水经济开发区规划环评结论及审查意见</w:t>
            </w:r>
            <w:r>
              <w:rPr>
                <w:rFonts w:hint="eastAsia"/>
                <w:color w:val="auto"/>
                <w:lang w:eastAsia="zh-CN"/>
              </w:rPr>
              <w:t>，</w:t>
            </w:r>
            <w:r>
              <w:rPr>
                <w:color w:val="auto"/>
              </w:rPr>
              <w:t>符合生态环境准入要求</w:t>
            </w:r>
            <w:r>
              <w:rPr>
                <w:rFonts w:hint="eastAsia"/>
                <w:color w:val="auto"/>
                <w:lang w:eastAsia="zh-CN"/>
              </w:rPr>
              <w:t>。</w:t>
            </w:r>
          </w:p>
          <w:p w14:paraId="78AC5C68">
            <w:pPr>
              <w:pStyle w:val="2"/>
              <w:rPr>
                <w:rFonts w:hint="eastAsia"/>
                <w:color w:val="auto"/>
                <w:lang w:eastAsia="zh-CN"/>
              </w:rPr>
            </w:pPr>
          </w:p>
          <w:p w14:paraId="6BAB314B">
            <w:pPr>
              <w:pStyle w:val="6"/>
              <w:rPr>
                <w:rFonts w:hint="eastAsia"/>
                <w:color w:val="auto"/>
                <w:lang w:eastAsia="zh-CN"/>
              </w:rPr>
            </w:pPr>
          </w:p>
          <w:p w14:paraId="65EC416C">
            <w:pPr>
              <w:pStyle w:val="2"/>
              <w:rPr>
                <w:rFonts w:hint="eastAsia"/>
                <w:color w:val="auto"/>
                <w:lang w:eastAsia="zh-CN"/>
              </w:rPr>
            </w:pPr>
          </w:p>
          <w:p w14:paraId="2C5F1B35">
            <w:pPr>
              <w:pStyle w:val="6"/>
              <w:rPr>
                <w:rFonts w:hint="eastAsia"/>
                <w:color w:val="auto"/>
                <w:lang w:eastAsia="zh-CN"/>
              </w:rPr>
            </w:pPr>
          </w:p>
          <w:p w14:paraId="58C4EC4E">
            <w:pPr>
              <w:pStyle w:val="2"/>
              <w:rPr>
                <w:rFonts w:hint="eastAsia"/>
                <w:color w:val="auto"/>
                <w:lang w:eastAsia="zh-CN"/>
              </w:rPr>
            </w:pPr>
          </w:p>
          <w:p w14:paraId="5F202A70">
            <w:pPr>
              <w:pStyle w:val="6"/>
              <w:rPr>
                <w:rFonts w:hint="eastAsia"/>
                <w:color w:val="auto"/>
                <w:lang w:eastAsia="zh-CN"/>
              </w:rPr>
            </w:pPr>
          </w:p>
          <w:p w14:paraId="4196D800">
            <w:pPr>
              <w:pStyle w:val="2"/>
              <w:rPr>
                <w:rFonts w:hint="eastAsia"/>
                <w:color w:val="auto"/>
                <w:lang w:eastAsia="zh-CN"/>
              </w:rPr>
            </w:pPr>
          </w:p>
          <w:p w14:paraId="026A371A">
            <w:pPr>
              <w:pStyle w:val="6"/>
              <w:rPr>
                <w:rFonts w:hint="eastAsia"/>
                <w:color w:val="auto"/>
                <w:lang w:eastAsia="zh-CN"/>
              </w:rPr>
            </w:pPr>
          </w:p>
          <w:p w14:paraId="0873A650">
            <w:pPr>
              <w:pStyle w:val="2"/>
              <w:rPr>
                <w:rFonts w:hint="eastAsia"/>
                <w:color w:val="auto"/>
                <w:lang w:eastAsia="zh-CN"/>
              </w:rPr>
            </w:pPr>
          </w:p>
          <w:p w14:paraId="6C13A5BC">
            <w:pPr>
              <w:pStyle w:val="6"/>
              <w:rPr>
                <w:rFonts w:hint="eastAsia"/>
                <w:color w:val="auto"/>
                <w:lang w:eastAsia="zh-CN"/>
              </w:rPr>
            </w:pPr>
          </w:p>
          <w:p w14:paraId="378055FD">
            <w:pPr>
              <w:pStyle w:val="2"/>
              <w:rPr>
                <w:rFonts w:hint="eastAsia"/>
                <w:color w:val="auto"/>
                <w:lang w:eastAsia="zh-CN"/>
              </w:rPr>
            </w:pPr>
          </w:p>
          <w:p w14:paraId="6B88E099">
            <w:pPr>
              <w:pStyle w:val="6"/>
              <w:rPr>
                <w:rFonts w:hint="eastAsia"/>
                <w:color w:val="auto"/>
                <w:lang w:eastAsia="zh-CN"/>
              </w:rPr>
            </w:pPr>
          </w:p>
          <w:p w14:paraId="6B706769">
            <w:pPr>
              <w:pStyle w:val="2"/>
              <w:rPr>
                <w:rFonts w:hint="eastAsia"/>
                <w:color w:val="auto"/>
                <w:lang w:eastAsia="zh-CN"/>
              </w:rPr>
            </w:pPr>
          </w:p>
          <w:p w14:paraId="7CB0B9A4">
            <w:pPr>
              <w:pStyle w:val="6"/>
              <w:rPr>
                <w:rFonts w:hint="eastAsia"/>
                <w:color w:val="auto"/>
                <w:lang w:eastAsia="zh-CN"/>
              </w:rPr>
            </w:pPr>
          </w:p>
          <w:p w14:paraId="56D78C69">
            <w:pPr>
              <w:pStyle w:val="2"/>
              <w:rPr>
                <w:rFonts w:hint="eastAsia"/>
                <w:color w:val="auto"/>
                <w:lang w:eastAsia="zh-CN"/>
              </w:rPr>
            </w:pPr>
          </w:p>
          <w:p w14:paraId="610A5581">
            <w:pPr>
              <w:pStyle w:val="6"/>
              <w:rPr>
                <w:rFonts w:hint="eastAsia"/>
                <w:color w:val="auto"/>
                <w:lang w:eastAsia="zh-CN"/>
              </w:rPr>
            </w:pPr>
          </w:p>
          <w:p w14:paraId="36DF8E7F">
            <w:pPr>
              <w:pStyle w:val="2"/>
              <w:rPr>
                <w:rFonts w:hint="eastAsia"/>
                <w:color w:val="auto"/>
                <w:lang w:eastAsia="zh-CN"/>
              </w:rPr>
            </w:pPr>
          </w:p>
          <w:p w14:paraId="74EFC15A">
            <w:pPr>
              <w:pStyle w:val="6"/>
              <w:rPr>
                <w:rFonts w:hint="eastAsia"/>
                <w:color w:val="auto"/>
                <w:lang w:eastAsia="zh-CN"/>
              </w:rPr>
            </w:pPr>
          </w:p>
          <w:p w14:paraId="23B1C8CA">
            <w:pPr>
              <w:pStyle w:val="2"/>
              <w:rPr>
                <w:rFonts w:hint="eastAsia"/>
                <w:color w:val="auto"/>
                <w:lang w:eastAsia="zh-CN"/>
              </w:rPr>
            </w:pPr>
          </w:p>
          <w:p w14:paraId="63DE6506">
            <w:pPr>
              <w:pStyle w:val="6"/>
              <w:rPr>
                <w:rFonts w:hint="eastAsia"/>
                <w:color w:val="auto"/>
                <w:lang w:eastAsia="zh-CN"/>
              </w:rPr>
            </w:pPr>
          </w:p>
          <w:p w14:paraId="107A15BD">
            <w:pPr>
              <w:pStyle w:val="2"/>
              <w:rPr>
                <w:rFonts w:hint="eastAsia"/>
                <w:color w:val="auto"/>
                <w:lang w:eastAsia="zh-CN"/>
              </w:rPr>
            </w:pPr>
          </w:p>
          <w:p w14:paraId="14C1631C">
            <w:pPr>
              <w:pStyle w:val="6"/>
              <w:rPr>
                <w:rFonts w:hint="eastAsia"/>
                <w:color w:val="auto"/>
                <w:lang w:eastAsia="zh-CN"/>
              </w:rPr>
            </w:pPr>
          </w:p>
          <w:p w14:paraId="59017A48">
            <w:pPr>
              <w:pStyle w:val="2"/>
              <w:rPr>
                <w:rFonts w:hint="eastAsia"/>
                <w:color w:val="auto"/>
                <w:lang w:eastAsia="zh-CN"/>
              </w:rPr>
            </w:pPr>
          </w:p>
          <w:p w14:paraId="6A4FC520">
            <w:pPr>
              <w:pStyle w:val="2"/>
              <w:ind w:left="0" w:leftChars="0" w:firstLine="0" w:firstLineChars="0"/>
              <w:rPr>
                <w:color w:val="auto"/>
              </w:rPr>
            </w:pPr>
          </w:p>
        </w:tc>
      </w:tr>
      <w:tr w14:paraId="1B0166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9" w:hRule="atLeast"/>
          <w:jc w:val="center"/>
        </w:trPr>
        <w:tc>
          <w:tcPr>
            <w:tcW w:w="956" w:type="dxa"/>
            <w:noWrap w:val="0"/>
            <w:vAlign w:val="center"/>
          </w:tcPr>
          <w:p w14:paraId="2CDA2EC6">
            <w:pPr>
              <w:autoSpaceDE w:val="0"/>
              <w:autoSpaceDN w:val="0"/>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其他符合性分析</w:t>
            </w:r>
          </w:p>
        </w:tc>
        <w:tc>
          <w:tcPr>
            <w:tcW w:w="7914" w:type="dxa"/>
            <w:gridSpan w:val="3"/>
            <w:noWrap w:val="0"/>
            <w:vAlign w:val="center"/>
          </w:tcPr>
          <w:p w14:paraId="3083B88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b w:val="0"/>
                <w:bCs w:val="0"/>
                <w:color w:val="auto"/>
                <w:sz w:val="24"/>
              </w:rPr>
            </w:pPr>
            <w:r>
              <w:rPr>
                <w:rFonts w:ascii="Times New Roman" w:hAnsi="Times New Roman" w:eastAsia="宋体" w:cs="Times New Roman"/>
                <w:b w:val="0"/>
                <w:bCs w:val="0"/>
                <w:color w:val="auto"/>
                <w:kern w:val="2"/>
                <w:sz w:val="24"/>
                <w:szCs w:val="24"/>
                <w:lang w:val="en-US" w:eastAsia="zh-CN" w:bidi="ar-SA"/>
              </w:rPr>
              <w:t>1、</w:t>
            </w:r>
            <w:r>
              <w:rPr>
                <w:rFonts w:hint="eastAsia"/>
                <w:b w:val="0"/>
                <w:bCs w:val="0"/>
                <w:color w:val="auto"/>
                <w:sz w:val="24"/>
              </w:rPr>
              <w:t>“三线一单”相符性分析</w:t>
            </w:r>
          </w:p>
          <w:p w14:paraId="6D6EF4C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color w:val="auto"/>
                <w:sz w:val="24"/>
              </w:rPr>
              <w:t>（1）生态红线</w:t>
            </w:r>
          </w:p>
          <w:p w14:paraId="1854F7E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rPr>
            </w:pPr>
            <w:r>
              <w:rPr>
                <w:color w:val="auto"/>
                <w:sz w:val="24"/>
              </w:rPr>
              <w:t>①拟建项目与《省政府关于印发江苏省生态空间管控区域规划的通知》（苏政发〔2020〕1号）相符性分析见</w:t>
            </w:r>
            <w:r>
              <w:rPr>
                <w:rFonts w:hint="eastAsia"/>
                <w:color w:val="auto"/>
                <w:sz w:val="24"/>
                <w:lang w:val="en-US" w:eastAsia="zh-CN"/>
              </w:rPr>
              <w:t>下表</w:t>
            </w:r>
            <w:r>
              <w:rPr>
                <w:color w:val="auto"/>
                <w:sz w:val="24"/>
              </w:rPr>
              <w:t>。</w:t>
            </w:r>
          </w:p>
          <w:p w14:paraId="3ED45B20">
            <w:pPr>
              <w:pStyle w:val="2"/>
              <w:spacing w:line="240" w:lineRule="auto"/>
              <w:ind w:left="105" w:leftChars="50"/>
              <w:jc w:val="center"/>
              <w:rPr>
                <w:rFonts w:ascii="Times New Roman" w:hAnsi="Times New Roman"/>
                <w:color w:val="auto"/>
                <w:sz w:val="21"/>
                <w:szCs w:val="21"/>
              </w:rPr>
            </w:pPr>
            <w:r>
              <w:rPr>
                <w:rFonts w:ascii="Times New Roman" w:hAnsi="Times New Roman"/>
                <w:b/>
                <w:bCs/>
                <w:color w:val="auto"/>
                <w:sz w:val="21"/>
                <w:szCs w:val="21"/>
              </w:rPr>
              <w:t>表1-</w:t>
            </w:r>
            <w:r>
              <w:rPr>
                <w:rFonts w:hint="eastAsia" w:ascii="Times New Roman" w:hAnsi="Times New Roman"/>
                <w:b/>
                <w:bCs/>
                <w:color w:val="auto"/>
                <w:sz w:val="21"/>
                <w:szCs w:val="21"/>
                <w:lang w:val="en-US" w:eastAsia="zh-CN"/>
              </w:rPr>
              <w:t xml:space="preserve">3  </w:t>
            </w:r>
            <w:r>
              <w:rPr>
                <w:rFonts w:ascii="Times New Roman" w:hAnsi="Times New Roman"/>
                <w:b/>
                <w:bCs/>
                <w:color w:val="auto"/>
                <w:sz w:val="21"/>
                <w:szCs w:val="21"/>
              </w:rPr>
              <w:t>本项目与苏政发〔2020〕1号文相符性分析</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60"/>
              <w:gridCol w:w="684"/>
              <w:gridCol w:w="684"/>
              <w:gridCol w:w="2284"/>
              <w:gridCol w:w="2060"/>
              <w:gridCol w:w="1123"/>
            </w:tblGrid>
            <w:tr w14:paraId="3CBEE4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58" w:type="pct"/>
                  <w:vMerge w:val="restart"/>
                  <w:noWrap w:val="0"/>
                  <w:vAlign w:val="center"/>
                </w:tcPr>
                <w:p w14:paraId="10B29A83">
                  <w:pPr>
                    <w:pStyle w:val="30"/>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生态空间保护区域名称</w:t>
                  </w:r>
                </w:p>
              </w:tc>
              <w:tc>
                <w:tcPr>
                  <w:tcW w:w="444" w:type="pct"/>
                  <w:vMerge w:val="restart"/>
                  <w:noWrap w:val="0"/>
                  <w:vAlign w:val="center"/>
                </w:tcPr>
                <w:p w14:paraId="692881AB">
                  <w:pPr>
                    <w:pStyle w:val="30"/>
                    <w:bidi w:val="0"/>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县（市、区）</w:t>
                  </w:r>
                </w:p>
              </w:tc>
              <w:tc>
                <w:tcPr>
                  <w:tcW w:w="444" w:type="pct"/>
                  <w:vMerge w:val="restart"/>
                  <w:noWrap w:val="0"/>
                  <w:vAlign w:val="center"/>
                </w:tcPr>
                <w:p w14:paraId="789C9699">
                  <w:pPr>
                    <w:pStyle w:val="30"/>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主导生态功能</w:t>
                  </w:r>
                </w:p>
              </w:tc>
              <w:tc>
                <w:tcPr>
                  <w:tcW w:w="2823" w:type="pct"/>
                  <w:gridSpan w:val="2"/>
                  <w:noWrap w:val="0"/>
                  <w:vAlign w:val="center"/>
                </w:tcPr>
                <w:p w14:paraId="4B0D6B3D">
                  <w:pPr>
                    <w:pStyle w:val="30"/>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范围</w:t>
                  </w:r>
                </w:p>
              </w:tc>
              <w:tc>
                <w:tcPr>
                  <w:tcW w:w="729" w:type="pct"/>
                  <w:vMerge w:val="restart"/>
                  <w:noWrap w:val="0"/>
                  <w:vAlign w:val="center"/>
                </w:tcPr>
                <w:p w14:paraId="45B19B0F">
                  <w:pPr>
                    <w:pStyle w:val="30"/>
                    <w:bidi w:val="0"/>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与本项目位置关系</w:t>
                  </w:r>
                </w:p>
              </w:tc>
            </w:tr>
            <w:tr w14:paraId="2D6005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58" w:type="pct"/>
                  <w:vMerge w:val="continue"/>
                  <w:noWrap w:val="0"/>
                  <w:vAlign w:val="center"/>
                </w:tcPr>
                <w:p w14:paraId="2254D637">
                  <w:pPr>
                    <w:pStyle w:val="30"/>
                    <w:bidi w:val="0"/>
                    <w:rPr>
                      <w:rFonts w:hint="default" w:ascii="Times New Roman" w:hAnsi="Times New Roman" w:eastAsia="宋体" w:cs="Times New Roman"/>
                      <w:color w:val="auto"/>
                      <w:sz w:val="21"/>
                    </w:rPr>
                  </w:pPr>
                </w:p>
              </w:tc>
              <w:tc>
                <w:tcPr>
                  <w:tcW w:w="444" w:type="pct"/>
                  <w:vMerge w:val="continue"/>
                  <w:noWrap w:val="0"/>
                  <w:vAlign w:val="center"/>
                </w:tcPr>
                <w:p w14:paraId="268CA757">
                  <w:pPr>
                    <w:pStyle w:val="30"/>
                    <w:bidi w:val="0"/>
                    <w:rPr>
                      <w:rFonts w:hint="default" w:ascii="Times New Roman" w:hAnsi="Times New Roman" w:eastAsia="宋体" w:cs="Times New Roman"/>
                      <w:color w:val="auto"/>
                      <w:sz w:val="21"/>
                    </w:rPr>
                  </w:pPr>
                </w:p>
              </w:tc>
              <w:tc>
                <w:tcPr>
                  <w:tcW w:w="444" w:type="pct"/>
                  <w:vMerge w:val="continue"/>
                  <w:noWrap w:val="0"/>
                  <w:vAlign w:val="center"/>
                </w:tcPr>
                <w:p w14:paraId="0E396B95">
                  <w:pPr>
                    <w:pStyle w:val="30"/>
                    <w:bidi w:val="0"/>
                    <w:rPr>
                      <w:rFonts w:hint="default" w:ascii="Times New Roman" w:hAnsi="Times New Roman" w:eastAsia="宋体" w:cs="Times New Roman"/>
                      <w:color w:val="auto"/>
                      <w:sz w:val="21"/>
                    </w:rPr>
                  </w:pPr>
                </w:p>
              </w:tc>
              <w:tc>
                <w:tcPr>
                  <w:tcW w:w="1484" w:type="pct"/>
                  <w:noWrap w:val="0"/>
                  <w:vAlign w:val="center"/>
                </w:tcPr>
                <w:p w14:paraId="3CA281E3">
                  <w:pPr>
                    <w:pStyle w:val="30"/>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国家级</w:t>
                  </w:r>
                  <w:r>
                    <w:rPr>
                      <w:rFonts w:hint="eastAsia" w:ascii="Times New Roman" w:cs="Times New Roman"/>
                      <w:color w:val="auto"/>
                      <w:sz w:val="21"/>
                      <w:lang w:eastAsia="zh-CN"/>
                    </w:rPr>
                    <w:t>生态保护红线</w:t>
                  </w:r>
                  <w:r>
                    <w:rPr>
                      <w:rFonts w:hint="default" w:ascii="Times New Roman" w:hAnsi="Times New Roman" w:eastAsia="宋体" w:cs="Times New Roman"/>
                      <w:color w:val="auto"/>
                      <w:sz w:val="21"/>
                    </w:rPr>
                    <w:t>范围</w:t>
                  </w:r>
                </w:p>
              </w:tc>
              <w:tc>
                <w:tcPr>
                  <w:tcW w:w="1338" w:type="pct"/>
                  <w:noWrap w:val="0"/>
                  <w:vAlign w:val="center"/>
                </w:tcPr>
                <w:p w14:paraId="67995B06">
                  <w:pPr>
                    <w:pStyle w:val="30"/>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生态空间管控区域范围</w:t>
                  </w:r>
                </w:p>
              </w:tc>
              <w:tc>
                <w:tcPr>
                  <w:tcW w:w="729" w:type="pct"/>
                  <w:vMerge w:val="continue"/>
                  <w:noWrap w:val="0"/>
                  <w:vAlign w:val="center"/>
                </w:tcPr>
                <w:p w14:paraId="199C9B0E">
                  <w:pPr>
                    <w:pStyle w:val="30"/>
                    <w:bidi w:val="0"/>
                    <w:rPr>
                      <w:rFonts w:hint="default" w:ascii="Times New Roman" w:hAnsi="Times New Roman" w:eastAsia="宋体" w:cs="Times New Roman"/>
                      <w:color w:val="auto"/>
                      <w:sz w:val="21"/>
                    </w:rPr>
                  </w:pPr>
                </w:p>
              </w:tc>
            </w:tr>
            <w:tr w14:paraId="428470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58" w:type="pct"/>
                  <w:noWrap w:val="0"/>
                  <w:vAlign w:val="center"/>
                </w:tcPr>
                <w:p w14:paraId="1C8E26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rPr>
                  </w:pPr>
                  <w:r>
                    <w:rPr>
                      <w:rFonts w:ascii="Times New Roman" w:hAnsi="Times New Roman" w:eastAsia="宋体"/>
                      <w:color w:val="auto"/>
                      <w:sz w:val="21"/>
                      <w:szCs w:val="21"/>
                      <w:lang w:bidi="ar"/>
                    </w:rPr>
                    <w:t>废黄河（涟水县）重要湿地</w:t>
                  </w:r>
                </w:p>
              </w:tc>
              <w:tc>
                <w:tcPr>
                  <w:tcW w:w="444" w:type="pct"/>
                  <w:noWrap w:val="0"/>
                  <w:vAlign w:val="center"/>
                </w:tcPr>
                <w:p w14:paraId="3672BA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lang w:val="en-US" w:eastAsia="zh-CN"/>
                    </w:rPr>
                  </w:pPr>
                  <w:r>
                    <w:rPr>
                      <w:rFonts w:ascii="Times New Roman" w:hAnsi="Times New Roman" w:eastAsia="宋体"/>
                      <w:color w:val="auto"/>
                      <w:sz w:val="21"/>
                      <w:szCs w:val="21"/>
                      <w:lang w:bidi="ar"/>
                    </w:rPr>
                    <w:t>涟水县</w:t>
                  </w:r>
                </w:p>
              </w:tc>
              <w:tc>
                <w:tcPr>
                  <w:tcW w:w="444" w:type="pct"/>
                  <w:noWrap w:val="0"/>
                  <w:vAlign w:val="center"/>
                </w:tcPr>
                <w:p w14:paraId="3107107E">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宋体" w:cs="Times New Roman"/>
                      <w:color w:val="auto"/>
                      <w:sz w:val="21"/>
                    </w:rPr>
                  </w:pPr>
                  <w:r>
                    <w:rPr>
                      <w:rFonts w:ascii="Times New Roman" w:hAnsi="Times New Roman" w:eastAsia="宋体"/>
                      <w:color w:val="auto"/>
                      <w:sz w:val="21"/>
                      <w:szCs w:val="21"/>
                      <w:lang w:bidi="ar"/>
                    </w:rPr>
                    <w:t>湿地生态系统保护</w:t>
                  </w:r>
                </w:p>
              </w:tc>
              <w:tc>
                <w:tcPr>
                  <w:tcW w:w="1484" w:type="pct"/>
                  <w:noWrap w:val="0"/>
                  <w:vAlign w:val="center"/>
                </w:tcPr>
                <w:p w14:paraId="120145B3">
                  <w:pPr>
                    <w:pStyle w:val="30"/>
                    <w:bidi w:val="0"/>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w:t>
                  </w:r>
                </w:p>
              </w:tc>
              <w:tc>
                <w:tcPr>
                  <w:tcW w:w="1338" w:type="pct"/>
                  <w:noWrap w:val="0"/>
                  <w:vAlign w:val="center"/>
                </w:tcPr>
                <w:p w14:paraId="4BC7CF6B">
                  <w:pPr>
                    <w:pStyle w:val="30"/>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涟水县境内全长78公里，入口保滩镇殷家渡，出口石湖镇张滩，废黄河北岸保滩镇周庄村至石湖镇张滩村</w:t>
                  </w:r>
                </w:p>
              </w:tc>
              <w:tc>
                <w:tcPr>
                  <w:tcW w:w="729" w:type="pct"/>
                  <w:noWrap w:val="0"/>
                  <w:vAlign w:val="center"/>
                </w:tcPr>
                <w:p w14:paraId="6B421E7D">
                  <w:pPr>
                    <w:pStyle w:val="30"/>
                    <w:bidi w:val="0"/>
                    <w:rPr>
                      <w:rFonts w:hint="default" w:ascii="Times New Roman" w:hAnsi="Times New Roman" w:eastAsia="宋体" w:cs="Times New Roman"/>
                      <w:color w:val="auto"/>
                      <w:sz w:val="21"/>
                      <w:lang w:val="en-US" w:eastAsia="zh-CN"/>
                    </w:rPr>
                  </w:pPr>
                  <w:r>
                    <w:rPr>
                      <w:rFonts w:hint="eastAsia" w:ascii="Times New Roman" w:cs="Times New Roman"/>
                      <w:color w:val="auto"/>
                      <w:sz w:val="21"/>
                      <w:lang w:val="en-US" w:eastAsia="zh-CN"/>
                    </w:rPr>
                    <w:t>S</w:t>
                  </w:r>
                  <w:r>
                    <w:rPr>
                      <w:rFonts w:hint="eastAsia" w:ascii="Times New Roman" w:hAnsi="Times New Roman" w:eastAsia="宋体" w:cs="Times New Roman"/>
                      <w:color w:val="auto"/>
                      <w:sz w:val="21"/>
                      <w:lang w:val="en-US" w:eastAsia="zh-CN"/>
                    </w:rPr>
                    <w:t>E</w:t>
                  </w:r>
                  <w:r>
                    <w:rPr>
                      <w:rFonts w:hint="eastAsia" w:ascii="Times New Roman" w:cs="Times New Roman"/>
                      <w:color w:val="auto"/>
                      <w:sz w:val="21"/>
                      <w:lang w:val="en-US" w:eastAsia="zh-CN"/>
                    </w:rPr>
                    <w:t>5.49</w:t>
                  </w:r>
                  <w:r>
                    <w:rPr>
                      <w:rFonts w:hint="default" w:ascii="Times New Roman" w:hAnsi="Times New Roman" w:eastAsia="宋体" w:cs="Times New Roman"/>
                      <w:color w:val="auto"/>
                      <w:sz w:val="21"/>
                      <w:lang w:val="en-US" w:eastAsia="zh-CN"/>
                    </w:rPr>
                    <w:t>km</w:t>
                  </w:r>
                </w:p>
              </w:tc>
            </w:tr>
          </w:tbl>
          <w:p w14:paraId="4776D56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rFonts w:hint="eastAsia"/>
                <w:color w:val="auto"/>
                <w:sz w:val="24"/>
              </w:rPr>
              <w:t>由上表可知，距离建设项目最近的江苏省生态空间管控区域为废黄河（涟水县）重要湿地，位于本项目东南侧约5.</w:t>
            </w:r>
            <w:r>
              <w:rPr>
                <w:rFonts w:hint="eastAsia"/>
                <w:color w:val="auto"/>
                <w:sz w:val="24"/>
                <w:lang w:val="en-US" w:eastAsia="zh-CN"/>
              </w:rPr>
              <w:t>49</w:t>
            </w:r>
            <w:r>
              <w:rPr>
                <w:rFonts w:hint="eastAsia"/>
                <w:color w:val="auto"/>
                <w:sz w:val="24"/>
              </w:rPr>
              <w:t>km左右。因此，本项目建设与《省政府关于印发江苏省生态空间管控区域规划的通知》（苏政发〔2020〕1号）相符</w:t>
            </w:r>
            <w:r>
              <w:rPr>
                <w:color w:val="auto"/>
                <w:sz w:val="24"/>
              </w:rPr>
              <w:t>。</w:t>
            </w:r>
          </w:p>
          <w:p w14:paraId="031DF75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color w:val="auto"/>
                <w:sz w:val="24"/>
              </w:rPr>
              <w:t>②拟建项目与《江苏省国家级生态保护红线规划》（苏政发〔2018〕74号）相符性分析见</w:t>
            </w:r>
            <w:r>
              <w:rPr>
                <w:rFonts w:hint="eastAsia"/>
                <w:color w:val="auto"/>
                <w:sz w:val="24"/>
                <w:lang w:val="en-US" w:eastAsia="zh-CN"/>
              </w:rPr>
              <w:t>下表</w:t>
            </w:r>
            <w:r>
              <w:rPr>
                <w:color w:val="auto"/>
                <w:sz w:val="24"/>
              </w:rPr>
              <w:t>。</w:t>
            </w:r>
          </w:p>
          <w:p w14:paraId="15BA4352">
            <w:pPr>
              <w:pStyle w:val="2"/>
              <w:spacing w:line="240" w:lineRule="auto"/>
              <w:ind w:left="105" w:leftChars="50"/>
              <w:jc w:val="center"/>
              <w:rPr>
                <w:rFonts w:ascii="Times New Roman" w:hAnsi="Times New Roman"/>
                <w:b/>
                <w:bCs/>
                <w:color w:val="auto"/>
                <w:sz w:val="21"/>
                <w:szCs w:val="21"/>
              </w:rPr>
            </w:pPr>
            <w:r>
              <w:rPr>
                <w:rFonts w:ascii="Times New Roman" w:hAnsi="Times New Roman"/>
                <w:b/>
                <w:bCs/>
                <w:color w:val="auto"/>
                <w:sz w:val="21"/>
                <w:szCs w:val="21"/>
              </w:rPr>
              <w:t>表1-</w:t>
            </w:r>
            <w:r>
              <w:rPr>
                <w:rFonts w:hint="eastAsia" w:ascii="Times New Roman" w:hAnsi="Times New Roman"/>
                <w:b/>
                <w:bCs/>
                <w:color w:val="auto"/>
                <w:sz w:val="21"/>
                <w:szCs w:val="21"/>
                <w:lang w:val="en-US" w:eastAsia="zh-CN"/>
              </w:rPr>
              <w:t xml:space="preserve">4  </w:t>
            </w:r>
            <w:r>
              <w:rPr>
                <w:rFonts w:ascii="Times New Roman" w:hAnsi="Times New Roman"/>
                <w:b/>
                <w:bCs/>
                <w:color w:val="auto"/>
                <w:sz w:val="21"/>
                <w:szCs w:val="21"/>
              </w:rPr>
              <w:t>本项目与苏政发〔2018〕74号文相符性分析</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47"/>
              <w:gridCol w:w="585"/>
              <w:gridCol w:w="771"/>
              <w:gridCol w:w="516"/>
              <w:gridCol w:w="3405"/>
              <w:gridCol w:w="907"/>
              <w:gridCol w:w="963"/>
            </w:tblGrid>
            <w:tr w14:paraId="6FADB2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735" w:type="pct"/>
                  <w:gridSpan w:val="2"/>
                  <w:tcBorders>
                    <w:top w:val="single" w:color="auto" w:sz="12" w:space="0"/>
                    <w:left w:val="nil"/>
                    <w:bottom w:val="single" w:color="auto" w:sz="4" w:space="0"/>
                    <w:right w:val="single" w:color="auto" w:sz="4" w:space="0"/>
                  </w:tcBorders>
                  <w:noWrap w:val="0"/>
                  <w:vAlign w:val="center"/>
                </w:tcPr>
                <w:p w14:paraId="1FAD9C15">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所在行政区域</w:t>
                  </w:r>
                </w:p>
              </w:tc>
              <w:tc>
                <w:tcPr>
                  <w:tcW w:w="501" w:type="pct"/>
                  <w:vMerge w:val="restart"/>
                  <w:tcBorders>
                    <w:top w:val="single" w:color="auto" w:sz="12" w:space="0"/>
                    <w:left w:val="single" w:color="auto" w:sz="4" w:space="0"/>
                    <w:bottom w:val="single" w:color="auto" w:sz="4" w:space="0"/>
                    <w:right w:val="single" w:color="auto" w:sz="4" w:space="0"/>
                  </w:tcBorders>
                  <w:noWrap w:val="0"/>
                  <w:vAlign w:val="center"/>
                </w:tcPr>
                <w:p w14:paraId="33D5B8F0">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生态保护红线名称</w:t>
                  </w:r>
                </w:p>
              </w:tc>
              <w:tc>
                <w:tcPr>
                  <w:tcW w:w="335" w:type="pct"/>
                  <w:vMerge w:val="restart"/>
                  <w:tcBorders>
                    <w:top w:val="single" w:color="auto" w:sz="12" w:space="0"/>
                    <w:left w:val="single" w:color="auto" w:sz="4" w:space="0"/>
                    <w:bottom w:val="single" w:color="auto" w:sz="4" w:space="0"/>
                    <w:right w:val="single" w:color="auto" w:sz="4" w:space="0"/>
                  </w:tcBorders>
                  <w:noWrap w:val="0"/>
                  <w:vAlign w:val="center"/>
                </w:tcPr>
                <w:p w14:paraId="54A60FED">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类型</w:t>
                  </w:r>
                </w:p>
              </w:tc>
              <w:tc>
                <w:tcPr>
                  <w:tcW w:w="2212" w:type="pct"/>
                  <w:vMerge w:val="restart"/>
                  <w:tcBorders>
                    <w:top w:val="single" w:color="auto" w:sz="12" w:space="0"/>
                    <w:left w:val="single" w:color="auto" w:sz="4" w:space="0"/>
                    <w:bottom w:val="single" w:color="auto" w:sz="4" w:space="0"/>
                    <w:right w:val="single" w:color="auto" w:sz="4" w:space="0"/>
                  </w:tcBorders>
                  <w:noWrap w:val="0"/>
                  <w:vAlign w:val="center"/>
                </w:tcPr>
                <w:p w14:paraId="14AA0CDE">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地理位置</w:t>
                  </w:r>
                </w:p>
              </w:tc>
              <w:tc>
                <w:tcPr>
                  <w:tcW w:w="589" w:type="pct"/>
                  <w:vMerge w:val="restart"/>
                  <w:tcBorders>
                    <w:top w:val="single" w:color="auto" w:sz="12" w:space="0"/>
                    <w:left w:val="single" w:color="auto" w:sz="4" w:space="0"/>
                    <w:bottom w:val="single" w:color="auto" w:sz="4" w:space="0"/>
                    <w:right w:val="single" w:color="auto" w:sz="4" w:space="0"/>
                  </w:tcBorders>
                  <w:noWrap w:val="0"/>
                  <w:vAlign w:val="center"/>
                </w:tcPr>
                <w:p w14:paraId="4D11A2BC">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区域面积（平方公里）</w:t>
                  </w:r>
                </w:p>
              </w:tc>
              <w:tc>
                <w:tcPr>
                  <w:tcW w:w="626" w:type="pct"/>
                  <w:vMerge w:val="restart"/>
                  <w:tcBorders>
                    <w:top w:val="single" w:color="auto" w:sz="12" w:space="0"/>
                    <w:left w:val="single" w:color="auto" w:sz="4" w:space="0"/>
                    <w:bottom w:val="single" w:color="auto" w:sz="4" w:space="0"/>
                    <w:right w:val="nil"/>
                  </w:tcBorders>
                  <w:noWrap w:val="0"/>
                  <w:vAlign w:val="center"/>
                </w:tcPr>
                <w:p w14:paraId="7540EBCC">
                  <w:pPr>
                    <w:pStyle w:val="30"/>
                    <w:bidi w:val="0"/>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color w:val="auto"/>
                      <w:sz w:val="21"/>
                      <w:lang w:val="en-US" w:eastAsia="zh-CN"/>
                    </w:rPr>
                    <w:t>与本项目位置关系</w:t>
                  </w:r>
                </w:p>
              </w:tc>
            </w:tr>
            <w:tr w14:paraId="3E09C1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355" w:type="pct"/>
                  <w:tcBorders>
                    <w:top w:val="single" w:color="auto" w:sz="4" w:space="0"/>
                    <w:left w:val="nil"/>
                    <w:bottom w:val="single" w:color="auto" w:sz="4" w:space="0"/>
                    <w:right w:val="single" w:color="auto" w:sz="4" w:space="0"/>
                  </w:tcBorders>
                  <w:noWrap w:val="0"/>
                  <w:vAlign w:val="center"/>
                </w:tcPr>
                <w:p w14:paraId="04C5C174">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市级</w:t>
                  </w:r>
                </w:p>
              </w:tc>
              <w:tc>
                <w:tcPr>
                  <w:tcW w:w="380" w:type="pct"/>
                  <w:tcBorders>
                    <w:top w:val="single" w:color="auto" w:sz="4" w:space="0"/>
                    <w:left w:val="single" w:color="auto" w:sz="4" w:space="0"/>
                    <w:bottom w:val="single" w:color="auto" w:sz="4" w:space="0"/>
                    <w:right w:val="single" w:color="auto" w:sz="4" w:space="0"/>
                  </w:tcBorders>
                  <w:noWrap w:val="0"/>
                  <w:vAlign w:val="center"/>
                </w:tcPr>
                <w:p w14:paraId="1376E46A">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县级</w:t>
                  </w:r>
                </w:p>
              </w:tc>
              <w:tc>
                <w:tcPr>
                  <w:tcW w:w="501" w:type="pct"/>
                  <w:vMerge w:val="continue"/>
                  <w:tcBorders>
                    <w:top w:val="single" w:color="auto" w:sz="12" w:space="0"/>
                    <w:left w:val="single" w:color="auto" w:sz="4" w:space="0"/>
                    <w:bottom w:val="single" w:color="auto" w:sz="4" w:space="0"/>
                    <w:right w:val="single" w:color="auto" w:sz="4" w:space="0"/>
                  </w:tcBorders>
                  <w:noWrap w:val="0"/>
                  <w:vAlign w:val="center"/>
                </w:tcPr>
                <w:p w14:paraId="0BE014CC">
                  <w:pPr>
                    <w:adjustRightInd w:val="0"/>
                    <w:snapToGrid w:val="0"/>
                    <w:spacing w:line="240" w:lineRule="auto"/>
                    <w:ind w:firstLine="0" w:firstLineChars="0"/>
                    <w:jc w:val="center"/>
                    <w:rPr>
                      <w:rFonts w:hint="default" w:ascii="Times New Roman" w:hAnsi="Times New Roman" w:eastAsia="宋体" w:cs="Times New Roman"/>
                      <w:b/>
                      <w:snapToGrid w:val="0"/>
                      <w:color w:val="auto"/>
                      <w:sz w:val="21"/>
                      <w:szCs w:val="21"/>
                    </w:rPr>
                  </w:pPr>
                </w:p>
              </w:tc>
              <w:tc>
                <w:tcPr>
                  <w:tcW w:w="335" w:type="pct"/>
                  <w:vMerge w:val="continue"/>
                  <w:tcBorders>
                    <w:top w:val="single" w:color="auto" w:sz="12" w:space="0"/>
                    <w:left w:val="single" w:color="auto" w:sz="4" w:space="0"/>
                    <w:bottom w:val="single" w:color="auto" w:sz="4" w:space="0"/>
                    <w:right w:val="single" w:color="auto" w:sz="4" w:space="0"/>
                  </w:tcBorders>
                  <w:noWrap w:val="0"/>
                  <w:vAlign w:val="center"/>
                </w:tcPr>
                <w:p w14:paraId="08B3B54C">
                  <w:pPr>
                    <w:adjustRightInd w:val="0"/>
                    <w:snapToGrid w:val="0"/>
                    <w:spacing w:line="240" w:lineRule="auto"/>
                    <w:ind w:firstLine="0" w:firstLineChars="0"/>
                    <w:jc w:val="center"/>
                    <w:rPr>
                      <w:rFonts w:hint="default" w:ascii="Times New Roman" w:hAnsi="Times New Roman" w:eastAsia="宋体" w:cs="Times New Roman"/>
                      <w:b/>
                      <w:snapToGrid w:val="0"/>
                      <w:color w:val="auto"/>
                      <w:sz w:val="21"/>
                      <w:szCs w:val="21"/>
                    </w:rPr>
                  </w:pPr>
                </w:p>
              </w:tc>
              <w:tc>
                <w:tcPr>
                  <w:tcW w:w="2212" w:type="pct"/>
                  <w:vMerge w:val="continue"/>
                  <w:tcBorders>
                    <w:top w:val="single" w:color="auto" w:sz="12" w:space="0"/>
                    <w:left w:val="single" w:color="auto" w:sz="4" w:space="0"/>
                    <w:bottom w:val="single" w:color="auto" w:sz="4" w:space="0"/>
                    <w:right w:val="single" w:color="auto" w:sz="4" w:space="0"/>
                  </w:tcBorders>
                  <w:noWrap w:val="0"/>
                  <w:vAlign w:val="center"/>
                </w:tcPr>
                <w:p w14:paraId="55FAA832">
                  <w:pPr>
                    <w:adjustRightInd w:val="0"/>
                    <w:snapToGrid w:val="0"/>
                    <w:spacing w:line="240" w:lineRule="auto"/>
                    <w:ind w:firstLine="0" w:firstLineChars="0"/>
                    <w:jc w:val="center"/>
                    <w:rPr>
                      <w:rFonts w:hint="default" w:ascii="Times New Roman" w:hAnsi="Times New Roman" w:eastAsia="宋体" w:cs="Times New Roman"/>
                      <w:b/>
                      <w:snapToGrid w:val="0"/>
                      <w:color w:val="auto"/>
                      <w:sz w:val="21"/>
                      <w:szCs w:val="21"/>
                    </w:rPr>
                  </w:pPr>
                </w:p>
              </w:tc>
              <w:tc>
                <w:tcPr>
                  <w:tcW w:w="589" w:type="pct"/>
                  <w:vMerge w:val="continue"/>
                  <w:tcBorders>
                    <w:top w:val="single" w:color="auto" w:sz="12" w:space="0"/>
                    <w:left w:val="single" w:color="auto" w:sz="4" w:space="0"/>
                    <w:bottom w:val="single" w:color="auto" w:sz="4" w:space="0"/>
                    <w:right w:val="single" w:color="auto" w:sz="4" w:space="0"/>
                  </w:tcBorders>
                  <w:noWrap w:val="0"/>
                  <w:vAlign w:val="center"/>
                </w:tcPr>
                <w:p w14:paraId="0FBBA221">
                  <w:pPr>
                    <w:adjustRightInd w:val="0"/>
                    <w:snapToGrid w:val="0"/>
                    <w:spacing w:line="240" w:lineRule="auto"/>
                    <w:ind w:firstLine="0" w:firstLineChars="0"/>
                    <w:jc w:val="center"/>
                    <w:rPr>
                      <w:rFonts w:hint="default" w:ascii="Times New Roman" w:hAnsi="Times New Roman" w:eastAsia="宋体" w:cs="Times New Roman"/>
                      <w:b/>
                      <w:snapToGrid w:val="0"/>
                      <w:color w:val="auto"/>
                      <w:sz w:val="21"/>
                      <w:szCs w:val="21"/>
                    </w:rPr>
                  </w:pPr>
                </w:p>
              </w:tc>
              <w:tc>
                <w:tcPr>
                  <w:tcW w:w="626" w:type="pct"/>
                  <w:vMerge w:val="continue"/>
                  <w:tcBorders>
                    <w:top w:val="single" w:color="auto" w:sz="12" w:space="0"/>
                    <w:left w:val="single" w:color="auto" w:sz="4" w:space="0"/>
                    <w:bottom w:val="single" w:color="auto" w:sz="4" w:space="0"/>
                    <w:right w:val="nil"/>
                  </w:tcBorders>
                  <w:noWrap w:val="0"/>
                  <w:vAlign w:val="center"/>
                </w:tcPr>
                <w:p w14:paraId="1111B070">
                  <w:pPr>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p>
              </w:tc>
            </w:tr>
            <w:tr w14:paraId="222DF1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55" w:type="pct"/>
                  <w:tcBorders>
                    <w:top w:val="single" w:color="auto" w:sz="4" w:space="0"/>
                    <w:left w:val="nil"/>
                    <w:bottom w:val="single" w:color="auto" w:sz="4" w:space="0"/>
                    <w:right w:val="single" w:color="auto" w:sz="4" w:space="0"/>
                  </w:tcBorders>
                  <w:noWrap w:val="0"/>
                  <w:vAlign w:val="center"/>
                </w:tcPr>
                <w:p w14:paraId="4A9A8BA7">
                  <w:pPr>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淮安市</w:t>
                  </w:r>
                </w:p>
              </w:tc>
              <w:tc>
                <w:tcPr>
                  <w:tcW w:w="380" w:type="pct"/>
                  <w:tcBorders>
                    <w:top w:val="single" w:color="auto" w:sz="4" w:space="0"/>
                    <w:left w:val="single" w:color="auto" w:sz="4" w:space="0"/>
                    <w:bottom w:val="single" w:color="auto" w:sz="4" w:space="0"/>
                    <w:right w:val="single" w:color="auto" w:sz="4" w:space="0"/>
                  </w:tcBorders>
                  <w:noWrap w:val="0"/>
                  <w:vAlign w:val="center"/>
                </w:tcPr>
                <w:p w14:paraId="6D168681">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涟水县</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6A11AD9D">
                  <w:pPr>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lang w:val="en-US" w:eastAsia="zh-CN"/>
                    </w:rPr>
                    <w:t>古黄河</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涟水</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rPr>
                    <w:t>饮用水水源保护区</w:t>
                  </w:r>
                </w:p>
              </w:tc>
              <w:tc>
                <w:tcPr>
                  <w:tcW w:w="335" w:type="pct"/>
                  <w:tcBorders>
                    <w:top w:val="single" w:color="auto" w:sz="4" w:space="0"/>
                    <w:left w:val="single" w:color="auto" w:sz="4" w:space="0"/>
                    <w:bottom w:val="single" w:color="auto" w:sz="4" w:space="0"/>
                    <w:right w:val="single" w:color="auto" w:sz="4" w:space="0"/>
                  </w:tcBorders>
                  <w:noWrap w:val="0"/>
                  <w:vAlign w:val="center"/>
                </w:tcPr>
                <w:p w14:paraId="2B820755">
                  <w:pPr>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饮用水水源保护区</w:t>
                  </w:r>
                </w:p>
              </w:tc>
              <w:tc>
                <w:tcPr>
                  <w:tcW w:w="2212" w:type="pct"/>
                  <w:tcBorders>
                    <w:top w:val="single" w:color="auto" w:sz="4" w:space="0"/>
                    <w:left w:val="single" w:color="auto" w:sz="4" w:space="0"/>
                    <w:bottom w:val="single" w:color="auto" w:sz="4" w:space="0"/>
                    <w:right w:val="single" w:color="auto" w:sz="4" w:space="0"/>
                  </w:tcBorders>
                  <w:noWrap w:val="0"/>
                  <w:vAlign w:val="center"/>
                </w:tcPr>
                <w:p w14:paraId="46D8FD67">
                  <w:pPr>
                    <w:autoSpaceDE w:val="0"/>
                    <w:autoSpaceDN w:val="0"/>
                    <w:adjustRightInd w:val="0"/>
                    <w:snapToGrid w:val="0"/>
                    <w:spacing w:line="240" w:lineRule="auto"/>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一级保护区：上游1000米至下游500米，及其岸背水坡之间的水域范围和一级保护区水域与两岸背水坡堤脚之间的陆域范围。</w:t>
                  </w:r>
                </w:p>
                <w:p w14:paraId="02CE7CD7">
                  <w:pPr>
                    <w:autoSpaceDE w:val="0"/>
                    <w:autoSpaceDN w:val="0"/>
                    <w:adjustRightInd w:val="0"/>
                    <w:snapToGrid w:val="0"/>
                    <w:spacing w:line="240" w:lineRule="auto"/>
                    <w:ind w:firstLine="0" w:firstLineChars="0"/>
                    <w:rPr>
                      <w:rFonts w:hint="eastAsia" w:ascii="Times New Roman" w:hAnsi="Times New Roman" w:eastAsia="宋体" w:cs="Times New Roman"/>
                      <w:bCs/>
                      <w:color w:val="auto"/>
                      <w:sz w:val="21"/>
                      <w:szCs w:val="21"/>
                      <w:lang w:eastAsia="zh-CN"/>
                    </w:rPr>
                  </w:pPr>
                  <w:r>
                    <w:rPr>
                      <w:rFonts w:hint="default" w:ascii="Times New Roman" w:hAnsi="Times New Roman" w:eastAsia="宋体" w:cs="Times New Roman"/>
                      <w:color w:val="auto"/>
                      <w:sz w:val="21"/>
                      <w:szCs w:val="21"/>
                    </w:rPr>
                    <w:t>二级保护区：一级保护区以外上溯1500米、下延至涟水闸的水域范围和二级保护区水域与两岸背水坡堤脚之间的陆域范围</w:t>
                  </w:r>
                  <w:r>
                    <w:rPr>
                      <w:rFonts w:hint="eastAsia" w:cs="Times New Roman"/>
                      <w:color w:val="auto"/>
                      <w:sz w:val="21"/>
                      <w:szCs w:val="21"/>
                      <w:lang w:eastAsia="zh-CN"/>
                    </w:rPr>
                    <w:t>。</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1D934715">
                  <w:pPr>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color w:val="auto"/>
                      <w:sz w:val="21"/>
                      <w:szCs w:val="21"/>
                      <w:lang w:val="en-US" w:eastAsia="zh-CN"/>
                    </w:rPr>
                    <w:t>1.18</w:t>
                  </w:r>
                </w:p>
              </w:tc>
              <w:tc>
                <w:tcPr>
                  <w:tcW w:w="626" w:type="pct"/>
                  <w:tcBorders>
                    <w:top w:val="single" w:color="auto" w:sz="4" w:space="0"/>
                    <w:left w:val="single" w:color="auto" w:sz="4" w:space="0"/>
                    <w:bottom w:val="single" w:color="auto" w:sz="4" w:space="0"/>
                    <w:right w:val="nil"/>
                  </w:tcBorders>
                  <w:noWrap w:val="0"/>
                  <w:vAlign w:val="center"/>
                </w:tcPr>
                <w:p w14:paraId="44D80694">
                  <w:pPr>
                    <w:pStyle w:val="30"/>
                    <w:bidi w:val="0"/>
                    <w:ind w:firstLine="0" w:firstLineChars="0"/>
                    <w:rPr>
                      <w:rFonts w:hint="default" w:ascii="Times New Roman" w:hAnsi="Times New Roman" w:eastAsia="宋体" w:cs="Times New Roman"/>
                      <w:bCs/>
                      <w:color w:val="auto"/>
                      <w:sz w:val="21"/>
                      <w:szCs w:val="21"/>
                    </w:rPr>
                  </w:pPr>
                  <w:r>
                    <w:rPr>
                      <w:rFonts w:hint="eastAsia" w:ascii="Times New Roman" w:hAnsi="Times New Roman" w:eastAsia="宋体" w:cs="Times New Roman"/>
                      <w:color w:val="auto"/>
                      <w:sz w:val="21"/>
                      <w:lang w:val="en-US" w:eastAsia="zh-CN"/>
                    </w:rPr>
                    <w:t>S</w:t>
                  </w:r>
                  <w:r>
                    <w:rPr>
                      <w:rFonts w:hint="eastAsia" w:ascii="Times New Roman" w:cs="Times New Roman"/>
                      <w:color w:val="auto"/>
                      <w:sz w:val="21"/>
                      <w:lang w:val="en-US" w:eastAsia="zh-CN"/>
                    </w:rPr>
                    <w:t>E5.61</w:t>
                  </w:r>
                  <w:r>
                    <w:rPr>
                      <w:rFonts w:hint="default" w:ascii="Times New Roman" w:hAnsi="Times New Roman" w:eastAsia="宋体" w:cs="Times New Roman"/>
                      <w:color w:val="auto"/>
                      <w:sz w:val="21"/>
                      <w:lang w:val="en-US" w:eastAsia="zh-CN"/>
                    </w:rPr>
                    <w:t>km</w:t>
                  </w:r>
                </w:p>
              </w:tc>
            </w:tr>
            <w:tr w14:paraId="1EE12E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550" w:type="dxa"/>
                  <w:tcBorders>
                    <w:top w:val="single" w:color="auto" w:sz="4" w:space="0"/>
                    <w:left w:val="nil"/>
                    <w:bottom w:val="single" w:color="auto" w:sz="12" w:space="0"/>
                    <w:right w:val="single" w:color="auto" w:sz="4" w:space="0"/>
                  </w:tcBorders>
                  <w:noWrap w:val="0"/>
                  <w:vAlign w:val="center"/>
                </w:tcPr>
                <w:p w14:paraId="7159DF04">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淮安市</w:t>
                  </w:r>
                </w:p>
              </w:tc>
              <w:tc>
                <w:tcPr>
                  <w:tcW w:w="588" w:type="dxa"/>
                  <w:tcBorders>
                    <w:top w:val="single" w:color="auto" w:sz="4" w:space="0"/>
                    <w:left w:val="single" w:color="auto" w:sz="4" w:space="0"/>
                    <w:bottom w:val="single" w:color="auto" w:sz="12" w:space="0"/>
                    <w:right w:val="single" w:color="auto" w:sz="4" w:space="0"/>
                  </w:tcBorders>
                  <w:noWrap w:val="0"/>
                  <w:vAlign w:val="center"/>
                </w:tcPr>
                <w:p w14:paraId="6B9C448B">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涟水县</w:t>
                  </w:r>
                </w:p>
              </w:tc>
              <w:tc>
                <w:tcPr>
                  <w:tcW w:w="501" w:type="pct"/>
                  <w:tcBorders>
                    <w:top w:val="single" w:color="auto" w:sz="4" w:space="0"/>
                    <w:left w:val="single" w:color="auto" w:sz="4" w:space="0"/>
                    <w:bottom w:val="single" w:color="auto" w:sz="12" w:space="0"/>
                    <w:right w:val="single" w:color="auto" w:sz="4" w:space="0"/>
                  </w:tcBorders>
                  <w:noWrap w:val="0"/>
                  <w:vAlign w:val="center"/>
                </w:tcPr>
                <w:p w14:paraId="382ABA2B">
                  <w:pPr>
                    <w:widowControl w:val="0"/>
                    <w:spacing w:after="0" w:line="280" w:lineRule="exact"/>
                    <w:ind w:left="0" w:leftChars="0" w:firstLine="0" w:firstLineChars="0"/>
                    <w:jc w:val="center"/>
                    <w:rPr>
                      <w:rFonts w:hint="eastAsia" w:ascii="Times New Roman" w:hAnsi="Times New Roman" w:eastAsia="宋体" w:cs="Times New Roman"/>
                      <w:color w:val="auto"/>
                      <w:sz w:val="21"/>
                      <w:szCs w:val="21"/>
                      <w:lang w:val="en-US" w:eastAsia="zh-CN"/>
                    </w:rPr>
                  </w:pPr>
                  <w:r>
                    <w:rPr>
                      <w:rFonts w:ascii="Times New Roman" w:hAnsi="Times New Roman" w:eastAsia="宋体" w:cs="Times New Roman"/>
                      <w:color w:val="auto"/>
                      <w:kern w:val="0"/>
                      <w:sz w:val="21"/>
                      <w:szCs w:val="20"/>
                      <w:lang w:val="en-US" w:eastAsia="zh-CN" w:bidi="ar-SA"/>
                    </w:rPr>
                    <w:t>江苏涟水涟漪湖黄嘴白鹭省级自然保护区</w:t>
                  </w:r>
                </w:p>
              </w:tc>
              <w:tc>
                <w:tcPr>
                  <w:tcW w:w="335" w:type="pct"/>
                  <w:tcBorders>
                    <w:top w:val="single" w:color="auto" w:sz="4" w:space="0"/>
                    <w:left w:val="single" w:color="auto" w:sz="4" w:space="0"/>
                    <w:bottom w:val="single" w:color="auto" w:sz="12" w:space="0"/>
                    <w:right w:val="single" w:color="auto" w:sz="4" w:space="0"/>
                  </w:tcBorders>
                  <w:noWrap w:val="0"/>
                  <w:vAlign w:val="center"/>
                </w:tcPr>
                <w:p w14:paraId="7081EA1D">
                  <w:pPr>
                    <w:adjustRightInd w:val="0"/>
                    <w:snapToGrid w:val="0"/>
                    <w:spacing w:line="240" w:lineRule="auto"/>
                    <w:ind w:left="0" w:leftChars="0" w:firstLine="0" w:firstLineChars="0"/>
                    <w:jc w:val="both"/>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自然保护区</w:t>
                  </w:r>
                </w:p>
              </w:tc>
              <w:tc>
                <w:tcPr>
                  <w:tcW w:w="2212" w:type="pct"/>
                  <w:tcBorders>
                    <w:top w:val="single" w:color="auto" w:sz="4" w:space="0"/>
                    <w:left w:val="single" w:color="auto" w:sz="4" w:space="0"/>
                    <w:bottom w:val="single" w:color="auto" w:sz="12" w:space="0"/>
                    <w:right w:val="single" w:color="auto" w:sz="4" w:space="0"/>
                  </w:tcBorders>
                  <w:noWrap w:val="0"/>
                  <w:vAlign w:val="center"/>
                </w:tcPr>
                <w:p w14:paraId="13188217">
                  <w:pPr>
                    <w:widowControl w:val="0"/>
                    <w:spacing w:after="0" w:line="280" w:lineRule="exact"/>
                    <w:jc w:val="both"/>
                    <w:rPr>
                      <w:rFonts w:hint="default" w:ascii="Times New Roman" w:hAnsi="Times New Roman" w:eastAsia="宋体" w:cs="Times New Roman"/>
                      <w:color w:val="auto"/>
                      <w:sz w:val="21"/>
                      <w:szCs w:val="21"/>
                    </w:rPr>
                  </w:pPr>
                  <w:r>
                    <w:rPr>
                      <w:rFonts w:ascii="Times New Roman" w:hAnsi="Times New Roman" w:eastAsia="宋体" w:cs="Times New Roman"/>
                      <w:color w:val="auto"/>
                      <w:kern w:val="0"/>
                      <w:sz w:val="21"/>
                      <w:szCs w:val="20"/>
                      <w:lang w:val="en-US" w:eastAsia="zh-CN" w:bidi="ar-SA"/>
                    </w:rPr>
                    <w:t>包括自然保护区核心区、缓冲区和实验区。自然保护区五岛公园以及相连水域为核心区和缓冲区。实验区范围包括涟水县涟城镇的五岛公园以及相连水域，城郊废黄河沿线的林区和水域、湿地生态系统。坐标为：118°59′E</w:t>
                  </w:r>
                  <w:r>
                    <w:rPr>
                      <w:rFonts w:hint="eastAsia" w:ascii="Times New Roman" w:hAnsi="Times New Roman" w:eastAsia="宋体" w:cs="Times New Roman"/>
                      <w:color w:val="auto"/>
                      <w:kern w:val="0"/>
                      <w:sz w:val="21"/>
                      <w:szCs w:val="20"/>
                      <w:lang w:val="en-US" w:eastAsia="zh-CN" w:bidi="ar-SA"/>
                    </w:rPr>
                    <w:t>至</w:t>
                  </w:r>
                  <w:r>
                    <w:rPr>
                      <w:rFonts w:ascii="Times New Roman" w:hAnsi="Times New Roman" w:eastAsia="宋体" w:cs="Times New Roman"/>
                      <w:color w:val="auto"/>
                      <w:kern w:val="0"/>
                      <w:sz w:val="21"/>
                      <w:szCs w:val="20"/>
                      <w:lang w:val="en-US" w:eastAsia="zh-CN" w:bidi="ar-SA"/>
                    </w:rPr>
                    <w:t>119°35′E，33°45′N至34°65′N之间</w:t>
                  </w:r>
                  <w:r>
                    <w:rPr>
                      <w:rFonts w:hint="eastAsia" w:cs="Times New Roman"/>
                      <w:color w:val="auto"/>
                      <w:kern w:val="0"/>
                      <w:sz w:val="21"/>
                      <w:szCs w:val="20"/>
                      <w:lang w:val="en-US" w:eastAsia="zh-CN" w:bidi="ar-SA"/>
                    </w:rPr>
                    <w:t>。</w:t>
                  </w:r>
                </w:p>
              </w:tc>
              <w:tc>
                <w:tcPr>
                  <w:tcW w:w="589" w:type="pct"/>
                  <w:tcBorders>
                    <w:top w:val="single" w:color="auto" w:sz="4" w:space="0"/>
                    <w:left w:val="single" w:color="auto" w:sz="4" w:space="0"/>
                    <w:bottom w:val="single" w:color="auto" w:sz="12" w:space="0"/>
                    <w:right w:val="single" w:color="auto" w:sz="4" w:space="0"/>
                  </w:tcBorders>
                  <w:noWrap w:val="0"/>
                  <w:vAlign w:val="center"/>
                </w:tcPr>
                <w:p w14:paraId="76279BA6">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34.33</w:t>
                  </w:r>
                </w:p>
              </w:tc>
              <w:tc>
                <w:tcPr>
                  <w:tcW w:w="626" w:type="pct"/>
                  <w:tcBorders>
                    <w:top w:val="single" w:color="auto" w:sz="4" w:space="0"/>
                    <w:left w:val="single" w:color="auto" w:sz="4" w:space="0"/>
                    <w:bottom w:val="single" w:color="auto" w:sz="12" w:space="0"/>
                    <w:right w:val="nil"/>
                  </w:tcBorders>
                  <w:noWrap w:val="0"/>
                  <w:vAlign w:val="center"/>
                </w:tcPr>
                <w:p w14:paraId="1015BA15">
                  <w:pPr>
                    <w:pStyle w:val="30"/>
                    <w:bidi w:val="0"/>
                    <w:ind w:firstLine="0" w:firstLineChars="0"/>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S</w:t>
                  </w:r>
                  <w:r>
                    <w:rPr>
                      <w:rFonts w:hint="eastAsia" w:ascii="Times New Roman" w:cs="Times New Roman"/>
                      <w:color w:val="auto"/>
                      <w:sz w:val="21"/>
                      <w:lang w:val="en-US" w:eastAsia="zh-CN"/>
                    </w:rPr>
                    <w:t>E4.25</w:t>
                  </w:r>
                  <w:r>
                    <w:rPr>
                      <w:rFonts w:hint="default" w:ascii="Times New Roman" w:hAnsi="Times New Roman" w:eastAsia="宋体" w:cs="Times New Roman"/>
                      <w:color w:val="auto"/>
                      <w:sz w:val="21"/>
                      <w:lang w:val="en-US" w:eastAsia="zh-CN"/>
                    </w:rPr>
                    <w:t>km</w:t>
                  </w:r>
                </w:p>
              </w:tc>
            </w:tr>
          </w:tbl>
          <w:p w14:paraId="5A5A903F">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由上表可知，距离建设项目最近的国家级生态保护红线为江苏涟水涟漪湖黄嘴白鹭自然保护区，位于本项目东南侧约4.2</w:t>
            </w:r>
            <w:r>
              <w:rPr>
                <w:rFonts w:hint="eastAsia"/>
                <w:color w:val="auto"/>
                <w:lang w:val="en-US" w:eastAsia="zh-CN"/>
              </w:rPr>
              <w:t>5</w:t>
            </w:r>
            <w:r>
              <w:rPr>
                <w:rFonts w:hint="eastAsia"/>
                <w:color w:val="auto"/>
              </w:rPr>
              <w:t>km左右。因此，项目建设与《江苏省国家级生态保护红线规划》的通知（苏政发〔2018〕74号）相符</w:t>
            </w:r>
            <w:r>
              <w:rPr>
                <w:color w:val="auto"/>
              </w:rPr>
              <w:t>。</w:t>
            </w:r>
          </w:p>
          <w:p w14:paraId="0FF15B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ascii="Times New Roman" w:hAnsi="Times New Roman" w:eastAsia="宋体"/>
                <w:color w:val="auto"/>
                <w:sz w:val="24"/>
              </w:rPr>
              <w:t>③</w:t>
            </w:r>
            <w:r>
              <w:rPr>
                <w:rFonts w:hint="default" w:ascii="Times New Roman" w:hAnsi="Times New Roman" w:eastAsia="宋体" w:cs="Times New Roman"/>
                <w:color w:val="auto"/>
                <w:sz w:val="24"/>
              </w:rPr>
              <w:t>与省市“三线一单”的相符性分析</w:t>
            </w:r>
          </w:p>
          <w:p w14:paraId="799177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江苏省《关于印发江苏省“三线一单”生态环境分区管控方案的通知》（苏政发〔2020〕49号）、《市政府关于印发淮安市“三线一单”生态环境分区管控方案的通知》（淮政发〔2020〕16号）、《市政府办公室关于对淮安市“三线一单”生态环境分区管控方案内容修改的通知》（淮政办函〔2022〕5号），本项目位于江苏涟水经济开发区，属于重点管控单元。相符性分析见</w:t>
            </w:r>
            <w:r>
              <w:rPr>
                <w:rFonts w:hint="eastAsia" w:cs="Times New Roman"/>
                <w:color w:val="auto"/>
                <w:sz w:val="24"/>
                <w:lang w:val="en-US" w:eastAsia="zh-CN"/>
              </w:rPr>
              <w:t>下表</w:t>
            </w:r>
            <w:r>
              <w:rPr>
                <w:rFonts w:hint="default" w:ascii="Times New Roman" w:hAnsi="Times New Roman" w:eastAsia="宋体" w:cs="Times New Roman"/>
                <w:color w:val="auto"/>
                <w:sz w:val="24"/>
              </w:rPr>
              <w:t>。</w:t>
            </w:r>
          </w:p>
          <w:p w14:paraId="170E4FAC">
            <w:pPr>
              <w:pStyle w:val="2"/>
              <w:spacing w:line="240" w:lineRule="auto"/>
              <w:ind w:left="105" w:leftChars="50"/>
              <w:jc w:val="center"/>
              <w:rPr>
                <w:rFonts w:hint="default" w:ascii="Times New Roman" w:hAnsi="Times New Roman" w:eastAsia="宋体" w:cs="Times New Roman"/>
                <w:b/>
                <w:bCs/>
                <w:color w:val="auto"/>
                <w:sz w:val="21"/>
                <w:szCs w:val="21"/>
              </w:rPr>
            </w:pPr>
          </w:p>
          <w:p w14:paraId="58E01784">
            <w:pPr>
              <w:pStyle w:val="2"/>
              <w:spacing w:line="240" w:lineRule="auto"/>
              <w:ind w:left="105" w:leftChars="50"/>
              <w:jc w:val="center"/>
              <w:rPr>
                <w:rFonts w:ascii="Times New Roman" w:hAnsi="Times New Roman"/>
                <w:b/>
                <w:bCs/>
                <w:color w:val="auto"/>
              </w:rPr>
            </w:pPr>
            <w:r>
              <w:rPr>
                <w:rFonts w:hint="default" w:ascii="Times New Roman" w:hAnsi="Times New Roman" w:eastAsia="宋体" w:cs="Times New Roman"/>
                <w:b/>
                <w:bCs/>
                <w:color w:val="auto"/>
                <w:sz w:val="21"/>
                <w:szCs w:val="21"/>
              </w:rPr>
              <w:t>表1-</w:t>
            </w:r>
            <w:r>
              <w:rPr>
                <w:rFonts w:hint="eastAsia" w:ascii="Times New Roman" w:hAnsi="Times New Roman" w:cs="Times New Roman"/>
                <w:b/>
                <w:bCs/>
                <w:color w:val="auto"/>
                <w:sz w:val="21"/>
                <w:szCs w:val="21"/>
                <w:lang w:val="en-US" w:eastAsia="zh-CN"/>
              </w:rPr>
              <w:t>5  本</w:t>
            </w:r>
            <w:r>
              <w:rPr>
                <w:rFonts w:hint="default" w:ascii="Times New Roman" w:hAnsi="Times New Roman" w:eastAsia="宋体" w:cs="Times New Roman"/>
                <w:b/>
                <w:bCs/>
                <w:color w:val="auto"/>
                <w:sz w:val="21"/>
                <w:szCs w:val="21"/>
              </w:rPr>
              <w:t>项目与（淮政办函〔2022〕5号）相符性分析</w:t>
            </w:r>
          </w:p>
          <w:tbl>
            <w:tblPr>
              <w:tblStyle w:val="23"/>
              <w:tblW w:w="772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55"/>
              <w:gridCol w:w="630"/>
              <w:gridCol w:w="3570"/>
              <w:gridCol w:w="2382"/>
              <w:gridCol w:w="784"/>
            </w:tblGrid>
            <w:tr w14:paraId="656F86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noWrap w:val="0"/>
                  <w:vAlign w:val="center"/>
                </w:tcPr>
                <w:p w14:paraId="7F74C296">
                  <w:pPr>
                    <w:pStyle w:val="30"/>
                    <w:bidi w:val="0"/>
                    <w:rPr>
                      <w:rFonts w:hint="default" w:ascii="Times New Roman" w:hAnsi="Times New Roman" w:eastAsia="宋体" w:cs="Times New Roman"/>
                      <w:color w:val="auto"/>
                      <w:lang w:val="en-US" w:eastAsia="zh-CN"/>
                    </w:rPr>
                  </w:pPr>
                  <w:r>
                    <w:rPr>
                      <w:rFonts w:hint="eastAsia" w:ascii="Times New Roman" w:cs="Times New Roman"/>
                      <w:color w:val="auto"/>
                      <w:lang w:val="en-US" w:eastAsia="zh-CN"/>
                    </w:rPr>
                    <w:t>省市</w:t>
                  </w:r>
                </w:p>
              </w:tc>
              <w:tc>
                <w:tcPr>
                  <w:tcW w:w="630" w:type="dxa"/>
                  <w:noWrap w:val="0"/>
                  <w:vAlign w:val="center"/>
                </w:tcPr>
                <w:p w14:paraId="10D4CDEE">
                  <w:pPr>
                    <w:pStyle w:val="30"/>
                    <w:bidi w:val="0"/>
                    <w:rPr>
                      <w:rFonts w:hint="default" w:ascii="Times New Roman" w:hAnsi="Times New Roman" w:cs="Times New Roman"/>
                      <w:color w:val="auto"/>
                    </w:rPr>
                  </w:pPr>
                  <w:r>
                    <w:rPr>
                      <w:rFonts w:hint="default" w:ascii="Times New Roman" w:hAnsi="Times New Roman" w:cs="Times New Roman"/>
                      <w:color w:val="auto"/>
                    </w:rPr>
                    <w:t>管控类别</w:t>
                  </w:r>
                </w:p>
              </w:tc>
              <w:tc>
                <w:tcPr>
                  <w:tcW w:w="3570" w:type="dxa"/>
                  <w:noWrap w:val="0"/>
                  <w:vAlign w:val="center"/>
                </w:tcPr>
                <w:p w14:paraId="6F05665E">
                  <w:pPr>
                    <w:pStyle w:val="30"/>
                    <w:bidi w:val="0"/>
                    <w:rPr>
                      <w:rFonts w:hint="default" w:ascii="Times New Roman" w:hAnsi="Times New Roman" w:cs="Times New Roman"/>
                      <w:color w:val="auto"/>
                    </w:rPr>
                  </w:pPr>
                  <w:r>
                    <w:rPr>
                      <w:rFonts w:hint="default" w:ascii="Times New Roman" w:hAnsi="Times New Roman" w:cs="Times New Roman"/>
                      <w:color w:val="auto"/>
                    </w:rPr>
                    <w:t>重点管控要求</w:t>
                  </w:r>
                </w:p>
              </w:tc>
              <w:tc>
                <w:tcPr>
                  <w:tcW w:w="2382" w:type="dxa"/>
                  <w:noWrap w:val="0"/>
                  <w:vAlign w:val="center"/>
                </w:tcPr>
                <w:p w14:paraId="360DB320">
                  <w:pPr>
                    <w:pStyle w:val="30"/>
                    <w:bidi w:val="0"/>
                    <w:rPr>
                      <w:rFonts w:hint="default" w:ascii="Times New Roman" w:hAnsi="Times New Roman" w:cs="Times New Roman"/>
                      <w:color w:val="auto"/>
                    </w:rPr>
                  </w:pPr>
                  <w:r>
                    <w:rPr>
                      <w:rFonts w:hint="default" w:ascii="Times New Roman" w:hAnsi="Times New Roman" w:cs="Times New Roman"/>
                      <w:color w:val="auto"/>
                    </w:rPr>
                    <w:t>相符性分析</w:t>
                  </w:r>
                </w:p>
              </w:tc>
              <w:tc>
                <w:tcPr>
                  <w:tcW w:w="784" w:type="dxa"/>
                  <w:noWrap w:val="0"/>
                  <w:vAlign w:val="center"/>
                </w:tcPr>
                <w:p w14:paraId="1B879D66">
                  <w:pPr>
                    <w:pStyle w:val="30"/>
                    <w:bidi w:val="0"/>
                    <w:rPr>
                      <w:rFonts w:hint="eastAsia" w:ascii="Times New Roman" w:hAnsi="Times New Roman" w:eastAsia="宋体" w:cs="Times New Roman"/>
                      <w:color w:val="auto"/>
                      <w:lang w:eastAsia="zh-CN"/>
                    </w:rPr>
                  </w:pPr>
                  <w:r>
                    <w:rPr>
                      <w:rFonts w:hint="eastAsia" w:ascii="Times New Roman" w:cs="Times New Roman"/>
                      <w:color w:val="auto"/>
                      <w:lang w:val="en-US" w:eastAsia="zh-CN"/>
                    </w:rPr>
                    <w:t>相符性分析</w:t>
                  </w:r>
                </w:p>
              </w:tc>
            </w:tr>
            <w:tr w14:paraId="5D8BB7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restart"/>
                  <w:noWrap w:val="0"/>
                  <w:vAlign w:val="center"/>
                </w:tcPr>
                <w:p w14:paraId="1B87A795">
                  <w:pPr>
                    <w:pStyle w:val="30"/>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江苏省</w:t>
                  </w:r>
                </w:p>
              </w:tc>
              <w:tc>
                <w:tcPr>
                  <w:tcW w:w="630" w:type="dxa"/>
                  <w:noWrap w:val="0"/>
                  <w:vAlign w:val="center"/>
                </w:tcPr>
                <w:p w14:paraId="7C81B99A">
                  <w:pPr>
                    <w:pStyle w:val="30"/>
                    <w:bidi w:val="0"/>
                    <w:rPr>
                      <w:rFonts w:hint="default" w:ascii="Times New Roman" w:hAnsi="Times New Roman" w:cs="Times New Roman"/>
                      <w:color w:val="auto"/>
                    </w:rPr>
                  </w:pPr>
                  <w:r>
                    <w:rPr>
                      <w:rFonts w:hint="default" w:ascii="Times New Roman" w:hAnsi="Times New Roman" w:cs="Times New Roman"/>
                      <w:color w:val="auto"/>
                    </w:rPr>
                    <w:t>空间布局约束</w:t>
                  </w:r>
                </w:p>
              </w:tc>
              <w:tc>
                <w:tcPr>
                  <w:tcW w:w="3570" w:type="dxa"/>
                  <w:noWrap w:val="0"/>
                  <w:vAlign w:val="center"/>
                </w:tcPr>
                <w:p w14:paraId="0F102596">
                  <w:pPr>
                    <w:pStyle w:val="30"/>
                    <w:bidi w:val="0"/>
                    <w:rPr>
                      <w:rFonts w:hint="default" w:ascii="Times New Roman" w:hAnsi="Times New Roman" w:cs="Times New Roman"/>
                      <w:color w:val="auto"/>
                    </w:rPr>
                  </w:pPr>
                  <w:r>
                    <w:rPr>
                      <w:rFonts w:hint="default" w:ascii="Times New Roman" w:hAnsi="Times New Roman" w:cs="Times New Roman"/>
                      <w:color w:val="auto"/>
                    </w:rPr>
                    <w:t>禁止在淮河流域新建化学制浆造纸企业</w:t>
                  </w:r>
                  <w:r>
                    <w:rPr>
                      <w:rFonts w:hint="default" w:ascii="Times New Roman" w:hAnsi="Times New Roman" w:cs="Times New Roman"/>
                      <w:color w:val="auto"/>
                      <w:lang w:eastAsia="zh-CN"/>
                    </w:rPr>
                    <w:t>，</w:t>
                  </w:r>
                  <w:r>
                    <w:rPr>
                      <w:rFonts w:hint="default" w:ascii="Times New Roman" w:hAnsi="Times New Roman" w:cs="Times New Roman"/>
                      <w:color w:val="auto"/>
                    </w:rPr>
                    <w:t>禁止在淮河流域新建制革、化工、印染、电镀、酿造等污染严重的小型企业</w:t>
                  </w:r>
                </w:p>
              </w:tc>
              <w:tc>
                <w:tcPr>
                  <w:tcW w:w="2382" w:type="dxa"/>
                  <w:noWrap w:val="0"/>
                  <w:vAlign w:val="center"/>
                </w:tcPr>
                <w:p w14:paraId="3B00B23E">
                  <w:pPr>
                    <w:pStyle w:val="30"/>
                    <w:bidi w:val="0"/>
                    <w:rPr>
                      <w:rFonts w:hint="default" w:ascii="Times New Roman" w:hAnsi="Times New Roman" w:cs="Times New Roman"/>
                      <w:color w:val="auto"/>
                    </w:rPr>
                  </w:pPr>
                  <w:r>
                    <w:rPr>
                      <w:rFonts w:hint="default" w:ascii="Times New Roman" w:hAnsi="Times New Roman" w:cs="Times New Roman"/>
                      <w:color w:val="auto"/>
                    </w:rPr>
                    <w:t>本项目不属于化学制浆造纸、制革、化工、印染、电镀、酿造等污染严重的小型企业。</w:t>
                  </w:r>
                </w:p>
              </w:tc>
              <w:tc>
                <w:tcPr>
                  <w:tcW w:w="784" w:type="dxa"/>
                  <w:noWrap w:val="0"/>
                  <w:vAlign w:val="center"/>
                </w:tcPr>
                <w:p w14:paraId="33DD44F9">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03754B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55" w:type="dxa"/>
                  <w:vMerge w:val="continue"/>
                  <w:noWrap w:val="0"/>
                  <w:vAlign w:val="center"/>
                </w:tcPr>
                <w:p w14:paraId="781F9423">
                  <w:pPr>
                    <w:pStyle w:val="30"/>
                    <w:bidi w:val="0"/>
                    <w:rPr>
                      <w:rFonts w:hint="default" w:ascii="Times New Roman" w:hAnsi="Times New Roman" w:cs="Times New Roman"/>
                      <w:color w:val="auto"/>
                    </w:rPr>
                  </w:pPr>
                </w:p>
              </w:tc>
              <w:tc>
                <w:tcPr>
                  <w:tcW w:w="630" w:type="dxa"/>
                  <w:noWrap w:val="0"/>
                  <w:vAlign w:val="center"/>
                </w:tcPr>
                <w:p w14:paraId="641F2F74">
                  <w:pPr>
                    <w:pStyle w:val="30"/>
                    <w:bidi w:val="0"/>
                    <w:rPr>
                      <w:rFonts w:hint="default" w:ascii="Times New Roman" w:hAnsi="Times New Roman" w:cs="Times New Roman"/>
                      <w:color w:val="auto"/>
                    </w:rPr>
                  </w:pPr>
                  <w:r>
                    <w:rPr>
                      <w:rFonts w:hint="default" w:ascii="Times New Roman" w:hAnsi="Times New Roman" w:cs="Times New Roman"/>
                      <w:color w:val="auto"/>
                    </w:rPr>
                    <w:t>污染物排放管控</w:t>
                  </w:r>
                </w:p>
              </w:tc>
              <w:tc>
                <w:tcPr>
                  <w:tcW w:w="3570" w:type="dxa"/>
                  <w:noWrap w:val="0"/>
                  <w:vAlign w:val="center"/>
                </w:tcPr>
                <w:p w14:paraId="0791C303">
                  <w:pPr>
                    <w:pStyle w:val="30"/>
                    <w:bidi w:val="0"/>
                    <w:rPr>
                      <w:rFonts w:hint="default" w:ascii="Times New Roman" w:hAnsi="Times New Roman" w:cs="Times New Roman"/>
                      <w:color w:val="auto"/>
                    </w:rPr>
                  </w:pPr>
                  <w:r>
                    <w:rPr>
                      <w:rFonts w:hint="default" w:ascii="Times New Roman" w:hAnsi="Times New Roman" w:cs="Times New Roman"/>
                      <w:color w:val="auto"/>
                    </w:rPr>
                    <w:t>按照《淮河流域水污染防治暂行条例》实施排污总量控制制度</w:t>
                  </w:r>
                </w:p>
              </w:tc>
              <w:tc>
                <w:tcPr>
                  <w:tcW w:w="2382" w:type="dxa"/>
                  <w:noWrap w:val="0"/>
                  <w:vAlign w:val="center"/>
                </w:tcPr>
                <w:p w14:paraId="4030BC7E">
                  <w:pPr>
                    <w:pStyle w:val="30"/>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本项目严格执行排污总量控制制度，</w:t>
                  </w:r>
                  <w:r>
                    <w:rPr>
                      <w:rFonts w:hint="default" w:ascii="Times New Roman" w:hAnsi="Times New Roman" w:eastAsia="宋体" w:cs="Times New Roman"/>
                      <w:color w:val="auto"/>
                      <w:kern w:val="2"/>
                      <w:sz w:val="21"/>
                      <w:szCs w:val="21"/>
                      <w:lang w:val="en-US" w:eastAsia="zh-CN" w:bidi="ar-SA"/>
                    </w:rPr>
                    <w:t>新增</w:t>
                  </w:r>
                  <w:r>
                    <w:rPr>
                      <w:rFonts w:hint="eastAsia" w:cs="Times New Roman"/>
                      <w:color w:val="auto"/>
                      <w:kern w:val="2"/>
                      <w:sz w:val="21"/>
                      <w:szCs w:val="21"/>
                      <w:lang w:val="en-US" w:eastAsia="zh-CN" w:bidi="ar-SA"/>
                    </w:rPr>
                    <w:t>无组织</w:t>
                  </w:r>
                  <w:r>
                    <w:rPr>
                      <w:rFonts w:hint="default" w:ascii="Times New Roman" w:hAnsi="Times New Roman" w:eastAsia="宋体" w:cs="Times New Roman"/>
                      <w:color w:val="auto"/>
                      <w:kern w:val="2"/>
                      <w:sz w:val="21"/>
                      <w:szCs w:val="21"/>
                      <w:lang w:val="en-US" w:eastAsia="zh-CN" w:bidi="ar-SA"/>
                    </w:rPr>
                    <w:t>排放</w:t>
                  </w:r>
                  <w:r>
                    <w:rPr>
                      <w:rFonts w:hint="eastAsia" w:cs="Times New Roman"/>
                      <w:color w:val="auto"/>
                      <w:kern w:val="2"/>
                      <w:sz w:val="21"/>
                      <w:szCs w:val="21"/>
                      <w:lang w:val="en-US" w:eastAsia="zh-CN" w:bidi="ar-SA"/>
                    </w:rPr>
                    <w:t>的</w:t>
                  </w:r>
                  <w:r>
                    <w:rPr>
                      <w:rFonts w:hint="default" w:ascii="Times New Roman" w:hAnsi="Times New Roman" w:eastAsia="宋体" w:cs="Times New Roman"/>
                      <w:color w:val="auto"/>
                      <w:kern w:val="2"/>
                      <w:sz w:val="21"/>
                      <w:szCs w:val="21"/>
                      <w:lang w:val="en-US" w:eastAsia="zh-CN" w:bidi="ar-SA"/>
                    </w:rPr>
                    <w:t>VOCs（以非甲烷总烃计）</w:t>
                  </w:r>
                  <w:r>
                    <w:rPr>
                      <w:rFonts w:hint="default" w:ascii="Times New Roman" w:hAnsi="Times New Roman" w:cs="Times New Roman"/>
                      <w:color w:val="auto"/>
                      <w:kern w:val="2"/>
                      <w:sz w:val="21"/>
                      <w:szCs w:val="21"/>
                      <w:lang w:val="en-US" w:eastAsia="zh-CN" w:bidi="ar-SA"/>
                    </w:rPr>
                    <w:t>、颗粒物</w:t>
                  </w:r>
                  <w:r>
                    <w:rPr>
                      <w:rFonts w:hint="default" w:ascii="Times New Roman" w:hAnsi="Times New Roman" w:eastAsia="宋体" w:cs="Times New Roman"/>
                      <w:color w:val="auto"/>
                      <w:kern w:val="2"/>
                      <w:sz w:val="21"/>
                      <w:szCs w:val="21"/>
                      <w:lang w:val="en-US" w:eastAsia="zh-CN" w:bidi="ar-SA"/>
                    </w:rPr>
                    <w:t>从</w:t>
                  </w:r>
                  <w:r>
                    <w:rPr>
                      <w:rFonts w:hint="eastAsia" w:cs="Times New Roman"/>
                      <w:color w:val="auto"/>
                      <w:kern w:val="2"/>
                      <w:sz w:val="21"/>
                      <w:szCs w:val="21"/>
                      <w:lang w:val="en-US" w:eastAsia="zh-CN" w:bidi="ar-SA"/>
                    </w:rPr>
                    <w:t>涟水县</w:t>
                  </w:r>
                  <w:r>
                    <w:rPr>
                      <w:rFonts w:hint="default" w:ascii="Times New Roman" w:hAnsi="Times New Roman" w:eastAsia="宋体" w:cs="Times New Roman"/>
                      <w:color w:val="auto"/>
                      <w:kern w:val="2"/>
                      <w:sz w:val="21"/>
                      <w:szCs w:val="21"/>
                      <w:lang w:val="en-US" w:eastAsia="zh-CN" w:bidi="ar-SA"/>
                    </w:rPr>
                    <w:t>境内企业削减总量中平衡</w:t>
                  </w:r>
                  <w:r>
                    <w:rPr>
                      <w:rFonts w:hint="eastAsia" w:ascii="Times New Roman" w:cs="Times New Roman"/>
                      <w:color w:val="auto"/>
                      <w:kern w:val="2"/>
                      <w:sz w:val="21"/>
                      <w:szCs w:val="21"/>
                      <w:lang w:val="en-US" w:eastAsia="zh-CN" w:bidi="ar-SA"/>
                    </w:rPr>
                    <w:t>。</w:t>
                  </w:r>
                </w:p>
              </w:tc>
              <w:tc>
                <w:tcPr>
                  <w:tcW w:w="784" w:type="dxa"/>
                  <w:noWrap w:val="0"/>
                  <w:vAlign w:val="center"/>
                </w:tcPr>
                <w:p w14:paraId="1D671D34">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5BD9D4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55" w:type="dxa"/>
                  <w:vMerge w:val="continue"/>
                  <w:noWrap w:val="0"/>
                  <w:vAlign w:val="center"/>
                </w:tcPr>
                <w:p w14:paraId="612F244F">
                  <w:pPr>
                    <w:pStyle w:val="30"/>
                    <w:bidi w:val="0"/>
                    <w:rPr>
                      <w:rFonts w:hint="default" w:ascii="Times New Roman" w:hAnsi="Times New Roman" w:cs="Times New Roman"/>
                      <w:color w:val="auto"/>
                    </w:rPr>
                  </w:pPr>
                </w:p>
              </w:tc>
              <w:tc>
                <w:tcPr>
                  <w:tcW w:w="630" w:type="dxa"/>
                  <w:noWrap w:val="0"/>
                  <w:vAlign w:val="center"/>
                </w:tcPr>
                <w:p w14:paraId="653833A8">
                  <w:pPr>
                    <w:pStyle w:val="30"/>
                    <w:bidi w:val="0"/>
                    <w:rPr>
                      <w:rFonts w:hint="default" w:ascii="Times New Roman" w:hAnsi="Times New Roman" w:cs="Times New Roman"/>
                      <w:color w:val="auto"/>
                    </w:rPr>
                  </w:pPr>
                  <w:r>
                    <w:rPr>
                      <w:rFonts w:hint="default" w:ascii="Times New Roman" w:hAnsi="Times New Roman" w:cs="Times New Roman"/>
                      <w:color w:val="auto"/>
                    </w:rPr>
                    <w:t>环境风险</w:t>
                  </w:r>
                </w:p>
                <w:p w14:paraId="2349698D">
                  <w:pPr>
                    <w:pStyle w:val="30"/>
                    <w:bidi w:val="0"/>
                    <w:rPr>
                      <w:rFonts w:hint="default" w:ascii="Times New Roman" w:hAnsi="Times New Roman" w:cs="Times New Roman"/>
                      <w:color w:val="auto"/>
                    </w:rPr>
                  </w:pPr>
                  <w:r>
                    <w:rPr>
                      <w:rFonts w:hint="default" w:ascii="Times New Roman" w:hAnsi="Times New Roman" w:cs="Times New Roman"/>
                      <w:color w:val="auto"/>
                    </w:rPr>
                    <w:t>防控</w:t>
                  </w:r>
                </w:p>
              </w:tc>
              <w:tc>
                <w:tcPr>
                  <w:tcW w:w="3570" w:type="dxa"/>
                  <w:noWrap w:val="0"/>
                  <w:vAlign w:val="center"/>
                </w:tcPr>
                <w:p w14:paraId="5098ADEC">
                  <w:pPr>
                    <w:pStyle w:val="30"/>
                    <w:bidi w:val="0"/>
                    <w:rPr>
                      <w:rFonts w:hint="default" w:ascii="Times New Roman" w:hAnsi="Times New Roman" w:cs="Times New Roman"/>
                      <w:color w:val="auto"/>
                    </w:rPr>
                  </w:pPr>
                  <w:r>
                    <w:rPr>
                      <w:rFonts w:hint="default" w:ascii="Times New Roman" w:hAnsi="Times New Roman" w:cs="Times New Roman"/>
                      <w:color w:val="auto"/>
                    </w:rPr>
                    <w:t>禁止运输剧毒化学品以及国家规定禁止通过内河运输的其他危险化学品的船舶进入通榆河及主要供水河道。</w:t>
                  </w:r>
                </w:p>
              </w:tc>
              <w:tc>
                <w:tcPr>
                  <w:tcW w:w="2382" w:type="dxa"/>
                  <w:noWrap w:val="0"/>
                  <w:vAlign w:val="center"/>
                </w:tcPr>
                <w:p w14:paraId="57A87308">
                  <w:pPr>
                    <w:pStyle w:val="30"/>
                    <w:bidi w:val="0"/>
                    <w:rPr>
                      <w:rFonts w:hint="default" w:ascii="Times New Roman" w:hAnsi="Times New Roman" w:cs="Times New Roman"/>
                      <w:color w:val="auto"/>
                    </w:rPr>
                  </w:pPr>
                  <w:r>
                    <w:rPr>
                      <w:rFonts w:hint="default" w:ascii="Times New Roman" w:hAnsi="Times New Roman" w:cs="Times New Roman"/>
                      <w:color w:val="auto"/>
                    </w:rPr>
                    <w:t>建设项目原辅材料均采取汽运的方式，不涉及船运。</w:t>
                  </w:r>
                </w:p>
              </w:tc>
              <w:tc>
                <w:tcPr>
                  <w:tcW w:w="784" w:type="dxa"/>
                  <w:noWrap w:val="0"/>
                  <w:vAlign w:val="center"/>
                </w:tcPr>
                <w:p w14:paraId="4D2C7C0E">
                  <w:pPr>
                    <w:pStyle w:val="30"/>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符合</w:t>
                  </w:r>
                </w:p>
              </w:tc>
            </w:tr>
            <w:tr w14:paraId="2A3138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15457D1F">
                  <w:pPr>
                    <w:pStyle w:val="30"/>
                    <w:bidi w:val="0"/>
                    <w:rPr>
                      <w:rFonts w:hint="default" w:ascii="Times New Roman" w:hAnsi="Times New Roman" w:cs="Times New Roman"/>
                      <w:color w:val="auto"/>
                    </w:rPr>
                  </w:pPr>
                </w:p>
              </w:tc>
              <w:tc>
                <w:tcPr>
                  <w:tcW w:w="630" w:type="dxa"/>
                  <w:noWrap w:val="0"/>
                  <w:vAlign w:val="center"/>
                </w:tcPr>
                <w:p w14:paraId="3B0FA513">
                  <w:pPr>
                    <w:pStyle w:val="30"/>
                    <w:bidi w:val="0"/>
                    <w:rPr>
                      <w:rFonts w:hint="default" w:ascii="Times New Roman" w:hAnsi="Times New Roman" w:cs="Times New Roman"/>
                      <w:color w:val="auto"/>
                    </w:rPr>
                  </w:pPr>
                  <w:r>
                    <w:rPr>
                      <w:rFonts w:hint="default" w:ascii="Times New Roman" w:hAnsi="Times New Roman" w:cs="Times New Roman"/>
                      <w:color w:val="auto"/>
                    </w:rPr>
                    <w:t>资源利用效率要求</w:t>
                  </w:r>
                </w:p>
              </w:tc>
              <w:tc>
                <w:tcPr>
                  <w:tcW w:w="3570" w:type="dxa"/>
                  <w:noWrap w:val="0"/>
                  <w:vAlign w:val="center"/>
                </w:tcPr>
                <w:p w14:paraId="725D24E9">
                  <w:pPr>
                    <w:pStyle w:val="30"/>
                    <w:bidi w:val="0"/>
                    <w:rPr>
                      <w:rFonts w:hint="default" w:ascii="Times New Roman" w:hAnsi="Times New Roman" w:cs="Times New Roman"/>
                      <w:color w:val="auto"/>
                    </w:rPr>
                  </w:pPr>
                  <w:r>
                    <w:rPr>
                      <w:rFonts w:hint="default" w:ascii="Times New Roman" w:hAnsi="Times New Roman" w:cs="Times New Roman"/>
                      <w:color w:val="auto"/>
                    </w:rPr>
                    <w:t>限制缺水地区发展耗水型产业</w:t>
                  </w:r>
                  <w:r>
                    <w:rPr>
                      <w:rFonts w:hint="default" w:ascii="Times New Roman" w:hAnsi="Times New Roman" w:cs="Times New Roman"/>
                      <w:color w:val="auto"/>
                      <w:lang w:eastAsia="zh-CN"/>
                    </w:rPr>
                    <w:t>，</w:t>
                  </w:r>
                  <w:r>
                    <w:rPr>
                      <w:rFonts w:hint="default" w:ascii="Times New Roman" w:hAnsi="Times New Roman" w:cs="Times New Roman"/>
                      <w:color w:val="auto"/>
                    </w:rPr>
                    <w:t>调整缺水地区的产业结构</w:t>
                  </w:r>
                  <w:r>
                    <w:rPr>
                      <w:rFonts w:hint="default" w:ascii="Times New Roman" w:hAnsi="Times New Roman" w:cs="Times New Roman"/>
                      <w:color w:val="auto"/>
                      <w:lang w:eastAsia="zh-CN"/>
                    </w:rPr>
                    <w:t>，</w:t>
                  </w:r>
                  <w:r>
                    <w:rPr>
                      <w:rFonts w:hint="default" w:ascii="Times New Roman" w:hAnsi="Times New Roman" w:cs="Times New Roman"/>
                      <w:color w:val="auto"/>
                    </w:rPr>
                    <w:t>严格控制高耗水、高耗能和重污染的建设项目</w:t>
                  </w:r>
                </w:p>
              </w:tc>
              <w:tc>
                <w:tcPr>
                  <w:tcW w:w="2382" w:type="dxa"/>
                  <w:noWrap w:val="0"/>
                  <w:vAlign w:val="center"/>
                </w:tcPr>
                <w:p w14:paraId="6A130C9E">
                  <w:pPr>
                    <w:pStyle w:val="30"/>
                    <w:bidi w:val="0"/>
                    <w:rPr>
                      <w:rFonts w:hint="eastAsia" w:ascii="Times New Roman" w:hAnsi="Times New Roman" w:eastAsia="宋体" w:cs="Times New Roman"/>
                      <w:color w:val="auto"/>
                      <w:lang w:eastAsia="zh-CN"/>
                    </w:rPr>
                  </w:pPr>
                  <w:r>
                    <w:rPr>
                      <w:rFonts w:hint="default" w:ascii="Times New Roman" w:hAnsi="Times New Roman" w:cs="Times New Roman"/>
                      <w:color w:val="auto"/>
                    </w:rPr>
                    <w:t>项目不属于高耗水、高耗能和重污染的建设项目</w:t>
                  </w:r>
                  <w:r>
                    <w:rPr>
                      <w:rFonts w:hint="eastAsia" w:ascii="Times New Roman" w:cs="Times New Roman"/>
                      <w:color w:val="auto"/>
                      <w:lang w:eastAsia="zh-CN"/>
                    </w:rPr>
                    <w:t>。</w:t>
                  </w:r>
                </w:p>
              </w:tc>
              <w:tc>
                <w:tcPr>
                  <w:tcW w:w="784" w:type="dxa"/>
                  <w:noWrap w:val="0"/>
                  <w:vAlign w:val="center"/>
                </w:tcPr>
                <w:p w14:paraId="0E887877">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15CFA0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restart"/>
                  <w:noWrap w:val="0"/>
                  <w:vAlign w:val="center"/>
                </w:tcPr>
                <w:p w14:paraId="406F1C95">
                  <w:pPr>
                    <w:pStyle w:val="30"/>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淮安市</w:t>
                  </w:r>
                </w:p>
              </w:tc>
              <w:tc>
                <w:tcPr>
                  <w:tcW w:w="630" w:type="dxa"/>
                  <w:vMerge w:val="restart"/>
                  <w:noWrap w:val="0"/>
                  <w:vAlign w:val="center"/>
                </w:tcPr>
                <w:p w14:paraId="7918D46B">
                  <w:pPr>
                    <w:pStyle w:val="30"/>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空间布局约束</w:t>
                  </w:r>
                </w:p>
              </w:tc>
              <w:tc>
                <w:tcPr>
                  <w:tcW w:w="3570" w:type="dxa"/>
                  <w:noWrap w:val="0"/>
                  <w:vAlign w:val="center"/>
                </w:tcPr>
                <w:p w14:paraId="116CCB19">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1.严格执行《中共淮安市委淮安市人民政府关于全面加强生态环境保护坚决打好污染防治攻坚战的实施意见》（淮发〔2018〕33号）、《淮安市打赢蓝天保卫战三年行动计划实施方案》（淮政发〔2018〕113号）、《淮安市“两减六治三提升”专项行动方案》（淮发〔2017〕26号）、《淮安市土壤污染防治工作方案》（淮政发〔2017〕86号）、《淮安市水污染防治工作方案》（淮政发〔2016〕95号）等文件要求。</w:t>
                  </w:r>
                </w:p>
              </w:tc>
              <w:tc>
                <w:tcPr>
                  <w:tcW w:w="2382" w:type="dxa"/>
                  <w:noWrap w:val="0"/>
                  <w:vAlign w:val="center"/>
                </w:tcPr>
                <w:p w14:paraId="629E1AFD">
                  <w:pPr>
                    <w:pStyle w:val="30"/>
                    <w:bidi w:val="0"/>
                    <w:rPr>
                      <w:rFonts w:hint="eastAsia" w:ascii="Times New Roman" w:hAnsi="Times New Roman" w:eastAsia="宋体" w:cs="Times New Roman"/>
                      <w:color w:val="auto"/>
                      <w:lang w:eastAsia="zh-CN"/>
                    </w:rPr>
                  </w:pPr>
                  <w:r>
                    <w:rPr>
                      <w:rFonts w:hint="default" w:ascii="Times New Roman" w:hAnsi="Times New Roman" w:cs="Times New Roman"/>
                      <w:color w:val="auto"/>
                    </w:rPr>
                    <w:t>本项目严格执行《淮安市“两减六治三提升”专项行动方案》（淮发〔2017〕26号）、《淮安市土壤污染防治工作方案》等文件要求</w:t>
                  </w:r>
                  <w:r>
                    <w:rPr>
                      <w:rFonts w:hint="eastAsia" w:ascii="Times New Roman" w:cs="Times New Roman"/>
                      <w:color w:val="auto"/>
                      <w:lang w:eastAsia="zh-CN"/>
                    </w:rPr>
                    <w:t>。</w:t>
                  </w:r>
                </w:p>
              </w:tc>
              <w:tc>
                <w:tcPr>
                  <w:tcW w:w="784" w:type="dxa"/>
                  <w:noWrap w:val="0"/>
                  <w:vAlign w:val="center"/>
                </w:tcPr>
                <w:p w14:paraId="4D66443A">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12DB84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2238C32F">
                  <w:pPr>
                    <w:pStyle w:val="30"/>
                    <w:bidi w:val="0"/>
                    <w:rPr>
                      <w:rFonts w:hint="default" w:ascii="Times New Roman" w:hAnsi="Times New Roman" w:cs="Times New Roman"/>
                      <w:color w:val="auto"/>
                    </w:rPr>
                  </w:pPr>
                </w:p>
              </w:tc>
              <w:tc>
                <w:tcPr>
                  <w:tcW w:w="630" w:type="dxa"/>
                  <w:vMerge w:val="continue"/>
                  <w:noWrap w:val="0"/>
                  <w:vAlign w:val="center"/>
                </w:tcPr>
                <w:p w14:paraId="1C735E86">
                  <w:pPr>
                    <w:pStyle w:val="30"/>
                    <w:bidi w:val="0"/>
                    <w:rPr>
                      <w:rFonts w:hint="default" w:ascii="Times New Roman" w:hAnsi="Times New Roman" w:cs="Times New Roman"/>
                      <w:color w:val="auto"/>
                    </w:rPr>
                  </w:pPr>
                </w:p>
              </w:tc>
              <w:tc>
                <w:tcPr>
                  <w:tcW w:w="3570" w:type="dxa"/>
                  <w:noWrap w:val="0"/>
                  <w:vAlign w:val="center"/>
                </w:tcPr>
                <w:p w14:paraId="03B04EEB">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2.严格执行《中共淮安市委淮安市人民政府关于优化全市空间功能定位和产业布局的意见》（淮发〔2016〕37号）、《淮安市产业结构调整指导目录（2018</w:t>
                  </w:r>
                  <w:r>
                    <w:rPr>
                      <w:rFonts w:hint="eastAsia" w:cs="Times New Roman"/>
                      <w:color w:val="auto"/>
                      <w:kern w:val="0"/>
                      <w:sz w:val="21"/>
                      <w:szCs w:val="20"/>
                      <w:lang w:val="en-US" w:eastAsia="zh-CN" w:bidi="ar-SA"/>
                    </w:rPr>
                    <w:t>—</w:t>
                  </w:r>
                  <w:r>
                    <w:rPr>
                      <w:rFonts w:hint="default" w:ascii="Times New Roman" w:hAnsi="Times New Roman" w:eastAsia="宋体" w:cs="Times New Roman"/>
                      <w:color w:val="auto"/>
                      <w:kern w:val="0"/>
                      <w:sz w:val="21"/>
                      <w:szCs w:val="20"/>
                      <w:lang w:val="en-US" w:eastAsia="zh-CN" w:bidi="ar-SA"/>
                    </w:rPr>
                    <w:t>2020年版）》（淮政办发〔2018〕6号）等文件要求，重点鼓励休闲农业、电子信息、高端装备制造、新能源汽车及零部件、金融、旅游、健康养生等资源节约型、环境友好型产业。对钢铁、电解铝、水泥、平板玻璃、船舶等产能严重过剩行业，以及乙醇、造纸、皮革、农药、橡胶、水泥、金属冶炼等高耗能、高污染、技术落后的产业进行限制和禁止。同时，对属于限制类的现有生产能力，允许企业开展技术改造，推动产业转型升级。</w:t>
                  </w:r>
                </w:p>
              </w:tc>
              <w:tc>
                <w:tcPr>
                  <w:tcW w:w="2382" w:type="dxa"/>
                  <w:noWrap w:val="0"/>
                  <w:vAlign w:val="center"/>
                </w:tcPr>
                <w:p w14:paraId="1795C6B7">
                  <w:pPr>
                    <w:pStyle w:val="30"/>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本项目位于涟水经济开发区，属于重点管控单元。本项目</w:t>
                  </w:r>
                  <w:r>
                    <w:rPr>
                      <w:rFonts w:hint="default" w:ascii="Times New Roman" w:hAnsi="Times New Roman" w:cs="Times New Roman"/>
                      <w:color w:val="auto"/>
                    </w:rPr>
                    <w:t>属于</w:t>
                  </w:r>
                  <w:r>
                    <w:rPr>
                      <w:rFonts w:hint="eastAsia" w:ascii="Times New Roman" w:cs="Times New Roman"/>
                      <w:color w:val="auto"/>
                      <w:lang w:eastAsia="zh-CN"/>
                    </w:rPr>
                    <w:t>C3042特种玻璃制造</w:t>
                  </w:r>
                  <w:r>
                    <w:rPr>
                      <w:rFonts w:hint="default" w:ascii="Times New Roman" w:hAnsi="Times New Roman" w:eastAsia="宋体" w:cs="Times New Roman"/>
                      <w:color w:val="auto"/>
                      <w:lang w:val="en-US" w:eastAsia="zh-CN"/>
                    </w:rPr>
                    <w:t>，不属于所述限制和禁止类产业。</w:t>
                  </w:r>
                </w:p>
              </w:tc>
              <w:tc>
                <w:tcPr>
                  <w:tcW w:w="784" w:type="dxa"/>
                  <w:noWrap w:val="0"/>
                  <w:vAlign w:val="center"/>
                </w:tcPr>
                <w:p w14:paraId="1208A710">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0D6E9D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4A1D38A6">
                  <w:pPr>
                    <w:pStyle w:val="30"/>
                    <w:bidi w:val="0"/>
                    <w:rPr>
                      <w:rFonts w:hint="default" w:ascii="Times New Roman" w:hAnsi="Times New Roman" w:cs="Times New Roman"/>
                      <w:color w:val="auto"/>
                    </w:rPr>
                  </w:pPr>
                </w:p>
              </w:tc>
              <w:tc>
                <w:tcPr>
                  <w:tcW w:w="630" w:type="dxa"/>
                  <w:vMerge w:val="continue"/>
                  <w:noWrap w:val="0"/>
                  <w:vAlign w:val="center"/>
                </w:tcPr>
                <w:p w14:paraId="7564A058">
                  <w:pPr>
                    <w:pStyle w:val="30"/>
                    <w:bidi w:val="0"/>
                    <w:rPr>
                      <w:rFonts w:hint="default" w:ascii="Times New Roman" w:hAnsi="Times New Roman" w:cs="Times New Roman"/>
                      <w:color w:val="auto"/>
                    </w:rPr>
                  </w:pPr>
                </w:p>
              </w:tc>
              <w:tc>
                <w:tcPr>
                  <w:tcW w:w="3570" w:type="dxa"/>
                  <w:noWrap w:val="0"/>
                  <w:vAlign w:val="center"/>
                </w:tcPr>
                <w:p w14:paraId="71A90ACA">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3.根据《淮安市“两减六治三提升”专项行动方案》（淮发〔2017〕26号），推动化工企业入园进区，禁止园区外（除重点监测点化工企业外）一切新建、扩建化工项目。一律不批化工园区内环境基础设施不完善或长期不能稳定运行企业的新改扩建化工项目。新建（含搬迁）化工项目必须进入已经依法完成规划环评审查的化工园区。园区外化工企业（除重点监测点化工企业外）只允许在原有生产产品种类不变、产能规模不变、排放总量不增加的前提下，进行安全隐患改造和节能环保设施改造。禁止限制类项目产能（搬迁改造升级项目除外）入园进区。</w:t>
                  </w:r>
                </w:p>
              </w:tc>
              <w:tc>
                <w:tcPr>
                  <w:tcW w:w="2382" w:type="dxa"/>
                  <w:noWrap w:val="0"/>
                  <w:vAlign w:val="center"/>
                </w:tcPr>
                <w:p w14:paraId="1A688B33">
                  <w:pPr>
                    <w:pStyle w:val="30"/>
                    <w:bidi w:val="0"/>
                    <w:rPr>
                      <w:rFonts w:hint="default" w:ascii="Times New Roman" w:hAnsi="Times New Roman" w:cs="Times New Roman"/>
                      <w:color w:val="auto"/>
                    </w:rPr>
                  </w:pPr>
                  <w:r>
                    <w:rPr>
                      <w:rFonts w:hint="default" w:ascii="Times New Roman" w:hAnsi="Times New Roman" w:cs="Times New Roman"/>
                      <w:color w:val="auto"/>
                    </w:rPr>
                    <w:t>本项目属于</w:t>
                  </w:r>
                  <w:r>
                    <w:rPr>
                      <w:rFonts w:hint="eastAsia" w:ascii="Times New Roman" w:cs="Times New Roman"/>
                      <w:color w:val="auto"/>
                      <w:lang w:eastAsia="zh-CN"/>
                    </w:rPr>
                    <w:t>C3042特种玻璃制造，</w:t>
                  </w:r>
                  <w:r>
                    <w:rPr>
                      <w:rFonts w:hint="eastAsia" w:ascii="Times New Roman" w:cs="Times New Roman"/>
                      <w:color w:val="auto"/>
                      <w:lang w:val="en-US" w:eastAsia="zh-CN"/>
                    </w:rPr>
                    <w:t>不属于化工项目。</w:t>
                  </w:r>
                </w:p>
              </w:tc>
              <w:tc>
                <w:tcPr>
                  <w:tcW w:w="784" w:type="dxa"/>
                  <w:noWrap w:val="0"/>
                  <w:vAlign w:val="center"/>
                </w:tcPr>
                <w:p w14:paraId="7ADE159E">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505387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38CBA357">
                  <w:pPr>
                    <w:pStyle w:val="30"/>
                    <w:bidi w:val="0"/>
                    <w:rPr>
                      <w:rFonts w:hint="default" w:ascii="Times New Roman" w:hAnsi="Times New Roman" w:cs="Times New Roman"/>
                      <w:color w:val="auto"/>
                    </w:rPr>
                  </w:pPr>
                </w:p>
              </w:tc>
              <w:tc>
                <w:tcPr>
                  <w:tcW w:w="630" w:type="dxa"/>
                  <w:vMerge w:val="continue"/>
                  <w:noWrap w:val="0"/>
                  <w:vAlign w:val="center"/>
                </w:tcPr>
                <w:p w14:paraId="1380AB89">
                  <w:pPr>
                    <w:pStyle w:val="30"/>
                    <w:bidi w:val="0"/>
                    <w:rPr>
                      <w:rFonts w:hint="default" w:ascii="Times New Roman" w:hAnsi="Times New Roman" w:cs="Times New Roman"/>
                      <w:color w:val="auto"/>
                    </w:rPr>
                  </w:pPr>
                </w:p>
              </w:tc>
              <w:tc>
                <w:tcPr>
                  <w:tcW w:w="3570" w:type="dxa"/>
                  <w:noWrap w:val="0"/>
                  <w:vAlign w:val="center"/>
                </w:tcPr>
                <w:p w14:paraId="2CF6BA1A">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4.根据《中共淮安市委淮安市人民政府关于全面加强生态环境保护坚决打好污染防治攻坚战的实施意见》（淮发〔2018〕33号），从严控制京杭大运河（南水北调东线）沿岸两侧危化品码头新建项目的审批。严禁在京杭运河沿线1公里范围内新建布局化工园区和化工企业。</w:t>
                  </w:r>
                </w:p>
              </w:tc>
              <w:tc>
                <w:tcPr>
                  <w:tcW w:w="2382" w:type="dxa"/>
                  <w:noWrap w:val="0"/>
                  <w:vAlign w:val="center"/>
                </w:tcPr>
                <w:p w14:paraId="44B230C0">
                  <w:pPr>
                    <w:pStyle w:val="30"/>
                    <w:bidi w:val="0"/>
                    <w:rPr>
                      <w:rFonts w:hint="default" w:ascii="Times New Roman" w:hAnsi="Times New Roman" w:cs="Times New Roman"/>
                      <w:color w:val="auto"/>
                    </w:rPr>
                  </w:pPr>
                  <w:r>
                    <w:rPr>
                      <w:rFonts w:hint="default" w:ascii="Times New Roman" w:hAnsi="Times New Roman" w:cs="Times New Roman"/>
                      <w:color w:val="auto"/>
                    </w:rPr>
                    <w:t>本项目不在京杭运河沿线1公里范围内。</w:t>
                  </w:r>
                </w:p>
              </w:tc>
              <w:tc>
                <w:tcPr>
                  <w:tcW w:w="784" w:type="dxa"/>
                  <w:noWrap w:val="0"/>
                  <w:vAlign w:val="center"/>
                </w:tcPr>
                <w:p w14:paraId="41417551">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560BFD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517EAA97">
                  <w:pPr>
                    <w:pStyle w:val="30"/>
                    <w:bidi w:val="0"/>
                    <w:rPr>
                      <w:rFonts w:hint="default" w:ascii="Times New Roman" w:hAnsi="Times New Roman" w:cs="Times New Roman"/>
                      <w:color w:val="auto"/>
                    </w:rPr>
                  </w:pPr>
                </w:p>
              </w:tc>
              <w:tc>
                <w:tcPr>
                  <w:tcW w:w="630" w:type="dxa"/>
                  <w:vMerge w:val="continue"/>
                  <w:noWrap w:val="0"/>
                  <w:vAlign w:val="center"/>
                </w:tcPr>
                <w:p w14:paraId="37984116">
                  <w:pPr>
                    <w:pStyle w:val="30"/>
                    <w:bidi w:val="0"/>
                    <w:rPr>
                      <w:rFonts w:hint="default" w:ascii="Times New Roman" w:hAnsi="Times New Roman" w:cs="Times New Roman"/>
                      <w:color w:val="auto"/>
                    </w:rPr>
                  </w:pPr>
                </w:p>
              </w:tc>
              <w:tc>
                <w:tcPr>
                  <w:tcW w:w="3570" w:type="dxa"/>
                  <w:noWrap w:val="0"/>
                  <w:vAlign w:val="center"/>
                </w:tcPr>
                <w:p w14:paraId="40210FAD">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5.根据《省政府关于加强全省化工园区化工集中区规范化管理的通知》（苏政发〔2020〕94号），淮安市具备化工定位的化工集中区为江苏淮安工业园区，化工集中区内已建成的企业要通过改进工艺、更新装备、加大信息化智能化改造等措施提升本质安全水平。取消化工定位的园区（集中区）要大幅压减化工生产企业数量，不得新增化工生产企业、新建扩建化工生产项目，现有化工生产企业符合条件的可以定位为化工重点监测点，重点监测点在不新增</w:t>
                  </w:r>
                  <w:r>
                    <w:rPr>
                      <w:rFonts w:hint="eastAsia" w:cs="Times New Roman"/>
                      <w:color w:val="auto"/>
                      <w:kern w:val="0"/>
                      <w:sz w:val="21"/>
                      <w:szCs w:val="20"/>
                      <w:lang w:val="en-US" w:eastAsia="zh-CN" w:bidi="ar-SA"/>
                    </w:rPr>
                    <w:t>工地</w:t>
                  </w:r>
                  <w:r>
                    <w:rPr>
                      <w:rFonts w:hint="default" w:ascii="Times New Roman" w:hAnsi="Times New Roman" w:eastAsia="宋体" w:cs="Times New Roman"/>
                      <w:color w:val="auto"/>
                      <w:kern w:val="0"/>
                      <w:sz w:val="21"/>
                      <w:szCs w:val="20"/>
                      <w:lang w:val="en-US" w:eastAsia="zh-CN" w:bidi="ar-SA"/>
                    </w:rPr>
                    <w:t>和污染物排放总量的情况下可以实施产业政策鼓励类、允许类的技术改造项目。</w:t>
                  </w:r>
                </w:p>
              </w:tc>
              <w:tc>
                <w:tcPr>
                  <w:tcW w:w="2382" w:type="dxa"/>
                  <w:noWrap w:val="0"/>
                  <w:vAlign w:val="center"/>
                </w:tcPr>
                <w:p w14:paraId="05D7DEC8">
                  <w:pPr>
                    <w:pStyle w:val="30"/>
                    <w:bidi w:val="0"/>
                    <w:rPr>
                      <w:rFonts w:hint="default" w:ascii="Times New Roman" w:hAnsi="Times New Roman" w:cs="Times New Roman"/>
                      <w:color w:val="auto"/>
                    </w:rPr>
                  </w:pPr>
                  <w:r>
                    <w:rPr>
                      <w:rFonts w:hint="default" w:ascii="Times New Roman" w:hAnsi="Times New Roman" w:cs="Times New Roman"/>
                      <w:color w:val="auto"/>
                    </w:rPr>
                    <w:t>本项目属于</w:t>
                  </w:r>
                  <w:r>
                    <w:rPr>
                      <w:rFonts w:hint="eastAsia" w:ascii="Times New Roman" w:cs="Times New Roman"/>
                      <w:color w:val="auto"/>
                      <w:lang w:eastAsia="zh-CN"/>
                    </w:rPr>
                    <w:t>C3042特种玻璃制造，</w:t>
                  </w:r>
                  <w:r>
                    <w:rPr>
                      <w:rFonts w:hint="eastAsia" w:ascii="Times New Roman" w:cs="Times New Roman"/>
                      <w:color w:val="auto"/>
                      <w:lang w:val="en-US" w:eastAsia="zh-CN"/>
                    </w:rPr>
                    <w:t>不属于化工项目。</w:t>
                  </w:r>
                </w:p>
              </w:tc>
              <w:tc>
                <w:tcPr>
                  <w:tcW w:w="784" w:type="dxa"/>
                  <w:noWrap w:val="0"/>
                  <w:vAlign w:val="center"/>
                </w:tcPr>
                <w:p w14:paraId="561ACBC3">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12AC6A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758351F8">
                  <w:pPr>
                    <w:pStyle w:val="30"/>
                    <w:bidi w:val="0"/>
                    <w:rPr>
                      <w:rFonts w:hint="default" w:ascii="Times New Roman" w:hAnsi="Times New Roman" w:cs="Times New Roman"/>
                      <w:color w:val="auto"/>
                    </w:rPr>
                  </w:pPr>
                </w:p>
              </w:tc>
              <w:tc>
                <w:tcPr>
                  <w:tcW w:w="630" w:type="dxa"/>
                  <w:vMerge w:val="restart"/>
                  <w:noWrap w:val="0"/>
                  <w:vAlign w:val="center"/>
                </w:tcPr>
                <w:p w14:paraId="4CC4F600">
                  <w:pPr>
                    <w:pStyle w:val="30"/>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污染物排放管控</w:t>
                  </w:r>
                </w:p>
              </w:tc>
              <w:tc>
                <w:tcPr>
                  <w:tcW w:w="3570" w:type="dxa"/>
                  <w:noWrap w:val="0"/>
                  <w:vAlign w:val="center"/>
                </w:tcPr>
                <w:p w14:paraId="4345B31F">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1.允许排放量要求：根据《淮安市“十三五”节能减排综合实施方案》（淮政发〔2017〕119号），到2020年，淮安市化学需氧量、氨氮、总氮、总磷、二氧化硫、氮氧化物、VOCs排放量不得超过5.91万吨/年、0.77万吨/年、1.50万吨/年、0.155万吨/年、3.57万吨/年、4.72万吨/年、7.92万吨/年。</w:t>
                  </w:r>
                </w:p>
              </w:tc>
              <w:tc>
                <w:tcPr>
                  <w:tcW w:w="2382" w:type="dxa"/>
                  <w:noWrap w:val="0"/>
                  <w:vAlign w:val="center"/>
                </w:tcPr>
                <w:p w14:paraId="76F81219">
                  <w:pPr>
                    <w:pStyle w:val="20"/>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jc w:val="both"/>
                    <w:textAlignment w:val="auto"/>
                    <w:outlineLvl w:val="0"/>
                    <w:rPr>
                      <w:rFonts w:hint="eastAsia" w:ascii="Times New Roman" w:hAnsi="Times New Roman"/>
                      <w:color w:val="auto"/>
                      <w:sz w:val="21"/>
                    </w:rPr>
                  </w:pPr>
                  <w:r>
                    <w:rPr>
                      <w:rFonts w:hint="eastAsia" w:ascii="Times New Roman" w:hAnsi="Times New Roman"/>
                      <w:color w:val="auto"/>
                      <w:sz w:val="21"/>
                    </w:rPr>
                    <w:t>全厂大气污染物总量：非甲烷总烃控制总量为</w:t>
                  </w:r>
                  <w:r>
                    <w:rPr>
                      <w:rFonts w:hint="eastAsia" w:ascii="Times New Roman" w:hAnsi="Times New Roman"/>
                      <w:color w:val="auto"/>
                      <w:sz w:val="21"/>
                      <w:lang w:val="en-US" w:eastAsia="zh-CN"/>
                    </w:rPr>
                    <w:t>0.108</w:t>
                  </w:r>
                  <w:r>
                    <w:rPr>
                      <w:rFonts w:hint="eastAsia" w:ascii="Times New Roman" w:hAnsi="Times New Roman"/>
                      <w:color w:val="auto"/>
                      <w:sz w:val="21"/>
                    </w:rPr>
                    <w:t>t/a（有组织</w:t>
                  </w:r>
                  <w:r>
                    <w:rPr>
                      <w:rFonts w:hint="eastAsia" w:ascii="Times New Roman" w:hAnsi="Times New Roman"/>
                      <w:color w:val="auto"/>
                      <w:sz w:val="21"/>
                      <w:lang w:val="en-US" w:eastAsia="zh-CN"/>
                    </w:rPr>
                    <w:t>0.051</w:t>
                  </w:r>
                  <w:r>
                    <w:rPr>
                      <w:rFonts w:hint="eastAsia" w:ascii="Times New Roman" w:hAnsi="Times New Roman"/>
                      <w:color w:val="auto"/>
                      <w:sz w:val="21"/>
                    </w:rPr>
                    <w:t>t/a，无组织</w:t>
                  </w:r>
                  <w:r>
                    <w:rPr>
                      <w:rFonts w:hint="eastAsia" w:ascii="Times New Roman" w:hAnsi="Times New Roman"/>
                      <w:color w:val="auto"/>
                      <w:sz w:val="21"/>
                      <w:lang w:val="en-US" w:eastAsia="zh-CN"/>
                    </w:rPr>
                    <w:t>0.057</w:t>
                  </w:r>
                  <w:r>
                    <w:rPr>
                      <w:rFonts w:hint="eastAsia" w:ascii="Times New Roman" w:hAnsi="Times New Roman"/>
                      <w:color w:val="auto"/>
                      <w:sz w:val="21"/>
                    </w:rPr>
                    <w:t>t/a）</w:t>
                  </w:r>
                  <w:r>
                    <w:rPr>
                      <w:rFonts w:hint="eastAsia" w:ascii="Times New Roman" w:hAnsi="Times New Roman"/>
                      <w:color w:val="auto"/>
                      <w:sz w:val="21"/>
                      <w:lang w:eastAsia="zh-CN"/>
                    </w:rPr>
                    <w:t>。</w:t>
                  </w:r>
                </w:p>
                <w:p w14:paraId="53D7C41E">
                  <w:pPr>
                    <w:pStyle w:val="20"/>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jc w:val="both"/>
                    <w:textAlignment w:val="auto"/>
                    <w:outlineLvl w:val="0"/>
                    <w:rPr>
                      <w:rFonts w:hint="default" w:ascii="Times New Roman" w:hAnsi="Times New Roman" w:cs="Times New Roman"/>
                      <w:color w:val="auto"/>
                    </w:rPr>
                  </w:pPr>
                  <w:r>
                    <w:rPr>
                      <w:rFonts w:hint="eastAsia" w:ascii="Times New Roman" w:hAnsi="Times New Roman"/>
                      <w:color w:val="auto"/>
                      <w:sz w:val="21"/>
                    </w:rPr>
                    <w:t>全厂废水：废水总量为</w:t>
                  </w:r>
                  <w:r>
                    <w:rPr>
                      <w:rFonts w:hint="eastAsia" w:ascii="Times New Roman" w:hAnsi="Times New Roman"/>
                      <w:color w:val="auto"/>
                      <w:sz w:val="21"/>
                      <w:lang w:val="en-US" w:eastAsia="zh-CN"/>
                    </w:rPr>
                    <w:t>360</w:t>
                  </w:r>
                  <w:r>
                    <w:rPr>
                      <w:rFonts w:hint="eastAsia" w:ascii="Times New Roman" w:hAnsi="Times New Roman"/>
                      <w:color w:val="auto"/>
                      <w:sz w:val="21"/>
                    </w:rPr>
                    <w:t>t/a，废水环境排放量为：COD</w:t>
                  </w:r>
                  <w:r>
                    <w:rPr>
                      <w:rFonts w:hint="eastAsia" w:ascii="Times New Roman" w:hAnsi="Times New Roman"/>
                      <w:color w:val="auto"/>
                      <w:sz w:val="21"/>
                      <w:lang w:val="en-US" w:eastAsia="zh-CN"/>
                    </w:rPr>
                    <w:t>0.018</w:t>
                  </w:r>
                  <w:r>
                    <w:rPr>
                      <w:rFonts w:hint="eastAsia" w:ascii="Times New Roman" w:hAnsi="Times New Roman"/>
                      <w:color w:val="auto"/>
                      <w:sz w:val="21"/>
                    </w:rPr>
                    <w:t>t/a、NH</w:t>
                  </w:r>
                  <w:r>
                    <w:rPr>
                      <w:rFonts w:hint="eastAsia" w:ascii="Times New Roman" w:hAnsi="Times New Roman"/>
                      <w:color w:val="auto"/>
                      <w:sz w:val="21"/>
                      <w:vertAlign w:val="subscript"/>
                    </w:rPr>
                    <w:t>3</w:t>
                  </w:r>
                  <w:r>
                    <w:rPr>
                      <w:rFonts w:hint="eastAsia" w:ascii="Times New Roman" w:hAnsi="Times New Roman"/>
                      <w:color w:val="auto"/>
                      <w:sz w:val="21"/>
                    </w:rPr>
                    <w:t>-N</w:t>
                  </w:r>
                  <w:r>
                    <w:rPr>
                      <w:rFonts w:hint="eastAsia" w:ascii="Times New Roman" w:hAnsi="Times New Roman"/>
                      <w:color w:val="auto"/>
                      <w:sz w:val="21"/>
                      <w:lang w:val="en-US" w:eastAsia="zh-CN"/>
                    </w:rPr>
                    <w:t>0.0018</w:t>
                  </w:r>
                  <w:r>
                    <w:rPr>
                      <w:rFonts w:hint="eastAsia" w:ascii="Times New Roman" w:hAnsi="Times New Roman"/>
                      <w:color w:val="auto"/>
                      <w:sz w:val="21"/>
                    </w:rPr>
                    <w:t>t/a、TN</w:t>
                  </w:r>
                  <w:r>
                    <w:rPr>
                      <w:rFonts w:hint="eastAsia" w:ascii="Times New Roman" w:hAnsi="Times New Roman"/>
                      <w:color w:val="auto"/>
                      <w:sz w:val="21"/>
                      <w:lang w:val="en-US" w:eastAsia="zh-CN"/>
                    </w:rPr>
                    <w:t>0.0054</w:t>
                  </w:r>
                  <w:r>
                    <w:rPr>
                      <w:rFonts w:hint="eastAsia" w:ascii="Times New Roman" w:hAnsi="Times New Roman"/>
                      <w:color w:val="auto"/>
                      <w:sz w:val="21"/>
                    </w:rPr>
                    <w:t>t/a、TP</w:t>
                  </w:r>
                  <w:r>
                    <w:rPr>
                      <w:rFonts w:hint="eastAsia" w:ascii="Times New Roman" w:hAnsi="Times New Roman"/>
                      <w:color w:val="auto"/>
                      <w:sz w:val="21"/>
                      <w:lang w:val="en-US" w:eastAsia="zh-CN"/>
                    </w:rPr>
                    <w:t>0.0002</w:t>
                  </w:r>
                  <w:r>
                    <w:rPr>
                      <w:rFonts w:hint="eastAsia" w:ascii="Times New Roman" w:hAnsi="Times New Roman"/>
                      <w:color w:val="auto"/>
                      <w:sz w:val="21"/>
                    </w:rPr>
                    <w:t>t/a。</w:t>
                  </w:r>
                </w:p>
              </w:tc>
              <w:tc>
                <w:tcPr>
                  <w:tcW w:w="784" w:type="dxa"/>
                  <w:noWrap w:val="0"/>
                  <w:vAlign w:val="center"/>
                </w:tcPr>
                <w:p w14:paraId="36371EF6">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7200AC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101BAAAF">
                  <w:pPr>
                    <w:pStyle w:val="30"/>
                    <w:bidi w:val="0"/>
                    <w:rPr>
                      <w:rFonts w:hint="default" w:ascii="Times New Roman" w:hAnsi="Times New Roman" w:cs="Times New Roman"/>
                      <w:color w:val="auto"/>
                    </w:rPr>
                  </w:pPr>
                </w:p>
              </w:tc>
              <w:tc>
                <w:tcPr>
                  <w:tcW w:w="630" w:type="dxa"/>
                  <w:vMerge w:val="continue"/>
                  <w:noWrap w:val="0"/>
                  <w:vAlign w:val="center"/>
                </w:tcPr>
                <w:p w14:paraId="78C5BB71">
                  <w:pPr>
                    <w:pStyle w:val="30"/>
                    <w:bidi w:val="0"/>
                    <w:rPr>
                      <w:rFonts w:hint="default" w:ascii="Times New Roman" w:hAnsi="Times New Roman" w:cs="Times New Roman"/>
                      <w:color w:val="auto"/>
                    </w:rPr>
                  </w:pPr>
                </w:p>
              </w:tc>
              <w:tc>
                <w:tcPr>
                  <w:tcW w:w="3570" w:type="dxa"/>
                  <w:noWrap w:val="0"/>
                  <w:vAlign w:val="center"/>
                </w:tcPr>
                <w:p w14:paraId="7B99B7B2">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2.新增源排放标准限制：根据《淮安市打赢蓝天保卫战三年行动计划实施方案》（淮政发〔2018〕113号），全市范围内二氧化硫、氮氧化物、颗粒物、VOCs全面执行大气污染物特别排放限值。</w:t>
                  </w:r>
                </w:p>
              </w:tc>
              <w:tc>
                <w:tcPr>
                  <w:tcW w:w="2382" w:type="dxa"/>
                  <w:noWrap w:val="0"/>
                  <w:vAlign w:val="center"/>
                </w:tcPr>
                <w:p w14:paraId="3A71A667">
                  <w:pPr>
                    <w:pStyle w:val="30"/>
                    <w:bidi w:val="0"/>
                    <w:rPr>
                      <w:rFonts w:hint="eastAsia" w:ascii="Times New Roman" w:hAnsi="Times New Roman" w:eastAsia="宋体" w:cs="Times New Roman"/>
                      <w:color w:val="auto"/>
                      <w:lang w:eastAsia="zh-CN"/>
                    </w:rPr>
                  </w:pPr>
                  <w:r>
                    <w:rPr>
                      <w:rFonts w:hint="eastAsia" w:ascii="Times New Roman" w:cs="Times New Roman"/>
                      <w:color w:val="auto"/>
                      <w:lang w:val="en-US" w:eastAsia="zh-CN"/>
                    </w:rPr>
                    <w:t>本项目</w:t>
                  </w:r>
                  <w:r>
                    <w:rPr>
                      <w:rFonts w:hint="default" w:ascii="Times New Roman" w:hAnsi="Times New Roman" w:cs="Times New Roman"/>
                      <w:color w:val="auto"/>
                    </w:rPr>
                    <w:t>生产车间有组织排放的非甲烷总烃执行</w:t>
                  </w:r>
                  <w:r>
                    <w:rPr>
                      <w:rFonts w:hint="eastAsia" w:ascii="Times New Roman" w:cs="Times New Roman"/>
                      <w:color w:val="auto"/>
                      <w:lang w:eastAsia="zh-CN"/>
                    </w:rPr>
                    <w:t>《玻璃工业大气污染物排放标准》（GB26453-2022）表1中</w:t>
                  </w:r>
                  <w:r>
                    <w:rPr>
                      <w:rFonts w:hint="default" w:ascii="Times New Roman" w:hAnsi="Times New Roman" w:cs="Times New Roman"/>
                      <w:color w:val="auto"/>
                    </w:rPr>
                    <w:t>非甲烷总烃标准限值</w:t>
                  </w:r>
                  <w:r>
                    <w:rPr>
                      <w:rFonts w:hint="eastAsia" w:ascii="Times New Roman" w:cs="Times New Roman"/>
                      <w:color w:val="auto"/>
                      <w:lang w:eastAsia="zh-CN"/>
                    </w:rPr>
                    <w:t>。</w:t>
                  </w:r>
                </w:p>
              </w:tc>
              <w:tc>
                <w:tcPr>
                  <w:tcW w:w="784" w:type="dxa"/>
                  <w:noWrap w:val="0"/>
                  <w:vAlign w:val="center"/>
                </w:tcPr>
                <w:p w14:paraId="5EE5C9D6">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60B5E6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46CB5630">
                  <w:pPr>
                    <w:pStyle w:val="30"/>
                    <w:bidi w:val="0"/>
                    <w:rPr>
                      <w:rFonts w:hint="default" w:ascii="Times New Roman" w:hAnsi="Times New Roman" w:cs="Times New Roman"/>
                      <w:color w:val="auto"/>
                    </w:rPr>
                  </w:pPr>
                </w:p>
              </w:tc>
              <w:tc>
                <w:tcPr>
                  <w:tcW w:w="630" w:type="dxa"/>
                  <w:vMerge w:val="restart"/>
                  <w:noWrap w:val="0"/>
                  <w:vAlign w:val="center"/>
                </w:tcPr>
                <w:p w14:paraId="05DDF4E9">
                  <w:pPr>
                    <w:pStyle w:val="30"/>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环境风险管控</w:t>
                  </w:r>
                </w:p>
              </w:tc>
              <w:tc>
                <w:tcPr>
                  <w:tcW w:w="3570" w:type="dxa"/>
                  <w:noWrap w:val="0"/>
                  <w:vAlign w:val="center"/>
                </w:tcPr>
                <w:p w14:paraId="0A1926A1">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1.严格执行《淮安市突发环境事件应急预案》（淮政办发〔2017〕93号）、《淮安市集中式饮用水源突发污染事件应急预案》（淮政办发〔2010〕173号）、《淮安市核与辐射突发环境事件应急预案》《淮安市重污染天气应急预案》（淮政办发〔2016〕159号）等文件要求，建立区域监测预警系统，建立省市县上下联动、区域之间左右联动等联动应急响应体系，实行联防联控。</w:t>
                  </w:r>
                </w:p>
              </w:tc>
              <w:tc>
                <w:tcPr>
                  <w:tcW w:w="2382" w:type="dxa"/>
                  <w:vMerge w:val="restart"/>
                  <w:noWrap w:val="0"/>
                  <w:vAlign w:val="center"/>
                </w:tcPr>
                <w:p w14:paraId="40816F3F">
                  <w:pPr>
                    <w:pStyle w:val="30"/>
                    <w:bidi w:val="0"/>
                    <w:rPr>
                      <w:rFonts w:hint="default" w:ascii="Times New Roman" w:hAnsi="Times New Roman" w:cs="Times New Roman"/>
                      <w:color w:val="auto"/>
                    </w:rPr>
                  </w:pPr>
                  <w:r>
                    <w:rPr>
                      <w:rFonts w:hint="default" w:ascii="Times New Roman" w:hAnsi="Times New Roman" w:cs="Times New Roman"/>
                      <w:color w:val="auto"/>
                    </w:rPr>
                    <w:t>拟建项目位于淮安市涟水经济开发区西区，不属于石化、化工、水泥、钢铁等重污染企业和危险化学品企业。企业严格管理，配备消防器材等应急物资及应急设施，采取严密的应急防范措施，按照要求编制突发环境事件应急预案并备案，定期组织演练，提高应急处置能力。</w:t>
                  </w:r>
                </w:p>
              </w:tc>
              <w:tc>
                <w:tcPr>
                  <w:tcW w:w="784" w:type="dxa"/>
                  <w:vMerge w:val="restart"/>
                  <w:noWrap w:val="0"/>
                  <w:vAlign w:val="center"/>
                </w:tcPr>
                <w:p w14:paraId="77995707">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38754A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34D3AABC">
                  <w:pPr>
                    <w:pStyle w:val="30"/>
                    <w:bidi w:val="0"/>
                    <w:rPr>
                      <w:rFonts w:hint="default" w:ascii="Times New Roman" w:hAnsi="Times New Roman" w:cs="Times New Roman"/>
                      <w:color w:val="auto"/>
                    </w:rPr>
                  </w:pPr>
                </w:p>
              </w:tc>
              <w:tc>
                <w:tcPr>
                  <w:tcW w:w="630" w:type="dxa"/>
                  <w:vMerge w:val="continue"/>
                  <w:noWrap w:val="0"/>
                  <w:vAlign w:val="center"/>
                </w:tcPr>
                <w:p w14:paraId="142DF172">
                  <w:pPr>
                    <w:pStyle w:val="30"/>
                    <w:bidi w:val="0"/>
                    <w:rPr>
                      <w:rFonts w:hint="default" w:ascii="Times New Roman" w:hAnsi="Times New Roman" w:cs="Times New Roman"/>
                      <w:color w:val="auto"/>
                    </w:rPr>
                  </w:pPr>
                </w:p>
              </w:tc>
              <w:tc>
                <w:tcPr>
                  <w:tcW w:w="3570" w:type="dxa"/>
                  <w:noWrap w:val="0"/>
                  <w:vAlign w:val="center"/>
                </w:tcPr>
                <w:p w14:paraId="49F82A7B">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2.根据《淮安市“两减六治三提升”专项行动方案》（淮发〔2017〕26号），加强</w:t>
                  </w:r>
                  <w:r>
                    <w:rPr>
                      <w:rFonts w:hint="eastAsia" w:cs="Times New Roman"/>
                      <w:color w:val="auto"/>
                      <w:kern w:val="0"/>
                      <w:sz w:val="21"/>
                      <w:szCs w:val="20"/>
                      <w:lang w:val="en-US" w:eastAsia="zh-CN" w:bidi="ar-SA"/>
                    </w:rPr>
                    <w:t>县级</w:t>
                  </w:r>
                  <w:r>
                    <w:rPr>
                      <w:rFonts w:hint="default" w:ascii="Times New Roman" w:hAnsi="Times New Roman" w:eastAsia="宋体" w:cs="Times New Roman"/>
                      <w:color w:val="auto"/>
                      <w:kern w:val="0"/>
                      <w:sz w:val="21"/>
                      <w:szCs w:val="20"/>
                      <w:lang w:val="en-US" w:eastAsia="zh-CN" w:bidi="ar-SA"/>
                    </w:rPr>
                    <w:t>以上城市应急备用水源建设和管理，强化应急体系建设，建立饮用水源地实时监测监控系统，落实水源地日常巡查制度。</w:t>
                  </w:r>
                </w:p>
              </w:tc>
              <w:tc>
                <w:tcPr>
                  <w:tcW w:w="2382" w:type="dxa"/>
                  <w:vMerge w:val="continue"/>
                  <w:noWrap w:val="0"/>
                  <w:vAlign w:val="center"/>
                </w:tcPr>
                <w:p w14:paraId="6EADE757">
                  <w:pPr>
                    <w:pStyle w:val="30"/>
                    <w:bidi w:val="0"/>
                    <w:rPr>
                      <w:rFonts w:hint="default" w:ascii="Times New Roman" w:hAnsi="Times New Roman" w:cs="Times New Roman"/>
                      <w:color w:val="auto"/>
                    </w:rPr>
                  </w:pPr>
                </w:p>
              </w:tc>
              <w:tc>
                <w:tcPr>
                  <w:tcW w:w="784" w:type="dxa"/>
                  <w:vMerge w:val="continue"/>
                  <w:noWrap w:val="0"/>
                  <w:vAlign w:val="center"/>
                </w:tcPr>
                <w:p w14:paraId="5CD226B1">
                  <w:pPr>
                    <w:pStyle w:val="30"/>
                    <w:bidi w:val="0"/>
                    <w:rPr>
                      <w:rFonts w:hint="default" w:ascii="Times New Roman" w:hAnsi="Times New Roman" w:cs="Times New Roman"/>
                      <w:color w:val="auto"/>
                    </w:rPr>
                  </w:pPr>
                </w:p>
              </w:tc>
            </w:tr>
            <w:tr w14:paraId="48F846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136EF471">
                  <w:pPr>
                    <w:pStyle w:val="30"/>
                    <w:bidi w:val="0"/>
                    <w:rPr>
                      <w:rFonts w:hint="default" w:ascii="Times New Roman" w:hAnsi="Times New Roman" w:cs="Times New Roman"/>
                      <w:color w:val="auto"/>
                    </w:rPr>
                  </w:pPr>
                </w:p>
              </w:tc>
              <w:tc>
                <w:tcPr>
                  <w:tcW w:w="630" w:type="dxa"/>
                  <w:vMerge w:val="continue"/>
                  <w:noWrap w:val="0"/>
                  <w:vAlign w:val="center"/>
                </w:tcPr>
                <w:p w14:paraId="598939A0">
                  <w:pPr>
                    <w:pStyle w:val="30"/>
                    <w:bidi w:val="0"/>
                    <w:rPr>
                      <w:rFonts w:hint="default" w:ascii="Times New Roman" w:hAnsi="Times New Roman" w:cs="Times New Roman"/>
                      <w:color w:val="auto"/>
                    </w:rPr>
                  </w:pPr>
                </w:p>
              </w:tc>
              <w:tc>
                <w:tcPr>
                  <w:tcW w:w="3570" w:type="dxa"/>
                  <w:noWrap w:val="0"/>
                  <w:vAlign w:val="center"/>
                </w:tcPr>
                <w:p w14:paraId="757B4F26">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3.根据《中共淮安市委淮安市人民政府关于全面加强生态环境保护坚决打好污染防治攻坚战的实施意见》（淮发〔2018〕33号），严格控制环境风险项目，整合和提升现有工业集聚区，加快城市建成区内石化、化工、水泥、钢铁等重污染企业和危险化学品企业搬迁改造。深化跨部门、跨县区环境应急协调联动，建立环境应急预案电子备案系统。分区域建立环境应急物资储备库，市、县（区）两级政府建立应急物资储备库，各级工业园区和企业环境应急装备和储备物资应纳入储备体系。完善市、县、乡三级突发环境事件应急响应体系，定期组织演练，提高应急处置能力。</w:t>
                  </w:r>
                </w:p>
              </w:tc>
              <w:tc>
                <w:tcPr>
                  <w:tcW w:w="2382" w:type="dxa"/>
                  <w:vMerge w:val="continue"/>
                  <w:noWrap w:val="0"/>
                  <w:vAlign w:val="center"/>
                </w:tcPr>
                <w:p w14:paraId="5084E775">
                  <w:pPr>
                    <w:pStyle w:val="30"/>
                    <w:bidi w:val="0"/>
                    <w:rPr>
                      <w:rFonts w:hint="default" w:ascii="Times New Roman" w:hAnsi="Times New Roman" w:cs="Times New Roman"/>
                      <w:color w:val="auto"/>
                    </w:rPr>
                  </w:pPr>
                </w:p>
              </w:tc>
              <w:tc>
                <w:tcPr>
                  <w:tcW w:w="784" w:type="dxa"/>
                  <w:vMerge w:val="continue"/>
                  <w:noWrap w:val="0"/>
                  <w:vAlign w:val="center"/>
                </w:tcPr>
                <w:p w14:paraId="362165B8">
                  <w:pPr>
                    <w:pStyle w:val="30"/>
                    <w:bidi w:val="0"/>
                    <w:rPr>
                      <w:rFonts w:hint="default" w:ascii="Times New Roman" w:hAnsi="Times New Roman" w:cs="Times New Roman"/>
                      <w:color w:val="auto"/>
                    </w:rPr>
                  </w:pPr>
                </w:p>
              </w:tc>
            </w:tr>
            <w:tr w14:paraId="6C5D09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728918B8">
                  <w:pPr>
                    <w:pStyle w:val="30"/>
                    <w:bidi w:val="0"/>
                    <w:rPr>
                      <w:rFonts w:hint="default" w:ascii="Times New Roman" w:hAnsi="Times New Roman" w:cs="Times New Roman"/>
                      <w:color w:val="auto"/>
                    </w:rPr>
                  </w:pPr>
                </w:p>
              </w:tc>
              <w:tc>
                <w:tcPr>
                  <w:tcW w:w="630" w:type="dxa"/>
                  <w:vMerge w:val="restart"/>
                  <w:noWrap w:val="0"/>
                  <w:vAlign w:val="center"/>
                </w:tcPr>
                <w:p w14:paraId="74D6CC09">
                  <w:pPr>
                    <w:pStyle w:val="30"/>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资源利用效率要求</w:t>
                  </w:r>
                </w:p>
              </w:tc>
              <w:tc>
                <w:tcPr>
                  <w:tcW w:w="3570" w:type="dxa"/>
                  <w:noWrap w:val="0"/>
                  <w:vAlign w:val="center"/>
                </w:tcPr>
                <w:p w14:paraId="438CCCF7">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1.水资源利用总量及效率要求：根据《省最严格水资源管理考核联席会议关于下达2020年和2030年全省实行最严格水资源管理制度控制指标的通知》（苏水资联〔2016〕5号），到2020年，淮安市用水总量不得超过33.33亿立方米，万元地区生产总值用水量降至79立方米以下，万元工业增加值用水量降至10.3立方米以下，农田灌溉水有效利用系数达到0.610以上。</w:t>
                  </w:r>
                </w:p>
              </w:tc>
              <w:tc>
                <w:tcPr>
                  <w:tcW w:w="2382" w:type="dxa"/>
                  <w:vMerge w:val="restart"/>
                  <w:noWrap w:val="0"/>
                  <w:vAlign w:val="center"/>
                </w:tcPr>
                <w:p w14:paraId="0BABDF85">
                  <w:pPr>
                    <w:pStyle w:val="30"/>
                    <w:bidi w:val="0"/>
                    <w:rPr>
                      <w:rFonts w:hint="default" w:ascii="Times New Roman" w:hAnsi="Times New Roman" w:cs="Times New Roman"/>
                      <w:color w:val="auto"/>
                    </w:rPr>
                  </w:pPr>
                  <w:r>
                    <w:rPr>
                      <w:rFonts w:hint="default" w:ascii="Times New Roman" w:hAnsi="Times New Roman" w:cs="Times New Roman"/>
                      <w:color w:val="auto"/>
                    </w:rPr>
                    <w:t>本项目位于涟水经济开发区，不涉及工业用水，不属于禁燃区内；本项目不属于高耗能项目。</w:t>
                  </w:r>
                </w:p>
              </w:tc>
              <w:tc>
                <w:tcPr>
                  <w:tcW w:w="784" w:type="dxa"/>
                  <w:vMerge w:val="restart"/>
                  <w:noWrap w:val="0"/>
                  <w:vAlign w:val="center"/>
                </w:tcPr>
                <w:p w14:paraId="7D19975B">
                  <w:pPr>
                    <w:pStyle w:val="30"/>
                    <w:bidi w:val="0"/>
                    <w:rPr>
                      <w:rFonts w:hint="default" w:ascii="Times New Roman" w:hAnsi="Times New Roman" w:cs="Times New Roman"/>
                      <w:color w:val="auto"/>
                    </w:rPr>
                  </w:pPr>
                  <w:r>
                    <w:rPr>
                      <w:rFonts w:hint="default" w:ascii="Times New Roman" w:hAnsi="Times New Roman" w:cs="Times New Roman"/>
                      <w:color w:val="auto"/>
                    </w:rPr>
                    <w:t>符合</w:t>
                  </w:r>
                </w:p>
              </w:tc>
            </w:tr>
            <w:tr w14:paraId="1C80A4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7ECB520E">
                  <w:pPr>
                    <w:pStyle w:val="30"/>
                    <w:bidi w:val="0"/>
                    <w:rPr>
                      <w:rFonts w:hint="default" w:ascii="Times New Roman" w:hAnsi="Times New Roman" w:cs="Times New Roman"/>
                      <w:color w:val="auto"/>
                    </w:rPr>
                  </w:pPr>
                </w:p>
              </w:tc>
              <w:tc>
                <w:tcPr>
                  <w:tcW w:w="630" w:type="dxa"/>
                  <w:vMerge w:val="continue"/>
                  <w:noWrap w:val="0"/>
                  <w:vAlign w:val="center"/>
                </w:tcPr>
                <w:p w14:paraId="33FA6EBA">
                  <w:pPr>
                    <w:pStyle w:val="30"/>
                    <w:bidi w:val="0"/>
                    <w:rPr>
                      <w:rFonts w:hint="default" w:ascii="Times New Roman" w:hAnsi="Times New Roman" w:cs="Times New Roman"/>
                      <w:color w:val="auto"/>
                    </w:rPr>
                  </w:pPr>
                </w:p>
              </w:tc>
              <w:tc>
                <w:tcPr>
                  <w:tcW w:w="3570" w:type="dxa"/>
                  <w:noWrap w:val="0"/>
                  <w:vAlign w:val="center"/>
                </w:tcPr>
                <w:p w14:paraId="2AD27DB0">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2.地下水开采要求：根据《淮安市“两减六治三提升”专项行动方案》（淮发〔2017〕26号），到2020年，淮安市地下水超采区全面达到用水总量控制和水位红线控制要求，累计压缩地下水开采量3952.3万立方米。</w:t>
                  </w:r>
                </w:p>
              </w:tc>
              <w:tc>
                <w:tcPr>
                  <w:tcW w:w="2382" w:type="dxa"/>
                  <w:vMerge w:val="continue"/>
                  <w:noWrap w:val="0"/>
                  <w:vAlign w:val="center"/>
                </w:tcPr>
                <w:p w14:paraId="7EBA56C3">
                  <w:pPr>
                    <w:pStyle w:val="30"/>
                    <w:bidi w:val="0"/>
                    <w:rPr>
                      <w:rFonts w:hint="default" w:ascii="Times New Roman" w:hAnsi="Times New Roman" w:cs="Times New Roman"/>
                      <w:color w:val="auto"/>
                    </w:rPr>
                  </w:pPr>
                </w:p>
              </w:tc>
              <w:tc>
                <w:tcPr>
                  <w:tcW w:w="784" w:type="dxa"/>
                  <w:vMerge w:val="continue"/>
                  <w:noWrap w:val="0"/>
                  <w:vAlign w:val="center"/>
                </w:tcPr>
                <w:p w14:paraId="5B9F5851">
                  <w:pPr>
                    <w:pStyle w:val="30"/>
                    <w:bidi w:val="0"/>
                    <w:rPr>
                      <w:rFonts w:hint="default" w:ascii="Times New Roman" w:hAnsi="Times New Roman" w:cs="Times New Roman"/>
                      <w:color w:val="auto"/>
                    </w:rPr>
                  </w:pPr>
                </w:p>
              </w:tc>
            </w:tr>
            <w:tr w14:paraId="52EBDB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2F32C75A">
                  <w:pPr>
                    <w:pStyle w:val="30"/>
                    <w:bidi w:val="0"/>
                    <w:rPr>
                      <w:rFonts w:hint="default" w:ascii="Times New Roman" w:hAnsi="Times New Roman" w:cs="Times New Roman"/>
                      <w:color w:val="auto"/>
                    </w:rPr>
                  </w:pPr>
                </w:p>
              </w:tc>
              <w:tc>
                <w:tcPr>
                  <w:tcW w:w="630" w:type="dxa"/>
                  <w:vMerge w:val="continue"/>
                  <w:noWrap w:val="0"/>
                  <w:vAlign w:val="center"/>
                </w:tcPr>
                <w:p w14:paraId="7C9013EC">
                  <w:pPr>
                    <w:pStyle w:val="30"/>
                    <w:bidi w:val="0"/>
                    <w:rPr>
                      <w:rFonts w:hint="default" w:ascii="Times New Roman" w:hAnsi="Times New Roman" w:cs="Times New Roman"/>
                      <w:color w:val="auto"/>
                    </w:rPr>
                  </w:pPr>
                </w:p>
              </w:tc>
              <w:tc>
                <w:tcPr>
                  <w:tcW w:w="3570" w:type="dxa"/>
                  <w:noWrap w:val="0"/>
                  <w:vAlign w:val="center"/>
                </w:tcPr>
                <w:p w14:paraId="16C67170">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3.土地资源利用总量及效率要求：根据《淮安市土地利用总体规划（2006</w:t>
                  </w:r>
                  <w:r>
                    <w:rPr>
                      <w:rFonts w:hint="eastAsia" w:cs="Times New Roman"/>
                      <w:color w:val="auto"/>
                      <w:kern w:val="0"/>
                      <w:sz w:val="21"/>
                      <w:szCs w:val="20"/>
                      <w:lang w:val="en-US" w:eastAsia="zh-CN" w:bidi="ar-SA"/>
                    </w:rPr>
                    <w:t>—</w:t>
                  </w:r>
                  <w:r>
                    <w:rPr>
                      <w:rFonts w:hint="default" w:ascii="Times New Roman" w:hAnsi="Times New Roman" w:eastAsia="宋体" w:cs="Times New Roman"/>
                      <w:color w:val="auto"/>
                      <w:kern w:val="0"/>
                      <w:sz w:val="21"/>
                      <w:szCs w:val="20"/>
                      <w:lang w:val="en-US" w:eastAsia="zh-CN" w:bidi="ar-SA"/>
                    </w:rPr>
                    <w:t>2020年）调整方案》，到2020年，淮安市耕地保有量不得低于47.6027万公顷，永久基本农田保护面积不低于39.4699万公顷，开发强度不得高于18%。</w:t>
                  </w:r>
                </w:p>
              </w:tc>
              <w:tc>
                <w:tcPr>
                  <w:tcW w:w="2382" w:type="dxa"/>
                  <w:vMerge w:val="continue"/>
                  <w:noWrap w:val="0"/>
                  <w:vAlign w:val="center"/>
                </w:tcPr>
                <w:p w14:paraId="58A89C4D">
                  <w:pPr>
                    <w:pStyle w:val="30"/>
                    <w:bidi w:val="0"/>
                    <w:rPr>
                      <w:rFonts w:hint="default" w:ascii="Times New Roman" w:hAnsi="Times New Roman" w:cs="Times New Roman"/>
                      <w:color w:val="auto"/>
                    </w:rPr>
                  </w:pPr>
                </w:p>
              </w:tc>
              <w:tc>
                <w:tcPr>
                  <w:tcW w:w="784" w:type="dxa"/>
                  <w:vMerge w:val="continue"/>
                  <w:noWrap w:val="0"/>
                  <w:vAlign w:val="center"/>
                </w:tcPr>
                <w:p w14:paraId="520AEDD2">
                  <w:pPr>
                    <w:pStyle w:val="30"/>
                    <w:bidi w:val="0"/>
                    <w:rPr>
                      <w:rFonts w:hint="default" w:ascii="Times New Roman" w:hAnsi="Times New Roman" w:cs="Times New Roman"/>
                      <w:color w:val="auto"/>
                    </w:rPr>
                  </w:pPr>
                </w:p>
              </w:tc>
            </w:tr>
            <w:tr w14:paraId="2A2529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7EA32258">
                  <w:pPr>
                    <w:pStyle w:val="30"/>
                    <w:bidi w:val="0"/>
                    <w:rPr>
                      <w:rFonts w:hint="default" w:ascii="Times New Roman" w:hAnsi="Times New Roman" w:cs="Times New Roman"/>
                      <w:color w:val="auto"/>
                    </w:rPr>
                  </w:pPr>
                </w:p>
              </w:tc>
              <w:tc>
                <w:tcPr>
                  <w:tcW w:w="630" w:type="dxa"/>
                  <w:vMerge w:val="continue"/>
                  <w:noWrap w:val="0"/>
                  <w:vAlign w:val="center"/>
                </w:tcPr>
                <w:p w14:paraId="1943BC97">
                  <w:pPr>
                    <w:pStyle w:val="30"/>
                    <w:bidi w:val="0"/>
                    <w:rPr>
                      <w:rFonts w:hint="default" w:ascii="Times New Roman" w:hAnsi="Times New Roman" w:cs="Times New Roman"/>
                      <w:color w:val="auto"/>
                    </w:rPr>
                  </w:pPr>
                </w:p>
              </w:tc>
              <w:tc>
                <w:tcPr>
                  <w:tcW w:w="3570" w:type="dxa"/>
                  <w:noWrap w:val="0"/>
                  <w:vAlign w:val="center"/>
                </w:tcPr>
                <w:p w14:paraId="2C2591B7">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4.能源利用总量及效率要求：根据《淮安市“两减六治三提升”专项行动方案》（淮发〔2017〕26号），到2020年，淮安市煤炭消费总量比2016年减少55万吨，电子行业煤炭消费占煤炭消费总量的比重提高到65%以上，非化石能源占一次能源比重达到10%。</w:t>
                  </w:r>
                </w:p>
              </w:tc>
              <w:tc>
                <w:tcPr>
                  <w:tcW w:w="2382" w:type="dxa"/>
                  <w:vMerge w:val="continue"/>
                  <w:noWrap w:val="0"/>
                  <w:vAlign w:val="center"/>
                </w:tcPr>
                <w:p w14:paraId="401C7CB3">
                  <w:pPr>
                    <w:pStyle w:val="30"/>
                    <w:bidi w:val="0"/>
                    <w:rPr>
                      <w:rFonts w:hint="default" w:ascii="Times New Roman" w:hAnsi="Times New Roman" w:cs="Times New Roman"/>
                      <w:color w:val="auto"/>
                    </w:rPr>
                  </w:pPr>
                </w:p>
              </w:tc>
              <w:tc>
                <w:tcPr>
                  <w:tcW w:w="784" w:type="dxa"/>
                  <w:vMerge w:val="continue"/>
                  <w:noWrap w:val="0"/>
                  <w:vAlign w:val="center"/>
                </w:tcPr>
                <w:p w14:paraId="195D80CA">
                  <w:pPr>
                    <w:pStyle w:val="30"/>
                    <w:bidi w:val="0"/>
                    <w:rPr>
                      <w:rFonts w:hint="default" w:ascii="Times New Roman" w:hAnsi="Times New Roman" w:cs="Times New Roman"/>
                      <w:color w:val="auto"/>
                    </w:rPr>
                  </w:pPr>
                </w:p>
              </w:tc>
            </w:tr>
            <w:tr w14:paraId="379C2F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438FADDE">
                  <w:pPr>
                    <w:pStyle w:val="30"/>
                    <w:bidi w:val="0"/>
                    <w:rPr>
                      <w:rFonts w:hint="default" w:ascii="Times New Roman" w:hAnsi="Times New Roman" w:cs="Times New Roman"/>
                      <w:color w:val="auto"/>
                    </w:rPr>
                  </w:pPr>
                </w:p>
              </w:tc>
              <w:tc>
                <w:tcPr>
                  <w:tcW w:w="630" w:type="dxa"/>
                  <w:vMerge w:val="continue"/>
                  <w:noWrap w:val="0"/>
                  <w:vAlign w:val="center"/>
                </w:tcPr>
                <w:p w14:paraId="58551DD0">
                  <w:pPr>
                    <w:pStyle w:val="30"/>
                    <w:bidi w:val="0"/>
                    <w:rPr>
                      <w:rFonts w:hint="default" w:ascii="Times New Roman" w:hAnsi="Times New Roman" w:cs="Times New Roman"/>
                      <w:color w:val="auto"/>
                    </w:rPr>
                  </w:pPr>
                </w:p>
              </w:tc>
              <w:tc>
                <w:tcPr>
                  <w:tcW w:w="3570" w:type="dxa"/>
                  <w:noWrap w:val="0"/>
                  <w:vAlign w:val="center"/>
                </w:tcPr>
                <w:p w14:paraId="7FB051E3">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5.禁燃区要求：根据《江苏省大气污染防治条例》，禁燃区禁止新建、扩建燃用高污染燃料的项目和设施，已建成的应逐步或依法限期改用天然气、</w:t>
                  </w:r>
                  <w:r>
                    <w:rPr>
                      <w:rFonts w:hint="eastAsia" w:cs="Times New Roman"/>
                      <w:color w:val="auto"/>
                      <w:kern w:val="0"/>
                      <w:sz w:val="21"/>
                      <w:szCs w:val="20"/>
                      <w:lang w:val="en-US" w:eastAsia="zh-CN" w:bidi="ar-SA"/>
                    </w:rPr>
                    <w:t>电力</w:t>
                  </w:r>
                  <w:r>
                    <w:rPr>
                      <w:rFonts w:hint="default" w:ascii="Times New Roman" w:hAnsi="Times New Roman" w:eastAsia="宋体" w:cs="Times New Roman"/>
                      <w:color w:val="auto"/>
                      <w:kern w:val="0"/>
                      <w:sz w:val="21"/>
                      <w:szCs w:val="20"/>
                      <w:lang w:val="en-US" w:eastAsia="zh-CN" w:bidi="ar-SA"/>
                    </w:rPr>
                    <w:t>或者其他清洁能源。</w:t>
                  </w:r>
                </w:p>
              </w:tc>
              <w:tc>
                <w:tcPr>
                  <w:tcW w:w="2382" w:type="dxa"/>
                  <w:vMerge w:val="continue"/>
                  <w:noWrap w:val="0"/>
                  <w:vAlign w:val="center"/>
                </w:tcPr>
                <w:p w14:paraId="673F66FA">
                  <w:pPr>
                    <w:pStyle w:val="30"/>
                    <w:bidi w:val="0"/>
                    <w:rPr>
                      <w:rFonts w:hint="default" w:ascii="Times New Roman" w:hAnsi="Times New Roman" w:cs="Times New Roman"/>
                      <w:color w:val="auto"/>
                    </w:rPr>
                  </w:pPr>
                </w:p>
              </w:tc>
              <w:tc>
                <w:tcPr>
                  <w:tcW w:w="784" w:type="dxa"/>
                  <w:vMerge w:val="continue"/>
                  <w:noWrap w:val="0"/>
                  <w:vAlign w:val="center"/>
                </w:tcPr>
                <w:p w14:paraId="1DA87122">
                  <w:pPr>
                    <w:pStyle w:val="30"/>
                    <w:bidi w:val="0"/>
                    <w:rPr>
                      <w:rFonts w:hint="default" w:ascii="Times New Roman" w:hAnsi="Times New Roman" w:cs="Times New Roman"/>
                      <w:color w:val="auto"/>
                    </w:rPr>
                  </w:pPr>
                </w:p>
              </w:tc>
            </w:tr>
            <w:tr w14:paraId="7EB9B4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5CEDB1FF">
                  <w:pPr>
                    <w:pStyle w:val="30"/>
                    <w:bidi w:val="0"/>
                    <w:rPr>
                      <w:rFonts w:hint="default" w:ascii="Times New Roman" w:hAnsi="Times New Roman" w:cs="Times New Roman"/>
                      <w:color w:val="auto"/>
                    </w:rPr>
                  </w:pPr>
                </w:p>
              </w:tc>
              <w:tc>
                <w:tcPr>
                  <w:tcW w:w="630" w:type="dxa"/>
                  <w:vMerge w:val="continue"/>
                  <w:noWrap w:val="0"/>
                  <w:vAlign w:val="center"/>
                </w:tcPr>
                <w:p w14:paraId="19999E67">
                  <w:pPr>
                    <w:pStyle w:val="30"/>
                    <w:bidi w:val="0"/>
                    <w:rPr>
                      <w:rFonts w:hint="default" w:ascii="Times New Roman" w:hAnsi="Times New Roman" w:cs="Times New Roman"/>
                      <w:color w:val="auto"/>
                    </w:rPr>
                  </w:pPr>
                </w:p>
              </w:tc>
              <w:tc>
                <w:tcPr>
                  <w:tcW w:w="3570" w:type="dxa"/>
                  <w:noWrap w:val="0"/>
                  <w:vAlign w:val="center"/>
                </w:tcPr>
                <w:p w14:paraId="62ABC53C">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6.能耗要求：根据《淮安市打赢蓝天保卫战三年行动计划实施方案》（淮政发〔2018〕113号），新建高耗能项目单位产品（产值）能耗要达到国际先进水平。</w:t>
                  </w:r>
                </w:p>
              </w:tc>
              <w:tc>
                <w:tcPr>
                  <w:tcW w:w="2382" w:type="dxa"/>
                  <w:vMerge w:val="continue"/>
                  <w:noWrap w:val="0"/>
                  <w:vAlign w:val="center"/>
                </w:tcPr>
                <w:p w14:paraId="77168ADC">
                  <w:pPr>
                    <w:pStyle w:val="30"/>
                    <w:bidi w:val="0"/>
                    <w:rPr>
                      <w:rFonts w:hint="default" w:ascii="Times New Roman" w:hAnsi="Times New Roman" w:cs="Times New Roman"/>
                      <w:color w:val="auto"/>
                    </w:rPr>
                  </w:pPr>
                </w:p>
              </w:tc>
              <w:tc>
                <w:tcPr>
                  <w:tcW w:w="784" w:type="dxa"/>
                  <w:vMerge w:val="continue"/>
                  <w:noWrap w:val="0"/>
                  <w:vAlign w:val="center"/>
                </w:tcPr>
                <w:p w14:paraId="1BF4329B">
                  <w:pPr>
                    <w:pStyle w:val="30"/>
                    <w:bidi w:val="0"/>
                    <w:rPr>
                      <w:rFonts w:hint="default" w:ascii="Times New Roman" w:hAnsi="Times New Roman" w:cs="Times New Roman"/>
                      <w:color w:val="auto"/>
                    </w:rPr>
                  </w:pPr>
                </w:p>
              </w:tc>
            </w:tr>
          </w:tbl>
          <w:p w14:paraId="42940EE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根据上表分析可知，项目与《淮安市“三线一单”生态环境分区管控方案》及《市政府办公室关于对淮安市“三线一单”生态环境分区管控方案内容修改的通知》（淮政办函〔2022〕5号）是相符的。</w:t>
            </w:r>
          </w:p>
          <w:p w14:paraId="5BD4F2A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eastAsia="宋体"/>
                <w:color w:val="auto"/>
                <w:sz w:val="24"/>
                <w:lang w:eastAsia="zh-CN"/>
              </w:rPr>
            </w:pPr>
            <w:r>
              <w:rPr>
                <w:rFonts w:hint="eastAsia"/>
                <w:color w:val="auto"/>
                <w:sz w:val="24"/>
              </w:rPr>
              <w:t>对照《江苏省2023年度生态环境分区管控动态更新成果》，建设项目所在地属于重点管控单元（单元名称；江苏涟水经济开发区；单元编码：ZH32082620176），本项目建设符合《江苏省2023年度生态环境分区管控动态更新成果》相关要求，</w:t>
            </w:r>
            <w:r>
              <w:rPr>
                <w:rFonts w:hint="eastAsia"/>
                <w:color w:val="auto"/>
                <w:sz w:val="24"/>
                <w:lang w:val="en-US" w:eastAsia="zh-CN"/>
              </w:rPr>
              <w:t>根据</w:t>
            </w:r>
            <w:r>
              <w:rPr>
                <w:rFonts w:hint="eastAsia"/>
                <w:color w:val="auto"/>
                <w:sz w:val="24"/>
              </w:rPr>
              <w:t>更新的生态环境管控要求分析本次项目相符性，相符性分析见</w:t>
            </w:r>
            <w:r>
              <w:rPr>
                <w:rFonts w:hint="eastAsia"/>
                <w:color w:val="auto"/>
                <w:sz w:val="24"/>
                <w:lang w:val="en-US" w:eastAsia="zh-CN"/>
              </w:rPr>
              <w:t>下</w:t>
            </w:r>
            <w:r>
              <w:rPr>
                <w:rFonts w:hint="eastAsia"/>
                <w:color w:val="auto"/>
                <w:sz w:val="24"/>
              </w:rPr>
              <w:t>表</w:t>
            </w:r>
            <w:r>
              <w:rPr>
                <w:rFonts w:hint="eastAsia"/>
                <w:color w:val="auto"/>
                <w:sz w:val="24"/>
                <w:lang w:eastAsia="zh-CN"/>
              </w:rPr>
              <w:t>。</w:t>
            </w:r>
          </w:p>
          <w:p w14:paraId="4CA705E6">
            <w:pPr>
              <w:pStyle w:val="52"/>
              <w:rPr>
                <w:rFonts w:hint="eastAsia" w:ascii="Times New Roman" w:hAnsi="Times New Roman" w:eastAsia="宋体" w:cs="Times New Roman"/>
                <w:b/>
                <w:bCs/>
                <w:color w:val="auto"/>
                <w:spacing w:val="0"/>
                <w:kern w:val="2"/>
                <w:sz w:val="21"/>
                <w:szCs w:val="21"/>
                <w:lang w:val="en-US" w:eastAsia="zh-CN" w:bidi="ar-SA"/>
              </w:rPr>
            </w:pPr>
            <w:r>
              <w:rPr>
                <w:rFonts w:hint="default" w:ascii="Times New Roman" w:hAnsi="Times New Roman" w:eastAsia="宋体" w:cs="Times New Roman"/>
                <w:b/>
                <w:bCs/>
                <w:color w:val="auto"/>
                <w:spacing w:val="0"/>
                <w:kern w:val="2"/>
                <w:sz w:val="21"/>
                <w:szCs w:val="21"/>
                <w:lang w:val="en-US" w:eastAsia="zh-CN" w:bidi="ar-SA"/>
              </w:rPr>
              <w:t>表1-</w:t>
            </w:r>
            <w:r>
              <w:rPr>
                <w:rFonts w:hint="eastAsia" w:hAnsi="Times New Roman" w:eastAsia="宋体" w:cs="Times New Roman"/>
                <w:b/>
                <w:bCs/>
                <w:color w:val="auto"/>
                <w:spacing w:val="0"/>
                <w:kern w:val="2"/>
                <w:sz w:val="21"/>
                <w:szCs w:val="21"/>
                <w:lang w:val="en-US" w:eastAsia="zh-CN" w:bidi="ar-SA"/>
              </w:rPr>
              <w:t>6</w:t>
            </w:r>
            <w:r>
              <w:rPr>
                <w:rFonts w:hint="default" w:ascii="Times New Roman" w:hAnsi="Times New Roman" w:eastAsia="宋体" w:cs="Times New Roman"/>
                <w:b/>
                <w:bCs/>
                <w:color w:val="auto"/>
                <w:spacing w:val="0"/>
                <w:kern w:val="2"/>
                <w:sz w:val="21"/>
                <w:szCs w:val="21"/>
                <w:lang w:val="en-US" w:eastAsia="zh-CN" w:bidi="ar-SA"/>
              </w:rPr>
              <w:t xml:space="preserve">  </w:t>
            </w:r>
            <w:r>
              <w:rPr>
                <w:rFonts w:hint="eastAsia" w:hAnsi="Times New Roman" w:eastAsia="宋体" w:cs="Times New Roman"/>
                <w:b/>
                <w:bCs/>
                <w:color w:val="auto"/>
                <w:spacing w:val="0"/>
                <w:kern w:val="2"/>
                <w:sz w:val="21"/>
                <w:szCs w:val="21"/>
                <w:lang w:val="en-US" w:eastAsia="zh-CN" w:bidi="ar-SA"/>
              </w:rPr>
              <w:t>本</w:t>
            </w:r>
            <w:r>
              <w:rPr>
                <w:rFonts w:hint="default" w:ascii="Times New Roman" w:hAnsi="Times New Roman" w:eastAsia="宋体" w:cs="Times New Roman"/>
                <w:b/>
                <w:bCs/>
                <w:color w:val="auto"/>
                <w:spacing w:val="0"/>
                <w:kern w:val="2"/>
                <w:sz w:val="21"/>
                <w:szCs w:val="21"/>
                <w:lang w:val="en-US" w:eastAsia="zh-CN" w:bidi="ar-SA"/>
              </w:rPr>
              <w:t>项目与《</w:t>
            </w:r>
            <w:r>
              <w:rPr>
                <w:rFonts w:hint="eastAsia" w:ascii="Times New Roman" w:hAnsi="Times New Roman" w:eastAsia="宋体" w:cs="Times New Roman"/>
                <w:b/>
                <w:bCs/>
                <w:color w:val="auto"/>
                <w:spacing w:val="0"/>
                <w:kern w:val="2"/>
                <w:sz w:val="21"/>
                <w:szCs w:val="21"/>
                <w:lang w:val="en-US" w:eastAsia="zh-CN" w:bidi="ar-SA"/>
              </w:rPr>
              <w:t>江苏省2023年度生态环境分区管控动态更新成果</w:t>
            </w:r>
            <w:r>
              <w:rPr>
                <w:rFonts w:hint="default" w:ascii="Times New Roman" w:hAnsi="Times New Roman" w:eastAsia="宋体" w:cs="Times New Roman"/>
                <w:b/>
                <w:bCs/>
                <w:color w:val="auto"/>
                <w:spacing w:val="0"/>
                <w:kern w:val="2"/>
                <w:sz w:val="21"/>
                <w:szCs w:val="21"/>
                <w:lang w:val="en-US" w:eastAsia="zh-CN" w:bidi="ar-SA"/>
              </w:rPr>
              <w:t>》相符性分析</w:t>
            </w:r>
          </w:p>
          <w:tbl>
            <w:tblPr>
              <w:tblStyle w:val="22"/>
              <w:tblpPr w:bottomFromText="170" w:vertAnchor="text" w:tblpXSpec="center" w:tblpY="1"/>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1" w:type="dxa"/>
                <w:bottom w:w="11" w:type="dxa"/>
                <w:right w:w="11" w:type="dxa"/>
              </w:tblCellMar>
            </w:tblPr>
            <w:tblGrid>
              <w:gridCol w:w="540"/>
              <w:gridCol w:w="4350"/>
              <w:gridCol w:w="2333"/>
              <w:gridCol w:w="475"/>
            </w:tblGrid>
            <w:tr w14:paraId="3E7F7F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tcBorders>
                    <w:tl2br w:val="nil"/>
                    <w:tr2bl w:val="nil"/>
                  </w:tcBorders>
                  <w:shd w:val="clear" w:color="auto" w:fill="auto"/>
                  <w:vAlign w:val="center"/>
                </w:tcPr>
                <w:p w14:paraId="3E9A1402">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管控类别</w:t>
                  </w:r>
                </w:p>
              </w:tc>
              <w:tc>
                <w:tcPr>
                  <w:tcW w:w="2825" w:type="pct"/>
                  <w:tcBorders>
                    <w:tl2br w:val="nil"/>
                    <w:tr2bl w:val="nil"/>
                  </w:tcBorders>
                  <w:shd w:val="clear" w:color="auto" w:fill="auto"/>
                  <w:vAlign w:val="center"/>
                </w:tcPr>
                <w:p w14:paraId="37FE6732">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重点管控要求</w:t>
                  </w:r>
                </w:p>
              </w:tc>
              <w:tc>
                <w:tcPr>
                  <w:tcW w:w="1515" w:type="pct"/>
                  <w:tcBorders>
                    <w:tl2br w:val="nil"/>
                    <w:tr2bl w:val="nil"/>
                  </w:tcBorders>
                  <w:shd w:val="clear" w:color="auto" w:fill="auto"/>
                  <w:vAlign w:val="center"/>
                </w:tcPr>
                <w:p w14:paraId="35C9B42B">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项目情况</w:t>
                  </w:r>
                </w:p>
              </w:tc>
              <w:tc>
                <w:tcPr>
                  <w:tcW w:w="308" w:type="pct"/>
                  <w:tcBorders>
                    <w:tl2br w:val="nil"/>
                    <w:tr2bl w:val="nil"/>
                  </w:tcBorders>
                  <w:shd w:val="clear" w:color="auto" w:fill="auto"/>
                  <w:vAlign w:val="center"/>
                </w:tcPr>
                <w:p w14:paraId="1611A8A5">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符合性</w:t>
                  </w:r>
                </w:p>
              </w:tc>
            </w:tr>
            <w:tr w14:paraId="220ABC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3C43CA79">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空间布局约束</w:t>
                  </w:r>
                </w:p>
              </w:tc>
              <w:tc>
                <w:tcPr>
                  <w:tcW w:w="2825" w:type="pct"/>
                  <w:tcBorders>
                    <w:tl2br w:val="nil"/>
                    <w:tr2bl w:val="nil"/>
                  </w:tcBorders>
                  <w:shd w:val="clear" w:color="auto" w:fill="auto"/>
                  <w:vAlign w:val="center"/>
                </w:tcPr>
                <w:p w14:paraId="0FBB5675">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按照《自然资源部生态环境部国家林业和草原局关于加强生态保护红线管理的通知（试行）》（自然资发〔2022〕142号）、《省政府关于印发江苏省生态空间管控区域规划的通知》（苏政发〔2020〕1号）、《关于进一步加强生态保护红线监督管理的通知》（苏自然函</w:t>
                  </w:r>
                  <w:r>
                    <w:rPr>
                      <w:rFonts w:hint="eastAsia"/>
                      <w:snapToGrid w:val="0"/>
                      <w:color w:val="auto"/>
                      <w:kern w:val="0"/>
                      <w:sz w:val="21"/>
                      <w:szCs w:val="18"/>
                      <w:lang w:eastAsia="zh-CN"/>
                    </w:rPr>
                    <w:t>〔2023〕880号</w:t>
                  </w:r>
                  <w:r>
                    <w:rPr>
                      <w:rFonts w:ascii="Times New Roman" w:hAnsi="Times New Roman" w:eastAsia="宋体"/>
                      <w:snapToGrid w:val="0"/>
                      <w:color w:val="auto"/>
                      <w:kern w:val="0"/>
                      <w:sz w:val="21"/>
                      <w:szCs w:val="18"/>
                    </w:rPr>
                    <w:t>）、《江苏省国土空间规划（2021</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2035年）》（国函〔2023〕69号），坚持节约优先、保护优先、自然恢复为主的方针，以改善生态环境质量为核心，以保障和维护生态功能为主线，统筹</w:t>
                  </w:r>
                  <w:r>
                    <w:rPr>
                      <w:rFonts w:hint="eastAsia"/>
                      <w:snapToGrid w:val="0"/>
                      <w:color w:val="auto"/>
                      <w:kern w:val="0"/>
                      <w:sz w:val="21"/>
                      <w:szCs w:val="18"/>
                      <w:lang w:eastAsia="zh-CN"/>
                    </w:rPr>
                    <w:t>山水林田湖草沙一体化保护</w:t>
                  </w:r>
                  <w:r>
                    <w:rPr>
                      <w:rFonts w:ascii="Times New Roman" w:hAnsi="Times New Roman" w:eastAsia="宋体"/>
                      <w:snapToGrid w:val="0"/>
                      <w:color w:val="auto"/>
                      <w:kern w:val="0"/>
                      <w:sz w:val="21"/>
                      <w:szCs w:val="18"/>
                    </w:rPr>
                    <w:t>和修复，严守生态保护红线，实行最严格的生态空间管控制度，确保全省生态功能不降低、面积不减少、性质不改变，切实维护生态安全。生态保护红线不低于1.82万平方千米，其中海洋生态保护红线不低于0.95万平方千米。</w:t>
                  </w:r>
                </w:p>
              </w:tc>
              <w:tc>
                <w:tcPr>
                  <w:tcW w:w="1515" w:type="pct"/>
                  <w:tcBorders>
                    <w:tl2br w:val="nil"/>
                    <w:tr2bl w:val="nil"/>
                  </w:tcBorders>
                  <w:shd w:val="clear" w:color="auto" w:fill="auto"/>
                  <w:vAlign w:val="center"/>
                </w:tcPr>
                <w:p w14:paraId="20F07975">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位于涟水经济开发区西区，与《自然资源部生态环境部国家林业和草原局关于加强生态保护红线管理的通知（试行）》（自然资发〔2022〕142号）、《省政府关于印发江苏省生态空间管控区域规划的通知》（苏政发〔2020〕1号）、《关于进一步加强生态保护红线监督管理的通知》（苏自然函</w:t>
                  </w:r>
                  <w:r>
                    <w:rPr>
                      <w:rFonts w:hint="eastAsia"/>
                      <w:snapToGrid w:val="0"/>
                      <w:color w:val="auto"/>
                      <w:kern w:val="0"/>
                      <w:sz w:val="21"/>
                      <w:szCs w:val="18"/>
                      <w:lang w:eastAsia="zh-CN"/>
                    </w:rPr>
                    <w:t>〔2023〕880号</w:t>
                  </w:r>
                  <w:r>
                    <w:rPr>
                      <w:rFonts w:ascii="Times New Roman" w:hAnsi="Times New Roman" w:eastAsia="宋体"/>
                      <w:snapToGrid w:val="0"/>
                      <w:color w:val="auto"/>
                      <w:kern w:val="0"/>
                      <w:sz w:val="21"/>
                      <w:szCs w:val="18"/>
                    </w:rPr>
                    <w:t>）、《江苏省国土空间规划（2021</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2035年）》（国函〔2023〕69号）相符，不涉及生态保护红线区域，满足国土空间规划</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447044C3">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660E9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10F68416">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5C35FE08">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2．牢牢把握推动长江经济带发展“</w:t>
                  </w:r>
                  <w:r>
                    <w:rPr>
                      <w:rFonts w:hint="eastAsia"/>
                      <w:snapToGrid w:val="0"/>
                      <w:color w:val="auto"/>
                      <w:kern w:val="0"/>
                      <w:sz w:val="21"/>
                      <w:szCs w:val="18"/>
                      <w:lang w:eastAsia="zh-CN"/>
                    </w:rPr>
                    <w:t>共抓大保护、不搞大开发</w:t>
                  </w:r>
                  <w:r>
                    <w:rPr>
                      <w:rFonts w:ascii="Times New Roman" w:hAnsi="Times New Roman" w:eastAsia="宋体"/>
                      <w:snapToGrid w:val="0"/>
                      <w:color w:val="auto"/>
                      <w:kern w:val="0"/>
                      <w:sz w:val="21"/>
                      <w:szCs w:val="18"/>
                    </w:rPr>
                    <w:t>”战略导向，对省域范围内需要重点保护的岸线、河段和区域实行严格管控，管住控好排放量大、耗能高、产能过剩的产业，推动长江经济带高质量发展。</w:t>
                  </w:r>
                </w:p>
              </w:tc>
              <w:tc>
                <w:tcPr>
                  <w:tcW w:w="1515" w:type="pct"/>
                  <w:tcBorders>
                    <w:tl2br w:val="nil"/>
                    <w:tr2bl w:val="nil"/>
                  </w:tcBorders>
                  <w:shd w:val="clear" w:color="auto" w:fill="auto"/>
                  <w:vAlign w:val="center"/>
                </w:tcPr>
                <w:p w14:paraId="1E5F6208">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项目位于涟水经济开发区西区，不在省域范围需要重点保护的岸线、河段和区域实行严格管控区域，且项目不属于排放量大、耗能高、产能过剩产业</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4C40A0A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0948B4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2EEBFAB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2DFD54E8">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大幅压减沿长江干支流两侧1公里范围内、环境敏感区域、城镇人口密集区、化工园区外和规模以下化工生产企业，着力破解“重化围江”突出问题，高起点同步推进沿江地区战略性转型和沿海地区战略性布局。</w:t>
                  </w:r>
                </w:p>
              </w:tc>
              <w:tc>
                <w:tcPr>
                  <w:tcW w:w="1515" w:type="pct"/>
                  <w:tcBorders>
                    <w:tl2br w:val="nil"/>
                    <w:tr2bl w:val="nil"/>
                  </w:tcBorders>
                  <w:shd w:val="clear" w:color="auto" w:fill="auto"/>
                  <w:vAlign w:val="center"/>
                </w:tcPr>
                <w:p w14:paraId="6AAF24BE">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项目不在长江干支流两侧1公里范围内</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5C216C6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F7A2F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453D154D">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536714EC">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4．全省钢铁行业坚持布局调整和产能整合相结合，坚持企业搬迁与转型升级相结合，鼓励有条件的企业实施跨地区、跨所有制的兼并重组，高起点、高标准规划建设沿海精品钢基地，做精做优沿江特钢产业基地，加快推动全省钢铁行业转型升级优化布局。</w:t>
                  </w:r>
                </w:p>
              </w:tc>
              <w:tc>
                <w:tcPr>
                  <w:tcW w:w="1515" w:type="pct"/>
                  <w:tcBorders>
                    <w:tl2br w:val="nil"/>
                    <w:tr2bl w:val="nil"/>
                  </w:tcBorders>
                  <w:shd w:val="clear" w:color="auto" w:fill="auto"/>
                  <w:vAlign w:val="center"/>
                </w:tcPr>
                <w:p w14:paraId="349A756E">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项目不属于钢铁行业</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2497D2AE">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26D1EA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3D73CCD8">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1E865A9B">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5．对列入国家和省规划，涉及生态保护红线和相关法定保护区的重大民生项目、重大基础设施项目（交通基础设施项目等），应优化空间布局（选线）、主动避让；确实无法避让的，应采取无害化方式（如无害化穿、跨越方式等），依法依规履行行政审批手续，强化减缓生态环境影响和生态补偿措施。</w:t>
                  </w:r>
                </w:p>
              </w:tc>
              <w:tc>
                <w:tcPr>
                  <w:tcW w:w="1515" w:type="pct"/>
                  <w:tcBorders>
                    <w:tl2br w:val="nil"/>
                    <w:tr2bl w:val="nil"/>
                  </w:tcBorders>
                  <w:shd w:val="clear" w:color="auto" w:fill="auto"/>
                  <w:vAlign w:val="center"/>
                </w:tcPr>
                <w:p w14:paraId="234EA182">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项目不涉及生态保护红线和相关法定保护区</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1A96D0B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569AD9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5E11973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污染物排放管控</w:t>
                  </w:r>
                </w:p>
              </w:tc>
              <w:tc>
                <w:tcPr>
                  <w:tcW w:w="2825" w:type="pct"/>
                  <w:tcBorders>
                    <w:tl2br w:val="nil"/>
                    <w:tr2bl w:val="nil"/>
                  </w:tcBorders>
                  <w:shd w:val="clear" w:color="auto" w:fill="auto"/>
                  <w:vAlign w:val="center"/>
                </w:tcPr>
                <w:p w14:paraId="63E1FA48">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1．坚持生态环境质量只能更好、不能变坏，实施污染物总量控制，以环境容量定产业、定项目、定规模，确保开发建设行为不突破生态环境承载力。</w:t>
                  </w:r>
                </w:p>
              </w:tc>
              <w:tc>
                <w:tcPr>
                  <w:tcW w:w="1515" w:type="pct"/>
                  <w:vMerge w:val="restart"/>
                  <w:tcBorders>
                    <w:tl2br w:val="nil"/>
                    <w:tr2bl w:val="nil"/>
                  </w:tcBorders>
                  <w:shd w:val="clear" w:color="auto" w:fill="auto"/>
                  <w:vAlign w:val="center"/>
                </w:tcPr>
                <w:p w14:paraId="6F4B80EF">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根据</w:t>
                  </w:r>
                  <w:r>
                    <w:rPr>
                      <w:rFonts w:ascii="Times New Roman" w:hAnsi="Times New Roman" w:eastAsia="宋体"/>
                      <w:snapToGrid w:val="0"/>
                      <w:color w:val="auto"/>
                      <w:kern w:val="0"/>
                      <w:sz w:val="21"/>
                      <w:szCs w:val="18"/>
                      <w:lang w:val="zh-CN"/>
                    </w:rPr>
                    <w:t>《</w:t>
                  </w:r>
                  <w:r>
                    <w:rPr>
                      <w:rFonts w:ascii="Times New Roman" w:hAnsi="Times New Roman" w:eastAsia="宋体"/>
                      <w:snapToGrid w:val="0"/>
                      <w:color w:val="auto"/>
                      <w:kern w:val="0"/>
                      <w:sz w:val="21"/>
                      <w:szCs w:val="18"/>
                    </w:rPr>
                    <w:t>建设项目主要污染物排放总量指标审核及管理暂行办法</w:t>
                  </w:r>
                  <w:r>
                    <w:rPr>
                      <w:rFonts w:ascii="Times New Roman" w:hAnsi="Times New Roman" w:eastAsia="宋体"/>
                      <w:snapToGrid w:val="0"/>
                      <w:color w:val="auto"/>
                      <w:kern w:val="0"/>
                      <w:sz w:val="21"/>
                      <w:szCs w:val="18"/>
                      <w:lang w:val="zh-CN"/>
                    </w:rPr>
                    <w:t>》（</w:t>
                  </w:r>
                  <w:r>
                    <w:rPr>
                      <w:rFonts w:ascii="Times New Roman" w:hAnsi="Times New Roman" w:eastAsia="宋体"/>
                      <w:snapToGrid w:val="0"/>
                      <w:color w:val="auto"/>
                      <w:kern w:val="0"/>
                      <w:sz w:val="21"/>
                      <w:szCs w:val="18"/>
                    </w:rPr>
                    <w:t>环发</w:t>
                  </w:r>
                  <w:r>
                    <w:rPr>
                      <w:rFonts w:hint="eastAsia"/>
                      <w:snapToGrid w:val="0"/>
                      <w:color w:val="auto"/>
                      <w:kern w:val="0"/>
                      <w:sz w:val="21"/>
                      <w:szCs w:val="18"/>
                      <w:lang w:eastAsia="zh-CN"/>
                    </w:rPr>
                    <w:t>〔2014〕197号</w:t>
                  </w:r>
                  <w:r>
                    <w:rPr>
                      <w:rFonts w:ascii="Times New Roman" w:hAnsi="Times New Roman" w:eastAsia="宋体"/>
                      <w:snapToGrid w:val="0"/>
                      <w:color w:val="auto"/>
                      <w:kern w:val="0"/>
                      <w:sz w:val="21"/>
                      <w:szCs w:val="18"/>
                      <w:lang w:val="zh-CN"/>
                    </w:rPr>
                    <w:t>），</w:t>
                  </w:r>
                  <w:r>
                    <w:rPr>
                      <w:rFonts w:ascii="Times New Roman" w:hAnsi="Times New Roman" w:eastAsia="宋体"/>
                      <w:snapToGrid w:val="0"/>
                      <w:color w:val="auto"/>
                      <w:kern w:val="0"/>
                      <w:sz w:val="21"/>
                      <w:szCs w:val="18"/>
                    </w:rPr>
                    <w:t>项目污染物总量在涟水县范围内平衡，项目建设不突破生态环境承载力</w:t>
                  </w:r>
                  <w:r>
                    <w:rPr>
                      <w:rFonts w:ascii="Times New Roman" w:hAnsi="Times New Roman" w:eastAsia="宋体"/>
                      <w:snapToGrid w:val="0"/>
                      <w:color w:val="auto"/>
                      <w:kern w:val="0"/>
                      <w:sz w:val="21"/>
                      <w:szCs w:val="18"/>
                      <w:lang w:val="zh-CN"/>
                    </w:rPr>
                    <w:t>，</w:t>
                  </w:r>
                  <w:r>
                    <w:rPr>
                      <w:rFonts w:ascii="Times New Roman" w:hAnsi="Times New Roman" w:eastAsia="宋体"/>
                      <w:snapToGrid w:val="0"/>
                      <w:color w:val="auto"/>
                      <w:kern w:val="0"/>
                      <w:sz w:val="21"/>
                      <w:szCs w:val="18"/>
                    </w:rPr>
                    <w:t>项目污染物总量在涟水县范围内平衡</w:t>
                  </w:r>
                  <w:r>
                    <w:rPr>
                      <w:rFonts w:hint="eastAsia"/>
                      <w:snapToGrid w:val="0"/>
                      <w:color w:val="auto"/>
                      <w:kern w:val="0"/>
                      <w:sz w:val="21"/>
                      <w:szCs w:val="18"/>
                      <w:lang w:eastAsia="zh-CN"/>
                    </w:rPr>
                    <w:t>。</w:t>
                  </w:r>
                </w:p>
              </w:tc>
              <w:tc>
                <w:tcPr>
                  <w:tcW w:w="308" w:type="pct"/>
                  <w:vMerge w:val="restart"/>
                  <w:tcBorders>
                    <w:tl2br w:val="nil"/>
                    <w:tr2bl w:val="nil"/>
                  </w:tcBorders>
                  <w:shd w:val="clear" w:color="auto" w:fill="auto"/>
                  <w:vAlign w:val="center"/>
                </w:tcPr>
                <w:p w14:paraId="3E9E366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9FB2B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0D887F30">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488410C1">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2025年，主要污染物排放减排完成国家下达任务，单位工业增加值二氧化碳排放量下降20%，主要高耗能行业单位产品二氧化碳排放达到世界先进水平。实施氮氧化物（NOx）和VOCs协同减排，推进多污染物和关联区域联防联控。</w:t>
                  </w:r>
                </w:p>
              </w:tc>
              <w:tc>
                <w:tcPr>
                  <w:tcW w:w="1515" w:type="pct"/>
                  <w:vMerge w:val="continue"/>
                  <w:tcBorders>
                    <w:tl2br w:val="nil"/>
                    <w:tr2bl w:val="nil"/>
                  </w:tcBorders>
                  <w:shd w:val="clear" w:color="auto" w:fill="auto"/>
                  <w:vAlign w:val="center"/>
                </w:tcPr>
                <w:p w14:paraId="0D839E6C">
                  <w:pPr>
                    <w:overflowPunct w:val="0"/>
                    <w:autoSpaceDE w:val="0"/>
                    <w:autoSpaceDN w:val="0"/>
                    <w:adjustRightInd w:val="0"/>
                    <w:snapToGrid w:val="0"/>
                    <w:rPr>
                      <w:rFonts w:ascii="Times New Roman" w:hAnsi="Times New Roman" w:eastAsia="宋体"/>
                      <w:snapToGrid w:val="0"/>
                      <w:color w:val="auto"/>
                      <w:kern w:val="0"/>
                      <w:sz w:val="21"/>
                      <w:szCs w:val="18"/>
                    </w:rPr>
                  </w:pPr>
                </w:p>
              </w:tc>
              <w:tc>
                <w:tcPr>
                  <w:tcW w:w="308" w:type="pct"/>
                  <w:vMerge w:val="continue"/>
                  <w:tcBorders>
                    <w:tl2br w:val="nil"/>
                    <w:tr2bl w:val="nil"/>
                  </w:tcBorders>
                  <w:shd w:val="clear" w:color="auto" w:fill="auto"/>
                  <w:vAlign w:val="center"/>
                </w:tcPr>
                <w:p w14:paraId="0D6154B4">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40ED1A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63B13047">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环境风险防控</w:t>
                  </w:r>
                </w:p>
              </w:tc>
              <w:tc>
                <w:tcPr>
                  <w:tcW w:w="2825" w:type="pct"/>
                  <w:tcBorders>
                    <w:tl2br w:val="nil"/>
                    <w:tr2bl w:val="nil"/>
                  </w:tcBorders>
                  <w:shd w:val="clear" w:color="auto" w:fill="auto"/>
                  <w:vAlign w:val="center"/>
                </w:tcPr>
                <w:p w14:paraId="1F95F79A">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1．强化饮用水水源环境风险管控。县级以上城市全部建成应急水源或双源供水。</w:t>
                  </w:r>
                </w:p>
              </w:tc>
              <w:tc>
                <w:tcPr>
                  <w:tcW w:w="1515" w:type="pct"/>
                  <w:tcBorders>
                    <w:tl2br w:val="nil"/>
                    <w:tr2bl w:val="nil"/>
                  </w:tcBorders>
                  <w:shd w:val="clear" w:color="auto" w:fill="auto"/>
                  <w:vAlign w:val="center"/>
                </w:tcPr>
                <w:p w14:paraId="57488052">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项目不涉及饮用水水源</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136FBE8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2F710A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63276208">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78E8AE89">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强化化工行业环境风险管控。重点加强化学工业园区、涉及大宗危化品使用企业、贮存和运输危化品的港口码头、尾矿库、集中式污水处理厂、危废处理企业的环境风险防控；严厉打击危险废物非法转移、处置和倾倒行为；加强关闭搬迁化工企业及遗留地块的调查评估、风险管控、治理修复。</w:t>
                  </w:r>
                </w:p>
              </w:tc>
              <w:tc>
                <w:tcPr>
                  <w:tcW w:w="1515" w:type="pct"/>
                  <w:tcBorders>
                    <w:tl2br w:val="nil"/>
                    <w:tr2bl w:val="nil"/>
                  </w:tcBorders>
                  <w:shd w:val="clear" w:color="auto" w:fill="auto"/>
                  <w:vAlign w:val="center"/>
                </w:tcPr>
                <w:p w14:paraId="117CB19D">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项目不属于化工项目</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77B6809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479F34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1E9F9BF1">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6C2E263E">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3．强化环境事故应急管理。深化跨部门、跨区域环境应急协调联动，分区域建立环境应急物资储备库。各级工业园区（集聚区）和企业的环境应急装备和储备物资应纳入储备体系。</w:t>
                  </w:r>
                </w:p>
              </w:tc>
              <w:tc>
                <w:tcPr>
                  <w:tcW w:w="1515" w:type="pct"/>
                  <w:tcBorders>
                    <w:tl2br w:val="nil"/>
                    <w:tr2bl w:val="nil"/>
                  </w:tcBorders>
                  <w:shd w:val="clear" w:color="auto" w:fill="auto"/>
                  <w:vAlign w:val="center"/>
                </w:tcPr>
                <w:p w14:paraId="417E137B">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项目位于涟水经济开发区西区，规划区应配备相应的应急装备和应急物资</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1CBE325F">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3EB7F2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41AB82EE">
                  <w:pPr>
                    <w:overflowPunct w:val="0"/>
                    <w:autoSpaceDE w:val="0"/>
                    <w:autoSpaceDN w:val="0"/>
                    <w:adjustRightInd w:val="0"/>
                    <w:snapToGrid w:val="0"/>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6BCAC0EC">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4．强化环境风险防控能力建设。按照统一信息平台、统一监管力度、统一应急等级、协同应急救援的思路，在沿江发展带、沿海发展带、环太湖等地区构建区域性环境风险预警应急响应机制，实施区域突发环境风险预警联防联控。</w:t>
                  </w:r>
                </w:p>
              </w:tc>
              <w:tc>
                <w:tcPr>
                  <w:tcW w:w="1515" w:type="pct"/>
                  <w:tcBorders>
                    <w:tl2br w:val="nil"/>
                    <w:tr2bl w:val="nil"/>
                  </w:tcBorders>
                  <w:shd w:val="clear" w:color="auto" w:fill="auto"/>
                  <w:vAlign w:val="center"/>
                </w:tcPr>
                <w:p w14:paraId="5C57FD1E">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项目位于涟水经济开发区西区，本项目严格建设自身环境风险防控体系，并与园区环境风险防控体系形成联动机制</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36964A94">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14AA95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31CE825E">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资源利用效率要求</w:t>
                  </w:r>
                </w:p>
              </w:tc>
              <w:tc>
                <w:tcPr>
                  <w:tcW w:w="2825" w:type="pct"/>
                  <w:tcBorders>
                    <w:tl2br w:val="nil"/>
                    <w:tr2bl w:val="nil"/>
                  </w:tcBorders>
                  <w:shd w:val="clear" w:color="auto" w:fill="auto"/>
                  <w:vAlign w:val="center"/>
                </w:tcPr>
                <w:p w14:paraId="5A6C2437">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1．水资源利用总量及效率要求：到2025年，全省用水总量控制在525.9亿立方米以内，万元地区生产总值用水量、万元工业增加值用水量下降完成国家下达目标，农田灌溉水有效利用系数提高到0.625。</w:t>
                  </w:r>
                </w:p>
              </w:tc>
              <w:tc>
                <w:tcPr>
                  <w:tcW w:w="1515" w:type="pct"/>
                  <w:tcBorders>
                    <w:tl2br w:val="nil"/>
                    <w:tr2bl w:val="nil"/>
                  </w:tcBorders>
                  <w:shd w:val="clear" w:color="auto" w:fill="auto"/>
                  <w:vAlign w:val="center"/>
                </w:tcPr>
                <w:p w14:paraId="01B64A8B">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对照《“十四五”节水型社会建设规划》项目不属于高耗水行业，根据本次项目节能报告及审查意见及对比同类先进企业情况，项目单位产品用水量均达到行业国内先进水平</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495673F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A64CC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6F46B0D6">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05FAF8BB">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2．土地资源总量要求：到2025年，江苏省耕地保有量不低于5977万亩，其中永久基本农田保护面积不低于5344万亩。</w:t>
                  </w:r>
                </w:p>
              </w:tc>
              <w:tc>
                <w:tcPr>
                  <w:tcW w:w="1515" w:type="pct"/>
                  <w:tcBorders>
                    <w:tl2br w:val="nil"/>
                    <w:tr2bl w:val="nil"/>
                  </w:tcBorders>
                  <w:shd w:val="clear" w:color="auto" w:fill="auto"/>
                  <w:vAlign w:val="center"/>
                </w:tcPr>
                <w:p w14:paraId="0824E27F">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本项目不涉及基本农田，项目位于涟水经济开发区西区，为规划工业用地。</w:t>
                  </w:r>
                </w:p>
              </w:tc>
              <w:tc>
                <w:tcPr>
                  <w:tcW w:w="308" w:type="pct"/>
                  <w:tcBorders>
                    <w:tl2br w:val="nil"/>
                    <w:tr2bl w:val="nil"/>
                  </w:tcBorders>
                  <w:shd w:val="clear" w:color="auto" w:fill="auto"/>
                  <w:vAlign w:val="center"/>
                </w:tcPr>
                <w:p w14:paraId="0A11DD55">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410AC4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3801C8E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3784548D">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3．禁燃区要求：在禁燃区内，禁止销售、燃用高污染燃料；禁止新建、扩建燃用高污染燃料的设施，已建成的，应当在城市人民政府规定的期限内改用天然气、页岩气、液化石油气、</w:t>
                  </w:r>
                  <w:r>
                    <w:rPr>
                      <w:rFonts w:hint="eastAsia"/>
                      <w:snapToGrid w:val="0"/>
                      <w:color w:val="auto"/>
                      <w:kern w:val="0"/>
                      <w:sz w:val="21"/>
                      <w:szCs w:val="18"/>
                      <w:lang w:eastAsia="zh-CN"/>
                    </w:rPr>
                    <w:t>电力</w:t>
                  </w:r>
                  <w:r>
                    <w:rPr>
                      <w:rFonts w:ascii="Times New Roman" w:hAnsi="Times New Roman" w:eastAsia="宋体"/>
                      <w:snapToGrid w:val="0"/>
                      <w:color w:val="auto"/>
                      <w:kern w:val="0"/>
                      <w:sz w:val="21"/>
                      <w:szCs w:val="18"/>
                    </w:rPr>
                    <w:t>或者其他清洁能源。</w:t>
                  </w:r>
                </w:p>
              </w:tc>
              <w:tc>
                <w:tcPr>
                  <w:tcW w:w="1515" w:type="pct"/>
                  <w:tcBorders>
                    <w:tl2br w:val="nil"/>
                    <w:tr2bl w:val="nil"/>
                  </w:tcBorders>
                  <w:shd w:val="clear" w:color="auto" w:fill="auto"/>
                  <w:vAlign w:val="center"/>
                </w:tcPr>
                <w:p w14:paraId="6AAC85E1">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本项目不使用燃料</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7798EEB6">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37409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5000" w:type="pct"/>
                  <w:gridSpan w:val="4"/>
                  <w:tcBorders>
                    <w:tl2br w:val="nil"/>
                    <w:tr2bl w:val="nil"/>
                  </w:tcBorders>
                  <w:shd w:val="clear" w:color="auto" w:fill="auto"/>
                  <w:vAlign w:val="center"/>
                </w:tcPr>
                <w:p w14:paraId="5520B95D">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三、淮河流域</w:t>
                  </w:r>
                </w:p>
              </w:tc>
            </w:tr>
            <w:tr w14:paraId="409B8E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75971F4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空间布局约束</w:t>
                  </w:r>
                </w:p>
              </w:tc>
              <w:tc>
                <w:tcPr>
                  <w:tcW w:w="2825" w:type="pct"/>
                  <w:tcBorders>
                    <w:tl2br w:val="nil"/>
                    <w:tr2bl w:val="nil"/>
                  </w:tcBorders>
                  <w:shd w:val="clear" w:color="auto" w:fill="auto"/>
                  <w:vAlign w:val="center"/>
                </w:tcPr>
                <w:p w14:paraId="4198BEDD">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1．禁止在淮河流域新建化学制浆造纸企业，禁止在淮河流域新建制革、化工、印染、电镀、酿造等污染严重的小型企业。</w:t>
                  </w:r>
                </w:p>
              </w:tc>
              <w:tc>
                <w:tcPr>
                  <w:tcW w:w="1515" w:type="pct"/>
                  <w:tcBorders>
                    <w:tl2br w:val="nil"/>
                    <w:tr2bl w:val="nil"/>
                  </w:tcBorders>
                  <w:shd w:val="clear" w:color="auto" w:fill="auto"/>
                  <w:vAlign w:val="center"/>
                </w:tcPr>
                <w:p w14:paraId="1BDF01B9">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项目不属于制革、化工、印染、电镀、酿造等污染严重的企业</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5551DD17">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369752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2AC03BF6">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2BC90889">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落实《江苏省通榆河水污染防治条例》，在通榆河一级保护区、二级保护区，禁止新建、改建、扩建制浆、造纸、化工、制革、酿造、染料、印染、电镀、炼油、铅酸蓄电池和排放水污染物的黑色金属冶炼及压延加工项目、有色金属冶炼及压延加工项目、金属制品项目等污染环境的项目。</w:t>
                  </w:r>
                </w:p>
              </w:tc>
              <w:tc>
                <w:tcPr>
                  <w:tcW w:w="1515" w:type="pct"/>
                  <w:vMerge w:val="restart"/>
                  <w:tcBorders>
                    <w:tl2br w:val="nil"/>
                    <w:tr2bl w:val="nil"/>
                  </w:tcBorders>
                  <w:shd w:val="clear" w:color="auto" w:fill="auto"/>
                  <w:vAlign w:val="center"/>
                </w:tcPr>
                <w:p w14:paraId="5A594423">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项目不涉及通榆河一级保护区、二级保护区</w:t>
                  </w:r>
                  <w:r>
                    <w:rPr>
                      <w:rFonts w:hint="eastAsia"/>
                      <w:snapToGrid w:val="0"/>
                      <w:color w:val="auto"/>
                      <w:kern w:val="0"/>
                      <w:sz w:val="21"/>
                      <w:szCs w:val="18"/>
                      <w:lang w:eastAsia="zh-CN"/>
                    </w:rPr>
                    <w:t>。</w:t>
                  </w:r>
                </w:p>
              </w:tc>
              <w:tc>
                <w:tcPr>
                  <w:tcW w:w="308" w:type="pct"/>
                  <w:vMerge w:val="restart"/>
                  <w:tcBorders>
                    <w:tl2br w:val="nil"/>
                    <w:tr2bl w:val="nil"/>
                  </w:tcBorders>
                  <w:shd w:val="clear" w:color="auto" w:fill="auto"/>
                  <w:vAlign w:val="center"/>
                </w:tcPr>
                <w:p w14:paraId="2D97E0C9">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33820B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663EACD8">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0D79C120">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3．在通榆河一级保护区，禁止新建、扩建直接或者间接向水体排放污染物的项目，禁止建设工业固体废物集中贮存、利用、处置设施或者场所以及城市生活垃圾填埋场，禁止新建规模化畜禽养殖场。</w:t>
                  </w:r>
                </w:p>
              </w:tc>
              <w:tc>
                <w:tcPr>
                  <w:tcW w:w="1515" w:type="pct"/>
                  <w:vMerge w:val="continue"/>
                  <w:tcBorders>
                    <w:tl2br w:val="nil"/>
                    <w:tr2bl w:val="nil"/>
                  </w:tcBorders>
                  <w:shd w:val="clear" w:color="auto" w:fill="auto"/>
                  <w:vAlign w:val="center"/>
                </w:tcPr>
                <w:p w14:paraId="12F29642">
                  <w:pPr>
                    <w:overflowPunct w:val="0"/>
                    <w:autoSpaceDE w:val="0"/>
                    <w:autoSpaceDN w:val="0"/>
                    <w:adjustRightInd w:val="0"/>
                    <w:snapToGrid w:val="0"/>
                    <w:rPr>
                      <w:rFonts w:ascii="Times New Roman" w:hAnsi="Times New Roman" w:eastAsia="宋体"/>
                      <w:snapToGrid w:val="0"/>
                      <w:color w:val="auto"/>
                      <w:kern w:val="0"/>
                      <w:sz w:val="21"/>
                      <w:szCs w:val="18"/>
                    </w:rPr>
                  </w:pPr>
                </w:p>
              </w:tc>
              <w:tc>
                <w:tcPr>
                  <w:tcW w:w="308" w:type="pct"/>
                  <w:vMerge w:val="continue"/>
                  <w:tcBorders>
                    <w:tl2br w:val="nil"/>
                    <w:tr2bl w:val="nil"/>
                  </w:tcBorders>
                  <w:shd w:val="clear" w:color="auto" w:fill="auto"/>
                  <w:vAlign w:val="center"/>
                </w:tcPr>
                <w:p w14:paraId="7F7B2D33">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24DD28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tcBorders>
                    <w:tl2br w:val="nil"/>
                    <w:tr2bl w:val="nil"/>
                  </w:tcBorders>
                  <w:shd w:val="clear" w:color="auto" w:fill="auto"/>
                  <w:vAlign w:val="center"/>
                </w:tcPr>
                <w:p w14:paraId="1F0C285F">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污染物排放管控</w:t>
                  </w:r>
                </w:p>
              </w:tc>
              <w:tc>
                <w:tcPr>
                  <w:tcW w:w="2825" w:type="pct"/>
                  <w:tcBorders>
                    <w:tl2br w:val="nil"/>
                    <w:tr2bl w:val="nil"/>
                  </w:tcBorders>
                  <w:shd w:val="clear" w:color="auto" w:fill="auto"/>
                  <w:vAlign w:val="center"/>
                </w:tcPr>
                <w:p w14:paraId="30757704">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按照《淮河流域水污染防治暂行条例》实施排污总量控制制度。</w:t>
                  </w:r>
                </w:p>
              </w:tc>
              <w:tc>
                <w:tcPr>
                  <w:tcW w:w="1515" w:type="pct"/>
                  <w:tcBorders>
                    <w:tl2br w:val="nil"/>
                    <w:tr2bl w:val="nil"/>
                  </w:tcBorders>
                  <w:shd w:val="clear" w:color="auto" w:fill="auto"/>
                  <w:vAlign w:val="center"/>
                </w:tcPr>
                <w:p w14:paraId="25639844">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本次项目污染物均可在涟水县范围内平衡</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78D52AF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2906DE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tcBorders>
                    <w:tl2br w:val="nil"/>
                    <w:tr2bl w:val="nil"/>
                  </w:tcBorders>
                  <w:shd w:val="clear" w:color="auto" w:fill="auto"/>
                  <w:vAlign w:val="center"/>
                </w:tcPr>
                <w:p w14:paraId="53771F87">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环境风险防控</w:t>
                  </w:r>
                </w:p>
              </w:tc>
              <w:tc>
                <w:tcPr>
                  <w:tcW w:w="2825" w:type="pct"/>
                  <w:tcBorders>
                    <w:tl2br w:val="nil"/>
                    <w:tr2bl w:val="nil"/>
                  </w:tcBorders>
                  <w:shd w:val="clear" w:color="auto" w:fill="auto"/>
                  <w:vAlign w:val="center"/>
                </w:tcPr>
                <w:p w14:paraId="1C015051">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禁止运输剧毒化学品以及国家规定禁止通过内河运输的其他危险化学品的船舶进入通榆河及主要供水河道。</w:t>
                  </w:r>
                </w:p>
              </w:tc>
              <w:tc>
                <w:tcPr>
                  <w:tcW w:w="1515" w:type="pct"/>
                  <w:tcBorders>
                    <w:tl2br w:val="nil"/>
                    <w:tr2bl w:val="nil"/>
                  </w:tcBorders>
                  <w:shd w:val="clear" w:color="auto" w:fill="auto"/>
                  <w:vAlign w:val="center"/>
                </w:tcPr>
                <w:p w14:paraId="7972F7D5">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本次项目物料采用公路运输，不涉及通榆河及主要供水河道的内河运输</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4A9AA05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7BF50F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tcBorders>
                    <w:tl2br w:val="nil"/>
                    <w:tr2bl w:val="nil"/>
                  </w:tcBorders>
                  <w:shd w:val="clear" w:color="auto" w:fill="auto"/>
                  <w:vAlign w:val="center"/>
                </w:tcPr>
                <w:p w14:paraId="079403F1">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资源利用效率要求</w:t>
                  </w:r>
                </w:p>
              </w:tc>
              <w:tc>
                <w:tcPr>
                  <w:tcW w:w="2825" w:type="pct"/>
                  <w:tcBorders>
                    <w:tl2br w:val="nil"/>
                    <w:tr2bl w:val="nil"/>
                  </w:tcBorders>
                  <w:shd w:val="clear" w:color="auto" w:fill="auto"/>
                  <w:vAlign w:val="center"/>
                </w:tcPr>
                <w:p w14:paraId="5467E3AE">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限制缺水地区发展耗水型产业，调整缺水地区的产业结构，严格控制高耗水、高耗能和重污染的建设项目。</w:t>
                  </w:r>
                </w:p>
              </w:tc>
              <w:tc>
                <w:tcPr>
                  <w:tcW w:w="1515" w:type="pct"/>
                  <w:tcBorders>
                    <w:tl2br w:val="nil"/>
                    <w:tr2bl w:val="nil"/>
                  </w:tcBorders>
                  <w:shd w:val="clear" w:color="auto" w:fill="auto"/>
                  <w:vAlign w:val="center"/>
                </w:tcPr>
                <w:p w14:paraId="30966DB8">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项目所在区域不属于缺水地区</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15FBE7B7">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bl>
          <w:p w14:paraId="3685F9A9">
            <w:pPr>
              <w:pStyle w:val="5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color w:val="auto"/>
                <w:sz w:val="24"/>
                <w:lang w:val="en-US" w:eastAsia="zh-CN"/>
              </w:rPr>
            </w:pPr>
            <w:r>
              <w:rPr>
                <w:rFonts w:hint="eastAsia" w:eastAsia="宋体"/>
                <w:color w:val="auto"/>
                <w:sz w:val="24"/>
                <w:lang w:val="en-US" w:eastAsia="zh-CN"/>
              </w:rPr>
              <w:t>根据上表可知，本项目与《江苏省2023年度生态环境分区管控动态更新成果》是相符的。</w:t>
            </w:r>
          </w:p>
          <w:p w14:paraId="46F666E0">
            <w:pPr>
              <w:pStyle w:val="5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宋体"/>
                <w:color w:val="auto"/>
                <w:sz w:val="24"/>
              </w:rPr>
            </w:pPr>
            <w:r>
              <w:rPr>
                <w:rFonts w:eastAsia="宋体"/>
                <w:color w:val="auto"/>
                <w:sz w:val="24"/>
              </w:rPr>
              <w:t>对照</w:t>
            </w:r>
            <w:r>
              <w:rPr>
                <w:rFonts w:hint="eastAsia" w:eastAsia="宋体"/>
                <w:color w:val="auto"/>
                <w:sz w:val="24"/>
              </w:rPr>
              <w:t>《淮安市生态环境分区管控动态更新成果》（2023版）更新的生态环境管控要求分析本次项目相符性，</w:t>
            </w:r>
            <w:r>
              <w:rPr>
                <w:rFonts w:eastAsia="宋体"/>
                <w:color w:val="auto"/>
                <w:sz w:val="24"/>
              </w:rPr>
              <w:t>相符性分析见</w:t>
            </w:r>
            <w:r>
              <w:rPr>
                <w:rFonts w:hint="eastAsia" w:eastAsia="宋体"/>
                <w:color w:val="auto"/>
                <w:sz w:val="24"/>
                <w:lang w:val="en-US" w:eastAsia="zh-CN"/>
              </w:rPr>
              <w:t>下表</w:t>
            </w:r>
            <w:r>
              <w:rPr>
                <w:rFonts w:eastAsia="宋体"/>
                <w:color w:val="auto"/>
                <w:sz w:val="24"/>
              </w:rPr>
              <w:t>。</w:t>
            </w:r>
          </w:p>
          <w:p w14:paraId="500C2440">
            <w:pPr>
              <w:pStyle w:val="52"/>
              <w:rPr>
                <w:rFonts w:hint="eastAsia" w:ascii="Times New Roman" w:hAnsi="Times New Roman" w:eastAsia="宋体" w:cs="Times New Roman"/>
                <w:b/>
                <w:bCs/>
                <w:color w:val="auto"/>
                <w:spacing w:val="0"/>
                <w:kern w:val="2"/>
                <w:sz w:val="21"/>
                <w:szCs w:val="21"/>
                <w:lang w:val="en-US" w:eastAsia="zh-CN" w:bidi="ar-SA"/>
              </w:rPr>
            </w:pPr>
          </w:p>
          <w:p w14:paraId="4F06D5E5">
            <w:pPr>
              <w:pStyle w:val="52"/>
              <w:rPr>
                <w:rFonts w:hint="eastAsia" w:ascii="Times New Roman" w:hAnsi="Times New Roman" w:eastAsia="宋体" w:cs="Times New Roman"/>
                <w:b/>
                <w:bCs/>
                <w:color w:val="auto"/>
                <w:spacing w:val="0"/>
                <w:kern w:val="2"/>
                <w:sz w:val="21"/>
                <w:szCs w:val="21"/>
                <w:lang w:val="en-US" w:eastAsia="zh-CN" w:bidi="ar-SA"/>
              </w:rPr>
            </w:pPr>
          </w:p>
          <w:p w14:paraId="775BBCB1">
            <w:pPr>
              <w:pStyle w:val="52"/>
              <w:rPr>
                <w:rFonts w:hint="eastAsia" w:ascii="Times New Roman" w:hAnsi="Times New Roman" w:eastAsia="宋体" w:cs="Times New Roman"/>
                <w:b/>
                <w:bCs/>
                <w:color w:val="auto"/>
                <w:spacing w:val="0"/>
                <w:kern w:val="2"/>
                <w:sz w:val="21"/>
                <w:szCs w:val="21"/>
                <w:lang w:val="en-US" w:eastAsia="zh-CN" w:bidi="ar-SA"/>
              </w:rPr>
            </w:pPr>
          </w:p>
          <w:p w14:paraId="27FAD1A9">
            <w:pPr>
              <w:pStyle w:val="52"/>
              <w:rPr>
                <w:rFonts w:hint="eastAsia" w:ascii="Times New Roman" w:hAnsi="Times New Roman" w:eastAsia="宋体" w:cs="Times New Roman"/>
                <w:b/>
                <w:bCs/>
                <w:color w:val="auto"/>
                <w:spacing w:val="0"/>
                <w:kern w:val="2"/>
                <w:sz w:val="21"/>
                <w:szCs w:val="21"/>
                <w:lang w:val="en-US" w:eastAsia="zh-CN" w:bidi="ar-SA"/>
              </w:rPr>
            </w:pPr>
          </w:p>
          <w:p w14:paraId="326378FE">
            <w:pPr>
              <w:pStyle w:val="52"/>
              <w:rPr>
                <w:rFonts w:hint="eastAsia" w:ascii="Times New Roman" w:hAnsi="Times New Roman" w:eastAsia="宋体" w:cs="Times New Roman"/>
                <w:b/>
                <w:bCs/>
                <w:color w:val="auto"/>
                <w:spacing w:val="0"/>
                <w:kern w:val="2"/>
                <w:sz w:val="21"/>
                <w:szCs w:val="21"/>
                <w:lang w:val="en-US" w:eastAsia="zh-CN" w:bidi="ar-SA"/>
              </w:rPr>
            </w:pPr>
          </w:p>
          <w:p w14:paraId="4A7401EB">
            <w:pPr>
              <w:pStyle w:val="52"/>
              <w:rPr>
                <w:rFonts w:hint="eastAsia" w:ascii="Times New Roman" w:hAnsi="Times New Roman" w:eastAsia="宋体" w:cs="Times New Roman"/>
                <w:b/>
                <w:bCs/>
                <w:color w:val="auto"/>
                <w:spacing w:val="0"/>
                <w:kern w:val="2"/>
                <w:sz w:val="21"/>
                <w:szCs w:val="21"/>
                <w:lang w:val="en-US" w:eastAsia="zh-CN" w:bidi="ar-SA"/>
              </w:rPr>
            </w:pPr>
          </w:p>
          <w:p w14:paraId="75D56C40">
            <w:pPr>
              <w:pStyle w:val="52"/>
              <w:rPr>
                <w:rFonts w:hint="eastAsia"/>
                <w:color w:val="auto"/>
                <w:spacing w:val="0"/>
              </w:rPr>
            </w:pPr>
            <w:r>
              <w:rPr>
                <w:rFonts w:hint="eastAsia" w:ascii="Times New Roman" w:hAnsi="Times New Roman" w:eastAsia="宋体" w:cs="Times New Roman"/>
                <w:b/>
                <w:bCs/>
                <w:color w:val="auto"/>
                <w:spacing w:val="0"/>
                <w:kern w:val="2"/>
                <w:sz w:val="21"/>
                <w:szCs w:val="21"/>
                <w:lang w:val="en-US" w:eastAsia="zh-CN" w:bidi="ar-SA"/>
              </w:rPr>
              <w:t>表1</w:t>
            </w:r>
            <w:r>
              <w:rPr>
                <w:rFonts w:hint="default" w:ascii="Times New Roman" w:hAnsi="Times New Roman" w:eastAsia="宋体" w:cs="Times New Roman"/>
                <w:b/>
                <w:bCs/>
                <w:color w:val="auto"/>
                <w:spacing w:val="0"/>
                <w:kern w:val="2"/>
                <w:sz w:val="21"/>
                <w:szCs w:val="21"/>
                <w:lang w:val="en-US" w:eastAsia="zh-CN" w:bidi="ar-SA"/>
              </w:rPr>
              <w:t>-</w:t>
            </w:r>
            <w:r>
              <w:rPr>
                <w:rFonts w:hint="eastAsia" w:hAnsi="Times New Roman" w:eastAsia="宋体" w:cs="Times New Roman"/>
                <w:b/>
                <w:bCs/>
                <w:color w:val="auto"/>
                <w:spacing w:val="0"/>
                <w:kern w:val="2"/>
                <w:sz w:val="21"/>
                <w:szCs w:val="21"/>
                <w:lang w:val="en-US" w:eastAsia="zh-CN" w:bidi="ar-SA"/>
              </w:rPr>
              <w:t>7</w:t>
            </w:r>
            <w:r>
              <w:rPr>
                <w:rFonts w:hint="eastAsia" w:ascii="Times New Roman" w:hAnsi="Times New Roman" w:eastAsia="宋体" w:cs="Times New Roman"/>
                <w:b/>
                <w:bCs/>
                <w:color w:val="auto"/>
                <w:spacing w:val="0"/>
                <w:kern w:val="2"/>
                <w:sz w:val="21"/>
                <w:szCs w:val="21"/>
                <w:lang w:val="en-US" w:eastAsia="zh-CN" w:bidi="ar-SA"/>
              </w:rPr>
              <w:t xml:space="preserve">  </w:t>
            </w:r>
            <w:r>
              <w:rPr>
                <w:rFonts w:hint="eastAsia" w:hAnsi="Times New Roman" w:eastAsia="宋体" w:cs="Times New Roman"/>
                <w:b/>
                <w:bCs/>
                <w:color w:val="auto"/>
                <w:spacing w:val="0"/>
                <w:kern w:val="2"/>
                <w:sz w:val="21"/>
                <w:szCs w:val="21"/>
                <w:lang w:val="en-US" w:eastAsia="zh-CN" w:bidi="ar-SA"/>
              </w:rPr>
              <w:t>项目</w:t>
            </w:r>
            <w:r>
              <w:rPr>
                <w:rFonts w:hint="default" w:ascii="Times New Roman" w:hAnsi="Times New Roman" w:eastAsia="宋体" w:cs="Times New Roman"/>
                <w:b/>
                <w:bCs/>
                <w:color w:val="auto"/>
                <w:spacing w:val="0"/>
                <w:kern w:val="2"/>
                <w:sz w:val="21"/>
                <w:szCs w:val="21"/>
                <w:lang w:val="en-US" w:eastAsia="zh-CN" w:bidi="ar-SA"/>
              </w:rPr>
              <w:t>与</w:t>
            </w:r>
            <w:r>
              <w:rPr>
                <w:rFonts w:hint="eastAsia" w:ascii="Times New Roman" w:hAnsi="Times New Roman" w:eastAsia="宋体" w:cs="Times New Roman"/>
                <w:b/>
                <w:bCs/>
                <w:color w:val="auto"/>
                <w:spacing w:val="0"/>
                <w:kern w:val="2"/>
                <w:sz w:val="21"/>
                <w:szCs w:val="21"/>
                <w:lang w:val="en-US" w:eastAsia="zh-CN" w:bidi="ar-SA"/>
              </w:rPr>
              <w:t>《淮安市生态环境分区管控动态更新成果》（2023版）</w:t>
            </w:r>
            <w:r>
              <w:rPr>
                <w:rFonts w:hint="default" w:ascii="Times New Roman" w:hAnsi="Times New Roman" w:eastAsia="宋体" w:cs="Times New Roman"/>
                <w:b/>
                <w:bCs/>
                <w:color w:val="auto"/>
                <w:spacing w:val="0"/>
                <w:kern w:val="2"/>
                <w:sz w:val="21"/>
                <w:szCs w:val="21"/>
                <w:lang w:val="en-US" w:eastAsia="zh-CN" w:bidi="ar-SA"/>
              </w:rPr>
              <w:t>相符性分析</w:t>
            </w:r>
          </w:p>
          <w:tbl>
            <w:tblPr>
              <w:tblStyle w:val="22"/>
              <w:tblpPr w:bottomFromText="170" w:vertAnchor="text" w:tblpXSpec="center" w:tblpY="1"/>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1" w:type="dxa"/>
                <w:bottom w:w="11" w:type="dxa"/>
                <w:right w:w="11" w:type="dxa"/>
              </w:tblCellMar>
            </w:tblPr>
            <w:tblGrid>
              <w:gridCol w:w="599"/>
              <w:gridCol w:w="4784"/>
              <w:gridCol w:w="1643"/>
              <w:gridCol w:w="672"/>
            </w:tblGrid>
            <w:tr w14:paraId="47568B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tcBorders>
                    <w:tl2br w:val="nil"/>
                    <w:tr2bl w:val="nil"/>
                  </w:tcBorders>
                  <w:shd w:val="clear" w:color="auto" w:fill="auto"/>
                  <w:vAlign w:val="center"/>
                </w:tcPr>
                <w:p w14:paraId="17A6BB07">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管控</w:t>
                  </w:r>
                </w:p>
                <w:p w14:paraId="7261C50B">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类别</w:t>
                  </w:r>
                </w:p>
              </w:tc>
              <w:tc>
                <w:tcPr>
                  <w:tcW w:w="3107" w:type="pct"/>
                  <w:tcBorders>
                    <w:tl2br w:val="nil"/>
                    <w:tr2bl w:val="nil"/>
                  </w:tcBorders>
                  <w:shd w:val="clear" w:color="auto" w:fill="auto"/>
                  <w:vAlign w:val="center"/>
                </w:tcPr>
                <w:p w14:paraId="2BD13E78">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管控要求（2023年版）</w:t>
                  </w:r>
                </w:p>
              </w:tc>
              <w:tc>
                <w:tcPr>
                  <w:tcW w:w="1067" w:type="pct"/>
                  <w:tcBorders>
                    <w:tl2br w:val="nil"/>
                    <w:tr2bl w:val="nil"/>
                  </w:tcBorders>
                  <w:shd w:val="clear" w:color="auto" w:fill="auto"/>
                  <w:vAlign w:val="center"/>
                </w:tcPr>
                <w:p w14:paraId="155644A8">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项目情况</w:t>
                  </w:r>
                </w:p>
              </w:tc>
              <w:tc>
                <w:tcPr>
                  <w:tcW w:w="437" w:type="pct"/>
                  <w:tcBorders>
                    <w:tl2br w:val="nil"/>
                    <w:tr2bl w:val="nil"/>
                  </w:tcBorders>
                  <w:shd w:val="clear" w:color="auto" w:fill="auto"/>
                  <w:vAlign w:val="center"/>
                </w:tcPr>
                <w:p w14:paraId="2994AA50">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符合性</w:t>
                  </w:r>
                </w:p>
              </w:tc>
            </w:tr>
            <w:tr w14:paraId="1C2555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restart"/>
                  <w:tcBorders>
                    <w:tl2br w:val="nil"/>
                    <w:tr2bl w:val="nil"/>
                  </w:tcBorders>
                  <w:shd w:val="clear" w:color="auto" w:fill="auto"/>
                  <w:vAlign w:val="center"/>
                </w:tcPr>
                <w:p w14:paraId="5E297F2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空间布局约束</w:t>
                  </w:r>
                </w:p>
              </w:tc>
              <w:tc>
                <w:tcPr>
                  <w:tcW w:w="3107" w:type="pct"/>
                  <w:tcBorders>
                    <w:tl2br w:val="nil"/>
                    <w:tr2bl w:val="nil"/>
                  </w:tcBorders>
                  <w:shd w:val="clear" w:color="auto" w:fill="auto"/>
                  <w:vAlign w:val="center"/>
                </w:tcPr>
                <w:p w14:paraId="78FEDD24">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严格执行《中共江苏省委江苏省人民政府关于深入打好污染防治攻坚战的实施意见》（2022年1月24日）、《淮安市深入打好净土保卫战实施方案》（淮污防攻坚指办〔2023〕17号）、《淮安市生态碧水三年行动方案》（淮政发〔2022〕12号）等文件要求。</w:t>
                  </w:r>
                </w:p>
              </w:tc>
              <w:tc>
                <w:tcPr>
                  <w:tcW w:w="1067" w:type="pct"/>
                  <w:vMerge w:val="restart"/>
                  <w:tcBorders>
                    <w:tl2br w:val="nil"/>
                    <w:tr2bl w:val="nil"/>
                  </w:tcBorders>
                  <w:shd w:val="clear" w:color="auto" w:fill="auto"/>
                  <w:vAlign w:val="center"/>
                </w:tcPr>
                <w:p w14:paraId="6476AB35">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本项目位于</w:t>
                  </w:r>
                  <w:r>
                    <w:rPr>
                      <w:rFonts w:hint="eastAsia" w:ascii="Times New Roman" w:hAnsi="Times New Roman" w:eastAsia="宋体"/>
                      <w:snapToGrid w:val="0"/>
                      <w:color w:val="auto"/>
                      <w:kern w:val="0"/>
                      <w:sz w:val="21"/>
                      <w:szCs w:val="18"/>
                    </w:rPr>
                    <w:t>江苏省淮安市涟水县经济开发区</w:t>
                  </w:r>
                  <w:r>
                    <w:rPr>
                      <w:rFonts w:ascii="Times New Roman" w:hAnsi="Times New Roman" w:eastAsia="宋体"/>
                      <w:snapToGrid w:val="0"/>
                      <w:color w:val="auto"/>
                      <w:kern w:val="0"/>
                      <w:sz w:val="21"/>
                      <w:szCs w:val="18"/>
                    </w:rPr>
                    <w:t>工业用地范围内，不占用耕地及永久农田、不属于大运河淮安段核心监控区，符合淮污防攻坚指办〔2023〕17号、淮政发〔2022〕12号《淮安市国土空间总体规划（2021</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2035年）》、苏长江办发〔2022〕55号文件要求</w:t>
                  </w:r>
                  <w:r>
                    <w:rPr>
                      <w:rFonts w:hint="eastAsia"/>
                      <w:snapToGrid w:val="0"/>
                      <w:color w:val="auto"/>
                      <w:kern w:val="0"/>
                      <w:sz w:val="21"/>
                      <w:szCs w:val="18"/>
                      <w:lang w:eastAsia="zh-CN"/>
                    </w:rPr>
                    <w:t>。</w:t>
                  </w:r>
                </w:p>
              </w:tc>
              <w:tc>
                <w:tcPr>
                  <w:tcW w:w="437" w:type="pct"/>
                  <w:vMerge w:val="restart"/>
                  <w:tcBorders>
                    <w:tl2br w:val="nil"/>
                    <w:tr2bl w:val="nil"/>
                  </w:tcBorders>
                  <w:shd w:val="clear" w:color="auto" w:fill="auto"/>
                  <w:vAlign w:val="center"/>
                </w:tcPr>
                <w:p w14:paraId="3792F74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541B7F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5F52DE79">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092DB1C2">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2.严格执行《</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长江经济带发展负面清单指南（试行，2022年版）</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江苏省实施细则》（苏长江办发〔2022〕55号）中相关要求。</w:t>
                  </w:r>
                </w:p>
              </w:tc>
              <w:tc>
                <w:tcPr>
                  <w:tcW w:w="1067" w:type="pct"/>
                  <w:vMerge w:val="continue"/>
                  <w:tcBorders>
                    <w:tl2br w:val="nil"/>
                    <w:tr2bl w:val="nil"/>
                  </w:tcBorders>
                  <w:shd w:val="clear" w:color="auto" w:fill="auto"/>
                  <w:vAlign w:val="center"/>
                </w:tcPr>
                <w:p w14:paraId="3909253C">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437" w:type="pct"/>
                  <w:vMerge w:val="continue"/>
                  <w:tcBorders>
                    <w:tl2br w:val="nil"/>
                    <w:tr2bl w:val="nil"/>
                  </w:tcBorders>
                  <w:shd w:val="clear" w:color="auto" w:fill="auto"/>
                  <w:vAlign w:val="center"/>
                </w:tcPr>
                <w:p w14:paraId="2EE64CC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6D78D8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3E01ABD7">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612A39EF">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3.严格执行《淮安市国土空间总体规划（2021</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2035年）》中相关要求，坚持最严格的耕地保护制度、生态保护制度和节约用地制度，严格保护耕地资源，落实耕地和永久基本农田保护红线。严格保护湿地资源，强化湿地建设与管理，加快保护区建设与管理；加强其他土地开发的生态影响评价，严禁在生态脆弱和环境敏感地区进行土地开发。</w:t>
                  </w:r>
                </w:p>
              </w:tc>
              <w:tc>
                <w:tcPr>
                  <w:tcW w:w="1067" w:type="pct"/>
                  <w:vMerge w:val="continue"/>
                  <w:tcBorders>
                    <w:tl2br w:val="nil"/>
                    <w:tr2bl w:val="nil"/>
                  </w:tcBorders>
                  <w:shd w:val="clear" w:color="auto" w:fill="auto"/>
                  <w:vAlign w:val="center"/>
                </w:tcPr>
                <w:p w14:paraId="2BFD7611">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437" w:type="pct"/>
                  <w:vMerge w:val="continue"/>
                  <w:tcBorders>
                    <w:tl2br w:val="nil"/>
                    <w:tr2bl w:val="nil"/>
                  </w:tcBorders>
                  <w:shd w:val="clear" w:color="auto" w:fill="auto"/>
                  <w:vAlign w:val="center"/>
                </w:tcPr>
                <w:p w14:paraId="35A747C3">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63DF84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501C968C">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73C859E4">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4.根据《大运河淮安段核心监控区国土空间管控细则》（淮政规〔2022〕8号）核心监控区内，实行国土空间准入正负面清单管理制度，控制开发规模和强度，禁止不符合主体功能定位的各类开发活动。</w:t>
                  </w:r>
                </w:p>
              </w:tc>
              <w:tc>
                <w:tcPr>
                  <w:tcW w:w="1067" w:type="pct"/>
                  <w:vMerge w:val="continue"/>
                  <w:tcBorders>
                    <w:tl2br w:val="nil"/>
                    <w:tr2bl w:val="nil"/>
                  </w:tcBorders>
                  <w:shd w:val="clear" w:color="auto" w:fill="auto"/>
                  <w:vAlign w:val="center"/>
                </w:tcPr>
                <w:p w14:paraId="682D6248">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437" w:type="pct"/>
                  <w:vMerge w:val="continue"/>
                  <w:tcBorders>
                    <w:tl2br w:val="nil"/>
                    <w:tr2bl w:val="nil"/>
                  </w:tcBorders>
                  <w:shd w:val="clear" w:color="auto" w:fill="auto"/>
                  <w:vAlign w:val="center"/>
                </w:tcPr>
                <w:p w14:paraId="3020581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4B088A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tcBorders>
                    <w:tl2br w:val="nil"/>
                    <w:tr2bl w:val="nil"/>
                  </w:tcBorders>
                  <w:shd w:val="clear" w:color="auto" w:fill="auto"/>
                  <w:vAlign w:val="center"/>
                </w:tcPr>
                <w:p w14:paraId="10E36F0B">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污染物排放管控</w:t>
                  </w:r>
                </w:p>
              </w:tc>
              <w:tc>
                <w:tcPr>
                  <w:tcW w:w="3107" w:type="pct"/>
                  <w:tcBorders>
                    <w:tl2br w:val="nil"/>
                    <w:tr2bl w:val="nil"/>
                  </w:tcBorders>
                  <w:shd w:val="clear" w:color="auto" w:fill="auto"/>
                  <w:vAlign w:val="center"/>
                </w:tcPr>
                <w:p w14:paraId="0027B026">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根据《江苏省“十四五”节能减排综合实施方案》，到2025年，氮氧化物、挥发性有机物、化学需氧量、氨氮、总氮、总磷等主要污染物重点工程减排量分别达到5425吨、4333吨、10059吨、584吨、1225吨、134吨。</w:t>
                  </w:r>
                </w:p>
              </w:tc>
              <w:tc>
                <w:tcPr>
                  <w:tcW w:w="1067" w:type="pct"/>
                  <w:tcBorders>
                    <w:tl2br w:val="nil"/>
                    <w:tr2bl w:val="nil"/>
                  </w:tcBorders>
                  <w:shd w:val="clear" w:color="auto" w:fill="auto"/>
                  <w:vAlign w:val="center"/>
                </w:tcPr>
                <w:p w14:paraId="0D9D494C">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项目污染物总量可在涟水县范围内平衡</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66119185">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039E23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restart"/>
                  <w:tcBorders>
                    <w:tl2br w:val="nil"/>
                    <w:tr2bl w:val="nil"/>
                  </w:tcBorders>
                  <w:shd w:val="clear" w:color="auto" w:fill="auto"/>
                  <w:vAlign w:val="center"/>
                </w:tcPr>
                <w:p w14:paraId="21AD34C9">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环境风险防控</w:t>
                  </w:r>
                </w:p>
              </w:tc>
              <w:tc>
                <w:tcPr>
                  <w:tcW w:w="3107" w:type="pct"/>
                  <w:tcBorders>
                    <w:tl2br w:val="nil"/>
                    <w:tr2bl w:val="nil"/>
                  </w:tcBorders>
                  <w:shd w:val="clear" w:color="auto" w:fill="auto"/>
                  <w:vAlign w:val="center"/>
                </w:tcPr>
                <w:p w14:paraId="0CCED3F2">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严格执行《淮安市突发环境事件应急预案》（淮政复〔2020〕67号）、《淮安市集中式饮用水源突发污染事件应急预案》（淮污防攻坚指办〔2020〕58号）、《淮安市辐射事故应急预案》《淮安市重污染天气应急预案》（淮政复〔2021〕24号）等文件要求，建立区域监测预警系统，建立省市县上下联动、区域之间左右联动等联动应急响应体系，实行联防联控。</w:t>
                  </w:r>
                </w:p>
              </w:tc>
              <w:tc>
                <w:tcPr>
                  <w:tcW w:w="1067" w:type="pct"/>
                  <w:vMerge w:val="restart"/>
                  <w:tcBorders>
                    <w:tl2br w:val="nil"/>
                    <w:tr2bl w:val="nil"/>
                  </w:tcBorders>
                  <w:shd w:val="clear" w:color="auto" w:fill="auto"/>
                  <w:vAlign w:val="center"/>
                </w:tcPr>
                <w:p w14:paraId="75A5A4FB">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项目建成后，配套设置预警监测系统，与园区、县区建立联动应急</w:t>
                  </w:r>
                  <w:r>
                    <w:rPr>
                      <w:rFonts w:hint="eastAsia"/>
                      <w:snapToGrid w:val="0"/>
                      <w:color w:val="auto"/>
                      <w:kern w:val="0"/>
                      <w:sz w:val="21"/>
                      <w:szCs w:val="18"/>
                      <w:lang w:eastAsia="zh-CN"/>
                    </w:rPr>
                    <w:t>响</w:t>
                  </w:r>
                  <w:r>
                    <w:rPr>
                      <w:rFonts w:ascii="Times New Roman" w:hAnsi="Times New Roman" w:eastAsia="宋体"/>
                      <w:snapToGrid w:val="0"/>
                      <w:color w:val="auto"/>
                      <w:kern w:val="0"/>
                      <w:sz w:val="21"/>
                      <w:szCs w:val="18"/>
                    </w:rPr>
                    <w:t>应体系</w:t>
                  </w:r>
                  <w:r>
                    <w:rPr>
                      <w:rFonts w:hint="eastAsia"/>
                      <w:snapToGrid w:val="0"/>
                      <w:color w:val="auto"/>
                      <w:kern w:val="0"/>
                      <w:sz w:val="21"/>
                      <w:szCs w:val="18"/>
                      <w:lang w:eastAsia="zh-CN"/>
                    </w:rPr>
                    <w:t>。</w:t>
                  </w:r>
                </w:p>
              </w:tc>
              <w:tc>
                <w:tcPr>
                  <w:tcW w:w="437" w:type="pct"/>
                  <w:vMerge w:val="restart"/>
                  <w:tcBorders>
                    <w:tl2br w:val="nil"/>
                    <w:tr2bl w:val="nil"/>
                  </w:tcBorders>
                  <w:shd w:val="clear" w:color="auto" w:fill="auto"/>
                  <w:vAlign w:val="center"/>
                </w:tcPr>
                <w:p w14:paraId="6EB7289E">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3737D6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64D4C536">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519E9676">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根据《中共江苏省委江苏省人民政府关于深入打好污染防治攻坚战的实施意见》（2022年1月24日），完善省、市、县三级环境应急管理体系，健全跨区域、跨部门突发生态环境事件联防联控机制，建成重点敏感保护目标突发水污染事件应急防范体系。开展涉危险废物涉重金属企业、园区等重点领域环境风险调查评估，完成重点河流突发水污染事件“一河一策一图”全覆盖，常态化</w:t>
                  </w:r>
                  <w:r>
                    <w:rPr>
                      <w:rFonts w:hint="eastAsia"/>
                      <w:snapToGrid w:val="0"/>
                      <w:color w:val="auto"/>
                      <w:kern w:val="0"/>
                      <w:sz w:val="21"/>
                      <w:szCs w:val="18"/>
                      <w:lang w:eastAsia="zh-CN"/>
                    </w:rPr>
                    <w:t>应</w:t>
                  </w:r>
                  <w:r>
                    <w:rPr>
                      <w:rFonts w:ascii="Times New Roman" w:hAnsi="Times New Roman" w:eastAsia="宋体"/>
                      <w:snapToGrid w:val="0"/>
                      <w:color w:val="auto"/>
                      <w:kern w:val="0"/>
                      <w:sz w:val="21"/>
                      <w:szCs w:val="18"/>
                    </w:rPr>
                    <w:t>急指挥体系，建成区域环境应急基地和应急物资储备库。</w:t>
                  </w:r>
                </w:p>
              </w:tc>
              <w:tc>
                <w:tcPr>
                  <w:tcW w:w="1067" w:type="pct"/>
                  <w:vMerge w:val="continue"/>
                  <w:tcBorders>
                    <w:tl2br w:val="nil"/>
                    <w:tr2bl w:val="nil"/>
                  </w:tcBorders>
                  <w:shd w:val="clear" w:color="auto" w:fill="auto"/>
                  <w:vAlign w:val="center"/>
                </w:tcPr>
                <w:p w14:paraId="4BFF11A5">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p>
              </w:tc>
              <w:tc>
                <w:tcPr>
                  <w:tcW w:w="437" w:type="pct"/>
                  <w:vMerge w:val="continue"/>
                  <w:tcBorders>
                    <w:tl2br w:val="nil"/>
                    <w:tr2bl w:val="nil"/>
                  </w:tcBorders>
                  <w:shd w:val="clear" w:color="auto" w:fill="auto"/>
                  <w:vAlign w:val="center"/>
                </w:tcPr>
                <w:p w14:paraId="1354CC8C">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5DA49D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restart"/>
                  <w:tcBorders>
                    <w:tl2br w:val="nil"/>
                    <w:tr2bl w:val="nil"/>
                  </w:tcBorders>
                  <w:shd w:val="clear" w:color="auto" w:fill="auto"/>
                  <w:vAlign w:val="center"/>
                </w:tcPr>
                <w:p w14:paraId="741A82B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资源利用效率要求</w:t>
                  </w:r>
                </w:p>
              </w:tc>
              <w:tc>
                <w:tcPr>
                  <w:tcW w:w="3107" w:type="pct"/>
                  <w:tcBorders>
                    <w:tl2br w:val="nil"/>
                    <w:tr2bl w:val="nil"/>
                  </w:tcBorders>
                  <w:shd w:val="clear" w:color="auto" w:fill="auto"/>
                  <w:vAlign w:val="center"/>
                </w:tcPr>
                <w:p w14:paraId="38166F57">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1.水资源利用总量及效率要求：根据《江苏省水利厅 江苏省发改委关于印发十四五</w:t>
                  </w:r>
                  <w:bookmarkStart w:id="8" w:name="_GoBack"/>
                  <w:r>
                    <w:rPr>
                      <w:rFonts w:ascii="Times New Roman" w:hAnsi="Times New Roman" w:eastAsia="宋体"/>
                      <w:snapToGrid w:val="0"/>
                      <w:color w:val="auto"/>
                      <w:kern w:val="0"/>
                      <w:sz w:val="21"/>
                      <w:szCs w:val="18"/>
                    </w:rPr>
                    <w:t>”</w:t>
                  </w:r>
                  <w:bookmarkEnd w:id="8"/>
                  <w:r>
                    <w:rPr>
                      <w:rFonts w:ascii="Times New Roman" w:hAnsi="Times New Roman" w:eastAsia="宋体"/>
                      <w:snapToGrid w:val="0"/>
                      <w:color w:val="auto"/>
                      <w:kern w:val="0"/>
                      <w:sz w:val="21"/>
                      <w:szCs w:val="18"/>
                    </w:rPr>
                    <w:t>用水总量和强度控制目标的通知》（苏水节〔2022〕6号）、《市水利局市发展和改革委员会关于下达“十四五”用水总量和强度控制目标的通知》（淮水资〔2022〕4号），到2025年，淮安市用水总量不得超过33亿立方米，万元地区生产总值用水量比2020年下降20%，万元工业增加值用水量比2020年下降19%，灌溉水有效利用系数达到0.617以上。</w:t>
                  </w:r>
                </w:p>
              </w:tc>
              <w:tc>
                <w:tcPr>
                  <w:tcW w:w="1067" w:type="pct"/>
                  <w:tcBorders>
                    <w:tl2br w:val="nil"/>
                    <w:tr2bl w:val="nil"/>
                  </w:tcBorders>
                  <w:shd w:val="clear" w:color="auto" w:fill="auto"/>
                  <w:vAlign w:val="center"/>
                </w:tcPr>
                <w:p w14:paraId="4FBA3EFC">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企业优化工艺、设备等，类比</w:t>
                  </w:r>
                  <w:r>
                    <w:rPr>
                      <w:rFonts w:hint="eastAsia"/>
                      <w:snapToGrid w:val="0"/>
                      <w:color w:val="auto"/>
                      <w:kern w:val="0"/>
                      <w:sz w:val="21"/>
                      <w:szCs w:val="18"/>
                      <w:lang w:eastAsia="zh-CN"/>
                    </w:rPr>
                    <w:t>同</w:t>
                  </w:r>
                  <w:r>
                    <w:rPr>
                      <w:rFonts w:ascii="Times New Roman" w:hAnsi="Times New Roman" w:eastAsia="宋体"/>
                      <w:snapToGrid w:val="0"/>
                      <w:color w:val="auto"/>
                      <w:kern w:val="0"/>
                      <w:sz w:val="21"/>
                      <w:szCs w:val="18"/>
                    </w:rPr>
                    <w:t>类项目单位产品用水量达到国内先进水平</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370F365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42FED3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0F4B12F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4E2287D5">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2.土地资源利用总量及效率要求：根据《淮安市国土空间总体规划（2021</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2035年）》，淮安市耕地保有量不少于697.3500万亩，永久基本农田保护面积不低于596.0050万亩，控制全市城镇开发边界扩展倍数不高于1.3599。</w:t>
                  </w:r>
                </w:p>
              </w:tc>
              <w:tc>
                <w:tcPr>
                  <w:tcW w:w="1067" w:type="pct"/>
                  <w:tcBorders>
                    <w:tl2br w:val="nil"/>
                    <w:tr2bl w:val="nil"/>
                  </w:tcBorders>
                  <w:shd w:val="clear" w:color="auto" w:fill="auto"/>
                  <w:vAlign w:val="center"/>
                </w:tcPr>
                <w:p w14:paraId="1DC1DFE1">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本次项目位于</w:t>
                  </w:r>
                  <w:r>
                    <w:rPr>
                      <w:rFonts w:hint="eastAsia" w:ascii="Times New Roman" w:hAnsi="Times New Roman" w:eastAsia="宋体"/>
                      <w:snapToGrid w:val="0"/>
                      <w:color w:val="auto"/>
                      <w:kern w:val="0"/>
                      <w:sz w:val="21"/>
                      <w:szCs w:val="18"/>
                    </w:rPr>
                    <w:t>涟水县经济开发区</w:t>
                  </w:r>
                  <w:r>
                    <w:rPr>
                      <w:rFonts w:ascii="Times New Roman" w:hAnsi="Times New Roman" w:eastAsia="宋体"/>
                      <w:snapToGrid w:val="0"/>
                      <w:color w:val="auto"/>
                      <w:kern w:val="0"/>
                      <w:sz w:val="21"/>
                      <w:szCs w:val="18"/>
                    </w:rPr>
                    <w:t>工业用地范围内，不占用耕地及农田</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31B68AF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75E3B6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4517871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32A5A88A">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能源利用总量及效率要求：根据《中共江苏省委江苏省人民政府关于深入打好污染防治攻坚战的实施意见》（2022年1月24日），到2025年，煤炭消费总量下降5%左右，煤炭占能源消费总量的比重下降至50%左右，非化石能源消费比重达到18%左右。</w:t>
                  </w:r>
                </w:p>
              </w:tc>
              <w:tc>
                <w:tcPr>
                  <w:tcW w:w="1067" w:type="pct"/>
                  <w:tcBorders>
                    <w:tl2br w:val="nil"/>
                    <w:tr2bl w:val="nil"/>
                  </w:tcBorders>
                  <w:shd w:val="clear" w:color="auto" w:fill="auto"/>
                  <w:vAlign w:val="center"/>
                </w:tcPr>
                <w:p w14:paraId="183F784C">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项目不涉及煤炭消费</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55F6BDFF">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2ABB60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3BED9364">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243C2F62">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4.禁燃区要求：根据《江苏省大气污染防治条例》，禁燃区禁止新建、扩建燃用高污染燃料的项目和设施，已建成的应逐步或依法限期改用天然气、</w:t>
                  </w:r>
                  <w:r>
                    <w:rPr>
                      <w:rFonts w:hint="eastAsia"/>
                      <w:snapToGrid w:val="0"/>
                      <w:color w:val="auto"/>
                      <w:kern w:val="0"/>
                      <w:sz w:val="21"/>
                      <w:szCs w:val="18"/>
                      <w:lang w:eastAsia="zh-CN"/>
                    </w:rPr>
                    <w:t>电力</w:t>
                  </w:r>
                  <w:r>
                    <w:rPr>
                      <w:rFonts w:ascii="Times New Roman" w:hAnsi="Times New Roman" w:eastAsia="宋体"/>
                      <w:snapToGrid w:val="0"/>
                      <w:color w:val="auto"/>
                      <w:kern w:val="0"/>
                      <w:sz w:val="21"/>
                      <w:szCs w:val="18"/>
                    </w:rPr>
                    <w:t>或者其他清洁能源。</w:t>
                  </w:r>
                </w:p>
              </w:tc>
              <w:tc>
                <w:tcPr>
                  <w:tcW w:w="1067" w:type="pct"/>
                  <w:tcBorders>
                    <w:tl2br w:val="nil"/>
                    <w:tr2bl w:val="nil"/>
                  </w:tcBorders>
                  <w:shd w:val="clear" w:color="auto" w:fill="auto"/>
                  <w:vAlign w:val="center"/>
                </w:tcPr>
                <w:p w14:paraId="33F28417">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项目不使用燃料</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79C236C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bl>
          <w:p w14:paraId="5C30DEED">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根据上表可知，项目与《淮安市生态环境分区管控动态更新成果》（2023版）是相符的。</w:t>
            </w:r>
          </w:p>
          <w:p w14:paraId="7784AA44">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default" w:ascii="Times New Roman" w:hAnsi="Times New Roman" w:cs="Times New Roman"/>
                <w:color w:val="auto"/>
              </w:rPr>
            </w:pPr>
            <w:r>
              <w:rPr>
                <w:rFonts w:hint="eastAsia" w:cs="Times New Roman"/>
                <w:color w:val="auto"/>
                <w:lang w:val="en-US" w:eastAsia="zh-CN"/>
              </w:rPr>
              <w:t>综上所述</w:t>
            </w:r>
            <w:r>
              <w:rPr>
                <w:rFonts w:hint="default" w:ascii="Times New Roman" w:hAnsi="Times New Roman" w:cs="Times New Roman"/>
                <w:color w:val="auto"/>
              </w:rPr>
              <w:t>，本项目的建设符合生态保护红线的要求。本项目与</w:t>
            </w:r>
            <w:r>
              <w:rPr>
                <w:rFonts w:hint="default" w:ascii="Times New Roman" w:hAnsi="Times New Roman" w:cs="Times New Roman"/>
                <w:color w:val="auto"/>
                <w:lang w:val="en-US" w:eastAsia="zh-CN"/>
              </w:rPr>
              <w:t>江苏省</w:t>
            </w:r>
            <w:r>
              <w:rPr>
                <w:rFonts w:hint="default" w:ascii="Times New Roman" w:hAnsi="Times New Roman" w:cs="Times New Roman"/>
                <w:color w:val="auto"/>
              </w:rPr>
              <w:t>生态红线保护区的位置关系见附图</w:t>
            </w:r>
            <w:r>
              <w:rPr>
                <w:rFonts w:hint="eastAsia" w:cs="Times New Roman"/>
                <w:color w:val="auto"/>
                <w:lang w:val="en-US" w:eastAsia="zh-CN"/>
              </w:rPr>
              <w:t>2，与江苏省生态环境分区管控单元位置关系详见附图3，与淮安市生态环境分区管控单元位置关系详见附图4</w:t>
            </w:r>
            <w:r>
              <w:rPr>
                <w:rFonts w:hint="default" w:ascii="Times New Roman" w:hAnsi="Times New Roman" w:cs="Times New Roman"/>
                <w:color w:val="auto"/>
              </w:rPr>
              <w:t>。</w:t>
            </w:r>
          </w:p>
          <w:p w14:paraId="6FE116F3">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b w:val="0"/>
                <w:bCs/>
                <w:color w:val="auto"/>
              </w:rPr>
            </w:pPr>
            <w:r>
              <w:rPr>
                <w:rFonts w:hint="default" w:ascii="Times New Roman" w:hAnsi="Times New Roman" w:cs="Times New Roman"/>
                <w:b w:val="0"/>
                <w:bCs/>
                <w:color w:val="auto"/>
              </w:rPr>
              <w:t>（2）环境质量底线</w:t>
            </w:r>
          </w:p>
          <w:p w14:paraId="58C73AB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①大气环境</w:t>
            </w:r>
          </w:p>
          <w:p w14:paraId="3E3A639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根据《202</w:t>
            </w:r>
            <w:r>
              <w:rPr>
                <w:rFonts w:hint="eastAsia" w:cs="Times New Roman"/>
                <w:color w:val="auto"/>
                <w:sz w:val="24"/>
                <w:lang w:val="en-US" w:eastAsia="zh-CN"/>
              </w:rPr>
              <w:t>3</w:t>
            </w:r>
            <w:r>
              <w:rPr>
                <w:rFonts w:hint="default" w:ascii="Times New Roman" w:hAnsi="Times New Roman" w:cs="Times New Roman"/>
                <w:color w:val="auto"/>
                <w:sz w:val="24"/>
              </w:rPr>
              <w:t>年淮安市生态环境状况公报》</w:t>
            </w:r>
            <w:r>
              <w:rPr>
                <w:rFonts w:hint="eastAsia" w:cs="Times New Roman"/>
                <w:color w:val="auto"/>
                <w:sz w:val="24"/>
                <w:lang w:eastAsia="zh-CN"/>
              </w:rPr>
              <w:t>：</w:t>
            </w:r>
            <w:r>
              <w:rPr>
                <w:rFonts w:hint="default" w:ascii="Times New Roman" w:hAnsi="Times New Roman" w:cs="Times New Roman"/>
                <w:color w:val="auto"/>
                <w:sz w:val="24"/>
              </w:rPr>
              <w:t>202</w:t>
            </w:r>
            <w:r>
              <w:rPr>
                <w:rFonts w:hint="eastAsia" w:cs="Times New Roman"/>
                <w:color w:val="auto"/>
                <w:sz w:val="24"/>
                <w:lang w:val="en-US" w:eastAsia="zh-CN"/>
              </w:rPr>
              <w:t>3</w:t>
            </w:r>
            <w:r>
              <w:rPr>
                <w:rFonts w:hint="default" w:ascii="Times New Roman" w:hAnsi="Times New Roman" w:cs="Times New Roman"/>
                <w:color w:val="auto"/>
                <w:sz w:val="24"/>
              </w:rPr>
              <w:t>年，全市细颗粒物（PM</w:t>
            </w:r>
            <w:r>
              <w:rPr>
                <w:rFonts w:hint="default" w:ascii="Times New Roman" w:hAnsi="Times New Roman" w:cs="Times New Roman"/>
                <w:color w:val="auto"/>
                <w:sz w:val="24"/>
                <w:vertAlign w:val="subscript"/>
              </w:rPr>
              <w:t>2.</w:t>
            </w:r>
            <w:r>
              <w:rPr>
                <w:rFonts w:hint="eastAsia" w:cs="Times New Roman"/>
                <w:color w:val="auto"/>
                <w:sz w:val="24"/>
                <w:vertAlign w:val="subscript"/>
                <w:lang w:eastAsia="zh-CN"/>
              </w:rPr>
              <w:t>5）</w:t>
            </w:r>
            <w:r>
              <w:rPr>
                <w:rFonts w:hint="default" w:ascii="Times New Roman" w:hAnsi="Times New Roman" w:cs="Times New Roman"/>
                <w:color w:val="auto"/>
                <w:sz w:val="24"/>
              </w:rPr>
              <w:t>可吸入颗粒物（PM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）、二氧化硫（SO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）、二氧化氮（NO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w:t>
            </w:r>
            <w:r>
              <w:rPr>
                <w:rFonts w:hint="eastAsia" w:cs="Times New Roman"/>
                <w:color w:val="auto"/>
                <w:sz w:val="24"/>
                <w:lang w:eastAsia="zh-CN"/>
              </w:rPr>
              <w:t>、</w:t>
            </w:r>
            <w:r>
              <w:rPr>
                <w:rFonts w:hint="default" w:ascii="Times New Roman" w:hAnsi="Times New Roman" w:cs="Times New Roman"/>
                <w:color w:val="auto"/>
                <w:sz w:val="24"/>
              </w:rPr>
              <w:t>一氧化碳（CO）和臭氧（O</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）年均浓度分别为3</w:t>
            </w:r>
            <w:r>
              <w:rPr>
                <w:rFonts w:hint="eastAsia" w:cs="Times New Roman"/>
                <w:color w:val="auto"/>
                <w:sz w:val="24"/>
                <w:lang w:val="en-US" w:eastAsia="zh-CN"/>
              </w:rPr>
              <w:t>6</w:t>
            </w:r>
            <w:r>
              <w:rPr>
                <w:rFonts w:hint="default" w:ascii="Times New Roman" w:hAnsi="Times New Roman" w:cs="Times New Roman"/>
                <w:color w:val="auto"/>
                <w:sz w:val="24"/>
              </w:rPr>
              <w:t>微克/立方米、</w:t>
            </w:r>
            <w:r>
              <w:rPr>
                <w:rFonts w:hint="eastAsia" w:cs="Times New Roman"/>
                <w:color w:val="auto"/>
                <w:sz w:val="24"/>
                <w:lang w:val="en-US" w:eastAsia="zh-CN"/>
              </w:rPr>
              <w:t>58</w:t>
            </w:r>
            <w:r>
              <w:rPr>
                <w:rFonts w:hint="default" w:ascii="Times New Roman" w:hAnsi="Times New Roman" w:cs="Times New Roman"/>
                <w:color w:val="auto"/>
                <w:sz w:val="24"/>
              </w:rPr>
              <w:t>微克/立方米、</w:t>
            </w:r>
            <w:r>
              <w:rPr>
                <w:rFonts w:hint="eastAsia" w:cs="Times New Roman"/>
                <w:color w:val="auto"/>
                <w:sz w:val="24"/>
                <w:lang w:val="en-US" w:eastAsia="zh-CN"/>
              </w:rPr>
              <w:t>8</w:t>
            </w:r>
            <w:r>
              <w:rPr>
                <w:rFonts w:hint="default" w:ascii="Times New Roman" w:hAnsi="Times New Roman" w:cs="Times New Roman"/>
                <w:color w:val="auto"/>
                <w:sz w:val="24"/>
              </w:rPr>
              <w:t>微克/立方米、2</w:t>
            </w:r>
            <w:r>
              <w:rPr>
                <w:rFonts w:hint="eastAsia" w:cs="Times New Roman"/>
                <w:color w:val="auto"/>
                <w:sz w:val="24"/>
                <w:lang w:val="en-US" w:eastAsia="zh-CN"/>
              </w:rPr>
              <w:t>5</w:t>
            </w:r>
            <w:r>
              <w:rPr>
                <w:rFonts w:hint="default" w:ascii="Times New Roman" w:hAnsi="Times New Roman" w:cs="Times New Roman"/>
                <w:color w:val="auto"/>
                <w:sz w:val="24"/>
              </w:rPr>
              <w:t>微克/立方米</w:t>
            </w:r>
            <w:r>
              <w:rPr>
                <w:rFonts w:hint="eastAsia" w:cs="Times New Roman"/>
                <w:color w:val="auto"/>
                <w:sz w:val="24"/>
                <w:lang w:eastAsia="zh-CN"/>
              </w:rPr>
              <w:t>、</w:t>
            </w:r>
            <w:r>
              <w:rPr>
                <w:rFonts w:hint="eastAsia" w:cs="Times New Roman"/>
                <w:color w:val="auto"/>
                <w:sz w:val="24"/>
                <w:lang w:val="en-US" w:eastAsia="zh-CN"/>
              </w:rPr>
              <w:t>1.0</w:t>
            </w:r>
            <w:r>
              <w:rPr>
                <w:rFonts w:hint="default" w:ascii="Times New Roman" w:hAnsi="Times New Roman" w:cs="Times New Roman"/>
                <w:color w:val="auto"/>
                <w:sz w:val="24"/>
              </w:rPr>
              <w:t>毫克/立方米、15</w:t>
            </w:r>
            <w:r>
              <w:rPr>
                <w:rFonts w:hint="eastAsia" w:cs="Times New Roman"/>
                <w:color w:val="auto"/>
                <w:sz w:val="24"/>
                <w:lang w:val="en-US" w:eastAsia="zh-CN"/>
              </w:rPr>
              <w:t>8</w:t>
            </w:r>
            <w:r>
              <w:rPr>
                <w:rFonts w:hint="default" w:ascii="Times New Roman" w:hAnsi="Times New Roman" w:cs="Times New Roman"/>
                <w:color w:val="auto"/>
                <w:sz w:val="24"/>
              </w:rPr>
              <w:t>微克/立方米。与202</w:t>
            </w:r>
            <w:r>
              <w:rPr>
                <w:rFonts w:hint="eastAsia" w:cs="Times New Roman"/>
                <w:color w:val="auto"/>
                <w:sz w:val="24"/>
                <w:lang w:val="en-US" w:eastAsia="zh-CN"/>
              </w:rPr>
              <w:t>2</w:t>
            </w:r>
            <w:r>
              <w:rPr>
                <w:rFonts w:hint="default" w:ascii="Times New Roman" w:hAnsi="Times New Roman" w:cs="Times New Roman"/>
                <w:color w:val="auto"/>
                <w:sz w:val="24"/>
              </w:rPr>
              <w:t>年相比，</w:t>
            </w:r>
            <w:r>
              <w:rPr>
                <w:rFonts w:hint="eastAsia" w:cs="Times New Roman"/>
                <w:color w:val="auto"/>
                <w:sz w:val="24"/>
                <w:lang w:val="en-US" w:eastAsia="zh-CN"/>
              </w:rPr>
              <w:t>O</w:t>
            </w:r>
            <w:r>
              <w:rPr>
                <w:rFonts w:hint="eastAsia" w:cs="Times New Roman"/>
                <w:color w:val="auto"/>
                <w:sz w:val="24"/>
                <w:vertAlign w:val="subscript"/>
                <w:lang w:val="en-US" w:eastAsia="zh-CN"/>
              </w:rPr>
              <w:t>3</w:t>
            </w:r>
            <w:r>
              <w:rPr>
                <w:rFonts w:hint="default" w:ascii="Times New Roman" w:hAnsi="Times New Roman" w:cs="Times New Roman"/>
                <w:color w:val="auto"/>
                <w:sz w:val="24"/>
              </w:rPr>
              <w:t>污染有所改善，</w:t>
            </w:r>
            <w:r>
              <w:rPr>
                <w:rFonts w:hint="eastAsia" w:cs="Times New Roman"/>
                <w:color w:val="auto"/>
                <w:sz w:val="24"/>
                <w:lang w:val="en-US" w:eastAsia="zh-CN"/>
              </w:rPr>
              <w:t>O</w:t>
            </w:r>
            <w:r>
              <w:rPr>
                <w:rFonts w:hint="eastAsia" w:cs="Times New Roman"/>
                <w:color w:val="auto"/>
                <w:sz w:val="24"/>
                <w:vertAlign w:val="subscript"/>
                <w:lang w:val="en-US" w:eastAsia="zh-CN"/>
              </w:rPr>
              <w:t>3</w:t>
            </w:r>
            <w:r>
              <w:rPr>
                <w:rFonts w:hint="default" w:ascii="Times New Roman" w:hAnsi="Times New Roman" w:cs="Times New Roman"/>
                <w:color w:val="auto"/>
                <w:sz w:val="24"/>
              </w:rPr>
              <w:t>为首要污染物的超标天减少3天，PM</w:t>
            </w:r>
            <w:r>
              <w:rPr>
                <w:rFonts w:hint="default" w:ascii="Times New Roman" w:hAnsi="Times New Roman" w:cs="Times New Roman"/>
                <w:color w:val="auto"/>
                <w:sz w:val="24"/>
                <w:vertAlign w:val="subscript"/>
              </w:rPr>
              <w:t>2</w:t>
            </w:r>
            <w:r>
              <w:rPr>
                <w:rFonts w:hint="eastAsia" w:cs="Times New Roman"/>
                <w:color w:val="auto"/>
                <w:sz w:val="24"/>
                <w:vertAlign w:val="subscript"/>
                <w:lang w:val="en-US" w:eastAsia="zh-CN"/>
              </w:rPr>
              <w:t>.</w:t>
            </w:r>
            <w:r>
              <w:rPr>
                <w:rFonts w:hint="default" w:ascii="Times New Roman" w:hAnsi="Times New Roman" w:cs="Times New Roman"/>
                <w:color w:val="auto"/>
                <w:sz w:val="24"/>
                <w:vertAlign w:val="subscript"/>
              </w:rPr>
              <w:t>5</w:t>
            </w:r>
            <w:r>
              <w:rPr>
                <w:rFonts w:hint="default" w:ascii="Times New Roman" w:hAnsi="Times New Roman" w:cs="Times New Roman"/>
                <w:color w:val="auto"/>
                <w:sz w:val="24"/>
              </w:rPr>
              <w:t>浓度有所反弹，PM</w:t>
            </w:r>
            <w:r>
              <w:rPr>
                <w:rFonts w:hint="eastAsia" w:cs="Times New Roman"/>
                <w:color w:val="auto"/>
                <w:sz w:val="24"/>
                <w:vertAlign w:val="subscript"/>
                <w:lang w:val="en-US" w:eastAsia="zh-CN"/>
              </w:rPr>
              <w:t>2.5</w:t>
            </w:r>
            <w:r>
              <w:rPr>
                <w:rFonts w:hint="default" w:ascii="Times New Roman" w:hAnsi="Times New Roman" w:cs="Times New Roman"/>
                <w:color w:val="auto"/>
                <w:sz w:val="24"/>
              </w:rPr>
              <w:t>为首要污染物的超标天增加7天。PM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、O</w:t>
            </w:r>
            <w:r>
              <w:rPr>
                <w:rFonts w:hint="eastAsia" w:cs="Times New Roman"/>
                <w:color w:val="auto"/>
                <w:sz w:val="24"/>
                <w:vertAlign w:val="subscript"/>
                <w:lang w:val="en-US" w:eastAsia="zh-CN"/>
              </w:rPr>
              <w:t>3</w:t>
            </w:r>
            <w:r>
              <w:rPr>
                <w:rFonts w:hint="default" w:ascii="Times New Roman" w:hAnsi="Times New Roman" w:cs="Times New Roman"/>
                <w:color w:val="auto"/>
                <w:sz w:val="24"/>
              </w:rPr>
              <w:t>降幅分别为3.3%、11.1%、0.6%。可吸入颗粒物（PM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）、二氧化硫（SO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）、二氧化氮（NO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）、一氧化碳（CO）和臭氧（O</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）浓度均达到国家二级标准限值，细颗粒物（PM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）年均浓度超标。因此，2023年本项目所在区域环境空气质量为不达标区。</w:t>
            </w:r>
          </w:p>
          <w:p w14:paraId="24B1CAE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针对细颗粒物（PM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）超标现象，淮安市深入打好污染防治攻坚战指挥部办公室印发了《淮安市2024年大气污染防治工作计划》（淮污防攻坚指办〔2024〕50 号）（以下简称《工作计划》）。</w:t>
            </w:r>
          </w:p>
          <w:p w14:paraId="14EF6F7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《工作计划》明确了工作目标：全市PM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浓度达到35微克/立方米左右，优良天数比率达到81.2%左右，臭氧浓度增长趋势得到有效遏制。完成省下达的氮氧化物4340吨、挥发性有机物3466吨的重点工程减排量目标。并提出以下重点任务：（一）优化产业结构，促进产业产品绿色升级；（二）优化能源结构，加速能源清洁低碳高效发展；（三）优化交通结构，大力发展绿色运输体系；（四）聚焦重点行业，推进大气污染综合治理；（五）开展 VOCs 大会战，持续压降 VOCs 浓度；（六）强化面源污染治理，提升精细化管理水平；（七）强化执法检查和监督帮扶，加强污染过程应对；（八）加强能力建设，健全标准体系。</w:t>
            </w:r>
          </w:p>
          <w:p w14:paraId="434DCC9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随着《淮安市2024年大气污染防治工作计划》（淮污防攻坚指办〔2024〕50 号）的逐步落实，淮安市环境空气质量将逐渐得到改善，能够满足区域环境质量改善目标管理的要求。</w:t>
            </w:r>
          </w:p>
          <w:p w14:paraId="285BEAF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②地表水环境</w:t>
            </w:r>
          </w:p>
          <w:p w14:paraId="05B7870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根据《202</w:t>
            </w:r>
            <w:r>
              <w:rPr>
                <w:rFonts w:hint="default" w:ascii="Times New Roman" w:hAnsi="Times New Roman" w:cs="Times New Roman"/>
                <w:color w:val="auto"/>
                <w:sz w:val="24"/>
                <w:lang w:val="en-US" w:eastAsia="zh-CN"/>
              </w:rPr>
              <w:t>3</w:t>
            </w:r>
            <w:r>
              <w:rPr>
                <w:rFonts w:hint="default" w:ascii="Times New Roman" w:hAnsi="Times New Roman" w:eastAsia="宋体" w:cs="Times New Roman"/>
                <w:color w:val="auto"/>
                <w:sz w:val="24"/>
                <w:lang w:val="en-US" w:eastAsia="zh-CN"/>
              </w:rPr>
              <w:t>年淮安市生态环境状况公报》：2023年淮安市水环境质量总体较好，优I比例超过省定考核指标，27条主要河流水质状况达优良，湖泊水质保持稳定，饮用水源地水质稳定达标，地下水水质稳中趋好。纳入“十四五”国家地表水环境质量考核的11个国考断面中，年均水质达到或好于Ⅲ类标准的断面9个</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Ⅱ类断面4个</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，优Ⅲ比例81.8%，达标率100%，无V类和劣V类断面。纳入江苏省“十四五”水环境质量目标考核的57个断面中水质达到或好于</w:t>
            </w:r>
            <w:r>
              <w:rPr>
                <w:rFonts w:hint="eastAsia" w:cs="Times New Roman"/>
                <w:color w:val="auto"/>
                <w:sz w:val="24"/>
                <w:lang w:val="en-US" w:eastAsia="zh-CN"/>
              </w:rPr>
              <w:t>Ⅲ</w:t>
            </w:r>
            <w:r>
              <w:rPr>
                <w:rFonts w:hint="default" w:ascii="Times New Roman" w:hAnsi="Times New Roman" w:eastAsia="宋体" w:cs="Times New Roman"/>
                <w:color w:val="auto"/>
                <w:sz w:val="24"/>
                <w:lang w:val="en-US" w:eastAsia="zh-CN"/>
              </w:rPr>
              <w:t>类标准的断面有53个，优Ⅲ比例93%，达标率100%，无V类和劣V类断面。</w:t>
            </w:r>
          </w:p>
          <w:p w14:paraId="4CF1C99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202</w:t>
            </w: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年，淮河、京杭大运河、苏北灌溉总渠、盐河、淮河入江水道、分淮入沂水道水质状况为优</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入海水道南偏泓</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浔河、黄河故道、金宝航道、维桥河、利农河、南淮泗河</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张福河、团结河、高桥河、南六塘河、跃进河、汪木排河</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草泽河、唐响河、头溪河、运西河</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新河、周桥灌区总干渠</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一帆河、铜龙河、池河水质状况为良好</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入海水道北偏泓</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赵公河、公兴河水质状况为轻度污染。</w:t>
            </w:r>
          </w:p>
          <w:p w14:paraId="288B029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针对水环境保护，淮安市深入打好污染防治攻坚战指挥部办公室印发了</w:t>
            </w:r>
            <w:r>
              <w:rPr>
                <w:rFonts w:hint="default" w:ascii="Times New Roman" w:hAnsi="Times New Roman" w:eastAsia="宋体" w:cs="Times New Roman"/>
                <w:color w:val="auto"/>
                <w:sz w:val="24"/>
                <w:szCs w:val="24"/>
                <w:lang w:val="en-US" w:eastAsia="zh-CN"/>
              </w:rPr>
              <w:t>《淮安市202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水生态环境保护</w:t>
            </w:r>
            <w:r>
              <w:rPr>
                <w:rFonts w:hint="default" w:ascii="Times New Roman" w:hAnsi="Times New Roman" w:eastAsia="宋体" w:cs="Times New Roman"/>
                <w:color w:val="auto"/>
                <w:sz w:val="24"/>
                <w:szCs w:val="24"/>
                <w:lang w:val="en-US" w:eastAsia="zh-CN"/>
              </w:rPr>
              <w:t>工作计划》（淮污防攻坚指办〔2024〕50 号）</w:t>
            </w:r>
            <w:r>
              <w:rPr>
                <w:rFonts w:hint="eastAsia" w:ascii="Times New Roman" w:hAnsi="Times New Roman" w:eastAsia="宋体" w:cs="Times New Roman"/>
                <w:color w:val="auto"/>
                <w:sz w:val="24"/>
                <w:szCs w:val="24"/>
                <w:lang w:val="en-US" w:eastAsia="zh-CN"/>
              </w:rPr>
              <w:t>（以下简称《工作计划》）。</w:t>
            </w:r>
          </w:p>
          <w:p w14:paraId="66D9CB6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《工作计划》明确了工作目标：（一）国省考断面优</w:t>
            </w:r>
            <w:r>
              <w:rPr>
                <w:rFonts w:hint="default" w:ascii="Times New Roman" w:hAnsi="Times New Roman" w:eastAsia="宋体" w:cs="Times New Roman"/>
                <w:color w:val="auto"/>
                <w:sz w:val="24"/>
                <w:szCs w:val="24"/>
                <w:lang w:val="en-US" w:eastAsia="zh-CN"/>
              </w:rPr>
              <w:t>Ⅲ</w:t>
            </w:r>
            <w:r>
              <w:rPr>
                <w:rFonts w:hint="eastAsia" w:ascii="Times New Roman" w:hAnsi="Times New Roman" w:eastAsia="宋体" w:cs="Times New Roman"/>
                <w:color w:val="auto"/>
                <w:sz w:val="24"/>
                <w:szCs w:val="24"/>
                <w:lang w:val="en-US" w:eastAsia="zh-CN"/>
              </w:rPr>
              <w:t>比例目标；（二）城镇生活污水集中收集处理率目标；（三）南水北调东线重要湖泊水环境质量目标；（四）主要水污染物总量减排目标。并提出以下主要任务：（一）强化重点水体保护；（二）加强工业污染防治；（三）深化城镇生活污染防治；（四）推进农业农村污染防治；（五）加强船舶港口污染监管；（六）推进水生态保护修复；（七）加强水资源保护利用；（八）促进</w:t>
            </w:r>
            <w:r>
              <w:rPr>
                <w:rFonts w:hint="eastAsia" w:cs="Times New Roman"/>
                <w:color w:val="auto"/>
                <w:sz w:val="24"/>
                <w:szCs w:val="24"/>
                <w:lang w:val="en-US" w:eastAsia="zh-CN"/>
              </w:rPr>
              <w:t>治理体系和治理能力现代化</w:t>
            </w:r>
            <w:r>
              <w:rPr>
                <w:rFonts w:hint="eastAsia" w:ascii="Times New Roman" w:hAnsi="Times New Roman" w:eastAsia="宋体" w:cs="Times New Roman"/>
                <w:color w:val="auto"/>
                <w:sz w:val="24"/>
                <w:szCs w:val="24"/>
                <w:lang w:val="en-US" w:eastAsia="zh-CN"/>
              </w:rPr>
              <w:t>。</w:t>
            </w:r>
          </w:p>
          <w:p w14:paraId="1B0F13A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lang w:val="en-US" w:eastAsia="zh-CN"/>
              </w:rPr>
            </w:pPr>
            <w:r>
              <w:rPr>
                <w:rFonts w:hint="default" w:ascii="Times New Roman" w:hAnsi="Times New Roman" w:eastAsia="宋体" w:cs="Times New Roman"/>
                <w:color w:val="auto"/>
                <w:kern w:val="0"/>
                <w:sz w:val="24"/>
                <w:szCs w:val="24"/>
                <w:lang w:val="en-US" w:eastAsia="zh-CN" w:bidi="ar"/>
              </w:rPr>
              <w:t>随着</w:t>
            </w:r>
            <w:r>
              <w:rPr>
                <w:rFonts w:hint="default" w:ascii="Times New Roman" w:hAnsi="Times New Roman" w:eastAsia="宋体" w:cs="Times New Roman"/>
                <w:color w:val="auto"/>
                <w:sz w:val="24"/>
                <w:szCs w:val="24"/>
                <w:lang w:val="en-US" w:eastAsia="zh-CN"/>
              </w:rPr>
              <w:t>《淮安市202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水生态环境保护</w:t>
            </w:r>
            <w:r>
              <w:rPr>
                <w:rFonts w:hint="default" w:ascii="Times New Roman" w:hAnsi="Times New Roman" w:eastAsia="宋体" w:cs="Times New Roman"/>
                <w:color w:val="auto"/>
                <w:sz w:val="24"/>
                <w:szCs w:val="24"/>
                <w:lang w:val="en-US" w:eastAsia="zh-CN"/>
              </w:rPr>
              <w:t>工作计划》（淮污防攻坚指办〔2024〕50 号）</w:t>
            </w:r>
            <w:r>
              <w:rPr>
                <w:rFonts w:hint="default" w:ascii="Times New Roman" w:hAnsi="Times New Roman" w:eastAsia="宋体" w:cs="Times New Roman"/>
                <w:color w:val="auto"/>
                <w:kern w:val="0"/>
                <w:sz w:val="24"/>
                <w:szCs w:val="24"/>
                <w:lang w:val="en-US" w:eastAsia="zh-CN" w:bidi="ar"/>
              </w:rPr>
              <w:t>的</w:t>
            </w:r>
            <w:r>
              <w:rPr>
                <w:rFonts w:hint="eastAsia" w:cs="Times New Roman"/>
                <w:color w:val="auto"/>
                <w:kern w:val="0"/>
                <w:sz w:val="24"/>
                <w:szCs w:val="24"/>
                <w:lang w:val="en-US" w:eastAsia="zh-CN" w:bidi="ar"/>
              </w:rPr>
              <w:t>逐步</w:t>
            </w:r>
            <w:r>
              <w:rPr>
                <w:rFonts w:hint="default" w:ascii="Times New Roman" w:hAnsi="Times New Roman" w:eastAsia="宋体" w:cs="Times New Roman"/>
                <w:color w:val="auto"/>
                <w:kern w:val="0"/>
                <w:sz w:val="24"/>
                <w:szCs w:val="24"/>
                <w:lang w:val="en-US" w:eastAsia="zh-CN" w:bidi="ar"/>
              </w:rPr>
              <w:t>落实，</w:t>
            </w:r>
            <w:r>
              <w:rPr>
                <w:rFonts w:hint="eastAsia" w:cs="Times New Roman"/>
                <w:color w:val="auto"/>
                <w:kern w:val="0"/>
                <w:sz w:val="24"/>
                <w:szCs w:val="24"/>
                <w:lang w:val="en-US" w:eastAsia="zh-CN" w:bidi="ar"/>
              </w:rPr>
              <w:t>淮安市</w:t>
            </w:r>
            <w:r>
              <w:rPr>
                <w:rFonts w:hint="eastAsia" w:ascii="Times New Roman" w:hAnsi="Times New Roman" w:eastAsia="宋体" w:cs="Times New Roman"/>
                <w:color w:val="auto"/>
                <w:kern w:val="0"/>
                <w:sz w:val="24"/>
                <w:szCs w:val="24"/>
                <w:lang w:val="en-US" w:eastAsia="zh-CN" w:bidi="ar"/>
              </w:rPr>
              <w:t>水环境</w:t>
            </w:r>
            <w:r>
              <w:rPr>
                <w:rFonts w:hint="default" w:ascii="Times New Roman" w:hAnsi="Times New Roman" w:eastAsia="宋体" w:cs="Times New Roman"/>
                <w:color w:val="auto"/>
                <w:kern w:val="0"/>
                <w:sz w:val="24"/>
                <w:szCs w:val="24"/>
                <w:lang w:val="en-US" w:eastAsia="zh-CN" w:bidi="ar"/>
              </w:rPr>
              <w:t>质量</w:t>
            </w:r>
            <w:r>
              <w:rPr>
                <w:rFonts w:hint="eastAsia" w:cs="Times New Roman"/>
                <w:color w:val="auto"/>
                <w:kern w:val="0"/>
                <w:sz w:val="24"/>
                <w:szCs w:val="24"/>
                <w:lang w:val="en-US" w:eastAsia="zh-CN" w:bidi="ar"/>
              </w:rPr>
              <w:t>将</w:t>
            </w:r>
            <w:r>
              <w:rPr>
                <w:rFonts w:hint="default" w:ascii="Times New Roman" w:hAnsi="Times New Roman" w:eastAsia="宋体" w:cs="Times New Roman"/>
                <w:color w:val="auto"/>
                <w:kern w:val="0"/>
                <w:sz w:val="24"/>
                <w:szCs w:val="24"/>
                <w:lang w:val="en-US" w:eastAsia="zh-CN" w:bidi="ar"/>
              </w:rPr>
              <w:t>逐渐</w:t>
            </w:r>
            <w:r>
              <w:rPr>
                <w:rFonts w:hint="eastAsia" w:cs="Times New Roman"/>
                <w:color w:val="auto"/>
                <w:kern w:val="0"/>
                <w:sz w:val="24"/>
                <w:szCs w:val="24"/>
                <w:lang w:val="en-US" w:eastAsia="zh-CN" w:bidi="ar"/>
              </w:rPr>
              <w:t>得到</w:t>
            </w:r>
            <w:r>
              <w:rPr>
                <w:rFonts w:hint="default" w:ascii="Times New Roman" w:hAnsi="Times New Roman" w:eastAsia="宋体" w:cs="Times New Roman"/>
                <w:color w:val="auto"/>
                <w:kern w:val="0"/>
                <w:sz w:val="24"/>
                <w:szCs w:val="24"/>
                <w:lang w:val="en-US" w:eastAsia="zh-CN" w:bidi="ar"/>
              </w:rPr>
              <w:t>改善，能够满足区域环境质量改善目标管理的要求</w:t>
            </w:r>
            <w:r>
              <w:rPr>
                <w:rFonts w:hint="eastAsia" w:ascii="Times New Roman" w:hAnsi="Times New Roman" w:eastAsia="宋体" w:cs="Times New Roman"/>
                <w:color w:val="auto"/>
                <w:kern w:val="2"/>
                <w:sz w:val="24"/>
                <w:szCs w:val="24"/>
                <w:lang w:val="en-US" w:eastAsia="zh-CN" w:bidi="ar-SA"/>
              </w:rPr>
              <w:t>。</w:t>
            </w:r>
          </w:p>
          <w:p w14:paraId="6893BE5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③声环境</w:t>
            </w:r>
          </w:p>
          <w:p w14:paraId="501463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根据《202</w:t>
            </w: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年淮安市生态环境状况公报》显示，2023年，淮安市声环境总体较好，全市各功能区昼夜噪声均达标。全市区域环境昼间噪声均值为55.1dB(A)，夜间均值为45.3dB(A)，同比均有所改善</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全市昼间交通噪声均值为65.4dB(A)，夜间交通噪声均值为55.4dB(A)，均保持稳定，处于</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好</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水平。</w:t>
            </w:r>
          </w:p>
          <w:p w14:paraId="00A9B0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综上，本</w:t>
            </w:r>
            <w:r>
              <w:rPr>
                <w:rFonts w:hint="default" w:ascii="Times New Roman" w:hAnsi="Times New Roman" w:eastAsia="宋体" w:cs="Times New Roman"/>
                <w:color w:val="auto"/>
                <w:sz w:val="24"/>
              </w:rPr>
              <w:t>项目营运期各类污染物采取相应污染防治措施后，对周围环境影响均较小，不会降低当地环境质量，符合环境质量底线标准。</w:t>
            </w:r>
          </w:p>
          <w:p w14:paraId="3E74495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rFonts w:hint="eastAsia"/>
                <w:color w:val="auto"/>
                <w:sz w:val="24"/>
              </w:rPr>
              <w:t>（3）资源利用上线</w:t>
            </w:r>
          </w:p>
          <w:p w14:paraId="65A7FCD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rFonts w:hint="eastAsia"/>
                <w:color w:val="auto"/>
                <w:sz w:val="24"/>
              </w:rPr>
              <w:t>本项目与资源利用上线的相符性分析见</w:t>
            </w:r>
            <w:r>
              <w:rPr>
                <w:rFonts w:hint="eastAsia"/>
                <w:color w:val="auto"/>
                <w:sz w:val="24"/>
                <w:lang w:val="en-US" w:eastAsia="zh-CN"/>
              </w:rPr>
              <w:t>下表</w:t>
            </w:r>
            <w:r>
              <w:rPr>
                <w:rFonts w:hint="eastAsia"/>
                <w:color w:val="auto"/>
                <w:sz w:val="24"/>
              </w:rPr>
              <w:t>。</w:t>
            </w:r>
          </w:p>
          <w:p w14:paraId="7009C59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b/>
                <w:bCs/>
                <w:color w:val="auto"/>
                <w:szCs w:val="21"/>
              </w:rPr>
            </w:pPr>
          </w:p>
          <w:p w14:paraId="3E771F4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b/>
                <w:bCs/>
                <w:color w:val="auto"/>
                <w:szCs w:val="21"/>
              </w:rPr>
            </w:pPr>
          </w:p>
          <w:p w14:paraId="0C2B990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b/>
                <w:bCs/>
                <w:color w:val="auto"/>
                <w:szCs w:val="21"/>
              </w:rPr>
            </w:pPr>
          </w:p>
          <w:p w14:paraId="4F71DFF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b/>
                <w:bCs/>
                <w:color w:val="auto"/>
                <w:szCs w:val="21"/>
              </w:rPr>
            </w:pPr>
          </w:p>
          <w:p w14:paraId="4BC77DE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b/>
                <w:bCs/>
                <w:color w:val="auto"/>
                <w:szCs w:val="21"/>
              </w:rPr>
            </w:pPr>
          </w:p>
          <w:p w14:paraId="381A00DC">
            <w:pPr>
              <w:pStyle w:val="2"/>
              <w:rPr>
                <w:rFonts w:hint="eastAsia"/>
              </w:rPr>
            </w:pPr>
          </w:p>
          <w:p w14:paraId="4C30AA9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b/>
                <w:bCs/>
                <w:color w:val="auto"/>
                <w:szCs w:val="21"/>
              </w:rPr>
            </w:pPr>
            <w:r>
              <w:rPr>
                <w:rFonts w:hint="eastAsia" w:ascii="Times New Roman" w:hAnsi="Times New Roman" w:eastAsia="宋体"/>
                <w:b/>
                <w:bCs/>
                <w:color w:val="auto"/>
                <w:szCs w:val="21"/>
              </w:rPr>
              <w:t>表1-</w:t>
            </w:r>
            <w:r>
              <w:rPr>
                <w:rFonts w:hint="eastAsia"/>
                <w:b/>
                <w:bCs/>
                <w:color w:val="auto"/>
                <w:szCs w:val="21"/>
                <w:lang w:val="en-US" w:eastAsia="zh-CN"/>
              </w:rPr>
              <w:t>8</w:t>
            </w:r>
            <w:r>
              <w:rPr>
                <w:rFonts w:hint="eastAsia" w:ascii="Times New Roman" w:hAnsi="Times New Roman" w:eastAsia="宋体"/>
                <w:b/>
                <w:bCs/>
                <w:color w:val="auto"/>
                <w:szCs w:val="21"/>
                <w:lang w:val="en-US" w:eastAsia="zh-CN"/>
              </w:rPr>
              <w:t xml:space="preserve"> </w:t>
            </w:r>
            <w:r>
              <w:rPr>
                <w:rFonts w:hint="eastAsia"/>
                <w:b/>
                <w:bCs/>
                <w:color w:val="auto"/>
                <w:szCs w:val="21"/>
                <w:lang w:val="en-US" w:eastAsia="zh-CN"/>
              </w:rPr>
              <w:t xml:space="preserve"> </w:t>
            </w:r>
            <w:r>
              <w:rPr>
                <w:rFonts w:hint="eastAsia" w:ascii="Times New Roman" w:hAnsi="Times New Roman" w:eastAsia="宋体"/>
                <w:b/>
                <w:bCs/>
                <w:color w:val="auto"/>
                <w:szCs w:val="21"/>
              </w:rPr>
              <w:t>项目与资源利用上限的相符性分析表</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82"/>
              <w:gridCol w:w="803"/>
              <w:gridCol w:w="5147"/>
              <w:gridCol w:w="1066"/>
            </w:tblGrid>
            <w:tr w14:paraId="111264E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443" w:type="pct"/>
                  <w:noWrap w:val="0"/>
                  <w:vAlign w:val="center"/>
                </w:tcPr>
                <w:p w14:paraId="71DFC5B4">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序号</w:t>
                  </w:r>
                </w:p>
              </w:tc>
              <w:tc>
                <w:tcPr>
                  <w:tcW w:w="521" w:type="pct"/>
                  <w:noWrap w:val="0"/>
                  <w:vAlign w:val="center"/>
                </w:tcPr>
                <w:p w14:paraId="32C960AA">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内容</w:t>
                  </w:r>
                </w:p>
              </w:tc>
              <w:tc>
                <w:tcPr>
                  <w:tcW w:w="3342" w:type="pct"/>
                  <w:noWrap w:val="0"/>
                  <w:vAlign w:val="center"/>
                </w:tcPr>
                <w:p w14:paraId="7AE2A361">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与资源利用上线的相符性</w:t>
                  </w:r>
                </w:p>
              </w:tc>
              <w:tc>
                <w:tcPr>
                  <w:tcW w:w="692" w:type="pct"/>
                  <w:noWrap w:val="0"/>
                  <w:vAlign w:val="center"/>
                </w:tcPr>
                <w:p w14:paraId="66827EF8">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是否符合</w:t>
                  </w:r>
                </w:p>
              </w:tc>
            </w:tr>
            <w:tr w14:paraId="4CE4F71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443" w:type="pct"/>
                  <w:noWrap w:val="0"/>
                  <w:vAlign w:val="center"/>
                </w:tcPr>
                <w:p w14:paraId="2A547530">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1</w:t>
                  </w:r>
                </w:p>
              </w:tc>
              <w:tc>
                <w:tcPr>
                  <w:tcW w:w="521" w:type="pct"/>
                  <w:noWrap w:val="0"/>
                  <w:vAlign w:val="center"/>
                </w:tcPr>
                <w:p w14:paraId="37F2083A">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能耗</w:t>
                  </w:r>
                </w:p>
                <w:p w14:paraId="56F50D62">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消耗</w:t>
                  </w:r>
                </w:p>
              </w:tc>
              <w:tc>
                <w:tcPr>
                  <w:tcW w:w="3342" w:type="pct"/>
                  <w:noWrap w:val="0"/>
                  <w:vAlign w:val="center"/>
                </w:tcPr>
                <w:p w14:paraId="74D8C657">
                  <w:pPr>
                    <w:keepNext w:val="0"/>
                    <w:keepLines w:val="0"/>
                    <w:pageBreakBefore w:val="0"/>
                    <w:widowControl w:val="0"/>
                    <w:kinsoku/>
                    <w:wordWrap/>
                    <w:overflowPunct/>
                    <w:topLinePunct w:val="0"/>
                    <w:bidi w:val="0"/>
                    <w:ind w:firstLine="0" w:firstLineChars="0"/>
                    <w:jc w:val="both"/>
                    <w:textAlignment w:val="auto"/>
                    <w:rPr>
                      <w:rFonts w:ascii="Times New Roman" w:hAnsi="Times New Roman" w:eastAsia="宋体"/>
                      <w:color w:val="auto"/>
                    </w:rPr>
                  </w:pPr>
                  <w:r>
                    <w:rPr>
                      <w:rFonts w:ascii="Times New Roman" w:hAnsi="Times New Roman" w:eastAsia="宋体"/>
                      <w:color w:val="auto"/>
                    </w:rPr>
                    <w:t>不增加煤炭使用；不属于压缩产能、过剩产能，</w:t>
                  </w:r>
                  <w:r>
                    <w:rPr>
                      <w:rFonts w:hint="eastAsia" w:ascii="Times New Roman" w:hAnsi="Times New Roman" w:eastAsia="宋体"/>
                      <w:color w:val="auto"/>
                    </w:rPr>
                    <w:t>“两高”</w:t>
                  </w:r>
                  <w:r>
                    <w:rPr>
                      <w:rFonts w:ascii="Times New Roman" w:hAnsi="Times New Roman" w:eastAsia="宋体"/>
                      <w:color w:val="auto"/>
                    </w:rPr>
                    <w:t>行业；本项目用电量约为</w:t>
                  </w:r>
                  <w:r>
                    <w:rPr>
                      <w:rFonts w:hint="eastAsia"/>
                      <w:color w:val="auto"/>
                      <w:lang w:val="en-US" w:eastAsia="zh-CN"/>
                    </w:rPr>
                    <w:t>4</w:t>
                  </w:r>
                  <w:r>
                    <w:rPr>
                      <w:rFonts w:hint="eastAsia" w:ascii="Times New Roman" w:hAnsi="Times New Roman" w:eastAsia="宋体"/>
                      <w:color w:val="auto"/>
                      <w:lang w:val="en-US" w:eastAsia="zh-CN"/>
                    </w:rPr>
                    <w:t>00</w:t>
                  </w:r>
                  <w:r>
                    <w:rPr>
                      <w:rFonts w:ascii="Times New Roman" w:hAnsi="Times New Roman" w:eastAsia="宋体"/>
                      <w:color w:val="auto"/>
                    </w:rPr>
                    <w:t>万千瓦时/年，</w:t>
                  </w:r>
                  <w:r>
                    <w:rPr>
                      <w:rFonts w:hint="eastAsia" w:ascii="Times New Roman" w:hAnsi="Times New Roman" w:eastAsia="宋体"/>
                      <w:color w:val="auto"/>
                    </w:rPr>
                    <w:t>项目</w:t>
                  </w:r>
                  <w:r>
                    <w:rPr>
                      <w:rFonts w:ascii="Times New Roman" w:hAnsi="Times New Roman" w:eastAsia="宋体"/>
                      <w:color w:val="auto"/>
                    </w:rPr>
                    <w:t>所在地可以满足用电需求，不会突破当地资源利用上线。</w:t>
                  </w:r>
                </w:p>
              </w:tc>
              <w:tc>
                <w:tcPr>
                  <w:tcW w:w="692" w:type="pct"/>
                  <w:noWrap w:val="0"/>
                  <w:vAlign w:val="center"/>
                </w:tcPr>
                <w:p w14:paraId="314C24C1">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是</w:t>
                  </w:r>
                </w:p>
              </w:tc>
            </w:tr>
            <w:tr w14:paraId="415DB59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443" w:type="pct"/>
                  <w:noWrap w:val="0"/>
                  <w:vAlign w:val="center"/>
                </w:tcPr>
                <w:p w14:paraId="636E7F56">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2</w:t>
                  </w:r>
                </w:p>
              </w:tc>
              <w:tc>
                <w:tcPr>
                  <w:tcW w:w="521" w:type="pct"/>
                  <w:noWrap w:val="0"/>
                  <w:vAlign w:val="center"/>
                </w:tcPr>
                <w:p w14:paraId="0DADD363">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水资源消耗</w:t>
                  </w:r>
                </w:p>
              </w:tc>
              <w:tc>
                <w:tcPr>
                  <w:tcW w:w="3342" w:type="pct"/>
                  <w:noWrap w:val="0"/>
                  <w:vAlign w:val="center"/>
                </w:tcPr>
                <w:p w14:paraId="13400EF6">
                  <w:pPr>
                    <w:keepNext w:val="0"/>
                    <w:keepLines w:val="0"/>
                    <w:pageBreakBefore w:val="0"/>
                    <w:widowControl w:val="0"/>
                    <w:kinsoku/>
                    <w:wordWrap/>
                    <w:overflowPunct/>
                    <w:topLinePunct w:val="0"/>
                    <w:bidi w:val="0"/>
                    <w:ind w:firstLine="0" w:firstLineChars="0"/>
                    <w:jc w:val="both"/>
                    <w:textAlignment w:val="auto"/>
                    <w:rPr>
                      <w:rFonts w:ascii="Times New Roman" w:hAnsi="Times New Roman" w:eastAsia="宋体"/>
                      <w:color w:val="auto"/>
                    </w:rPr>
                  </w:pPr>
                  <w:r>
                    <w:rPr>
                      <w:rFonts w:ascii="Times New Roman" w:hAnsi="Times New Roman" w:eastAsia="宋体" w:cs="Times New Roman"/>
                      <w:color w:val="auto"/>
                    </w:rPr>
                    <w:t>本项目所在地不属于严重缺水地区；区域供水管网可以满足</w:t>
                  </w:r>
                  <w:r>
                    <w:rPr>
                      <w:rFonts w:hint="eastAsia" w:ascii="Times New Roman" w:hAnsi="Times New Roman" w:eastAsia="宋体" w:cs="Times New Roman"/>
                      <w:color w:val="auto"/>
                    </w:rPr>
                    <w:t>本</w:t>
                  </w:r>
                  <w:r>
                    <w:rPr>
                      <w:rFonts w:ascii="Times New Roman" w:hAnsi="Times New Roman" w:eastAsia="宋体" w:cs="Times New Roman"/>
                      <w:color w:val="auto"/>
                    </w:rPr>
                    <w:t>项目用水</w:t>
                  </w:r>
                  <w:r>
                    <w:rPr>
                      <w:rFonts w:hint="eastAsia" w:ascii="Times New Roman" w:hAnsi="Times New Roman" w:eastAsia="宋体" w:cs="Times New Roman"/>
                      <w:color w:val="auto"/>
                    </w:rPr>
                    <w:t>需求</w:t>
                  </w:r>
                  <w:r>
                    <w:rPr>
                      <w:rFonts w:ascii="Times New Roman" w:hAnsi="Times New Roman" w:eastAsia="宋体" w:cs="Times New Roman"/>
                      <w:color w:val="auto"/>
                    </w:rPr>
                    <w:t>；</w:t>
                  </w:r>
                  <w:r>
                    <w:rPr>
                      <w:rFonts w:hint="eastAsia" w:ascii="Times New Roman" w:hAnsi="Times New Roman" w:eastAsia="宋体" w:cs="Times New Roman"/>
                      <w:color w:val="auto"/>
                    </w:rPr>
                    <w:t>本</w:t>
                  </w:r>
                  <w:r>
                    <w:rPr>
                      <w:rFonts w:ascii="Times New Roman" w:hAnsi="Times New Roman" w:eastAsia="宋体" w:cs="Times New Roman"/>
                      <w:color w:val="auto"/>
                    </w:rPr>
                    <w:t>项目不涉及地下水开采。本项目用水量为</w:t>
                  </w:r>
                  <w:r>
                    <w:rPr>
                      <w:rFonts w:hint="eastAsia" w:cs="Times New Roman"/>
                      <w:color w:val="auto"/>
                      <w:lang w:val="en-US" w:eastAsia="zh-CN"/>
                    </w:rPr>
                    <w:t>634.2m</w:t>
                  </w:r>
                  <w:r>
                    <w:rPr>
                      <w:rFonts w:hint="eastAsia" w:cs="Times New Roman"/>
                      <w:color w:val="auto"/>
                      <w:vertAlign w:val="superscript"/>
                      <w:lang w:val="en-US" w:eastAsia="zh-CN"/>
                    </w:rPr>
                    <w:t>3</w:t>
                  </w:r>
                  <w:r>
                    <w:rPr>
                      <w:rFonts w:ascii="Times New Roman" w:hAnsi="Times New Roman" w:eastAsia="宋体" w:cs="Times New Roman"/>
                      <w:color w:val="auto"/>
                    </w:rPr>
                    <w:t>/a。</w:t>
                  </w:r>
                </w:p>
              </w:tc>
              <w:tc>
                <w:tcPr>
                  <w:tcW w:w="692" w:type="pct"/>
                  <w:noWrap w:val="0"/>
                  <w:vAlign w:val="center"/>
                </w:tcPr>
                <w:p w14:paraId="0CFE923E">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是</w:t>
                  </w:r>
                </w:p>
              </w:tc>
            </w:tr>
            <w:tr w14:paraId="7CC46D8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443" w:type="pct"/>
                  <w:noWrap w:val="0"/>
                  <w:vAlign w:val="center"/>
                </w:tcPr>
                <w:p w14:paraId="3E6CBA2D">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3</w:t>
                  </w:r>
                </w:p>
              </w:tc>
              <w:tc>
                <w:tcPr>
                  <w:tcW w:w="521" w:type="pct"/>
                  <w:noWrap w:val="0"/>
                  <w:vAlign w:val="center"/>
                </w:tcPr>
                <w:p w14:paraId="027E8640">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土地</w:t>
                  </w:r>
                </w:p>
                <w:p w14:paraId="2F5BCD5B">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资源</w:t>
                  </w:r>
                  <w:r>
                    <w:rPr>
                      <w:rFonts w:hint="eastAsia" w:ascii="Times New Roman" w:hAnsi="Times New Roman" w:eastAsia="宋体"/>
                      <w:color w:val="auto"/>
                    </w:rPr>
                    <w:t>消耗</w:t>
                  </w:r>
                </w:p>
              </w:tc>
              <w:tc>
                <w:tcPr>
                  <w:tcW w:w="3342" w:type="pct"/>
                  <w:noWrap w:val="0"/>
                  <w:vAlign w:val="center"/>
                </w:tcPr>
                <w:p w14:paraId="17D18ED7">
                  <w:pPr>
                    <w:keepNext w:val="0"/>
                    <w:keepLines w:val="0"/>
                    <w:pageBreakBefore w:val="0"/>
                    <w:widowControl w:val="0"/>
                    <w:kinsoku/>
                    <w:wordWrap/>
                    <w:overflowPunct/>
                    <w:topLinePunct w:val="0"/>
                    <w:bidi w:val="0"/>
                    <w:ind w:firstLine="0" w:firstLineChars="0"/>
                    <w:jc w:val="both"/>
                    <w:textAlignment w:val="auto"/>
                    <w:rPr>
                      <w:rFonts w:ascii="Times New Roman" w:hAnsi="Times New Roman" w:eastAsia="宋体"/>
                      <w:color w:val="auto"/>
                    </w:rPr>
                  </w:pPr>
                  <w:r>
                    <w:rPr>
                      <w:rFonts w:ascii="Times New Roman" w:hAnsi="Times New Roman" w:eastAsia="宋体"/>
                      <w:color w:val="auto"/>
                    </w:rPr>
                    <w:t>本项目</w:t>
                  </w:r>
                  <w:r>
                    <w:rPr>
                      <w:rFonts w:hint="eastAsia" w:ascii="Times New Roman" w:hAnsi="Times New Roman" w:eastAsia="宋体"/>
                      <w:color w:val="auto"/>
                    </w:rPr>
                    <w:t>选址于涟水县</w:t>
                  </w:r>
                  <w:r>
                    <w:rPr>
                      <w:rFonts w:hint="eastAsia" w:ascii="Times New Roman" w:hAnsi="Times New Roman" w:eastAsia="宋体"/>
                      <w:color w:val="auto"/>
                      <w:lang w:val="en-US" w:eastAsia="zh-CN"/>
                    </w:rPr>
                    <w:t>经济开发区</w:t>
                  </w:r>
                  <w:r>
                    <w:rPr>
                      <w:rFonts w:hint="eastAsia"/>
                      <w:color w:val="auto"/>
                      <w:lang w:val="en-US" w:eastAsia="zh-CN"/>
                    </w:rPr>
                    <w:t>淮浦北路东侧、兴隆路南侧</w:t>
                  </w:r>
                  <w:r>
                    <w:rPr>
                      <w:rFonts w:hint="eastAsia" w:ascii="Times New Roman" w:hAnsi="Times New Roman" w:eastAsia="宋体"/>
                      <w:color w:val="auto"/>
                    </w:rPr>
                    <w:t>，</w:t>
                  </w:r>
                  <w:r>
                    <w:rPr>
                      <w:rFonts w:ascii="Times New Roman" w:hAnsi="Times New Roman" w:eastAsia="宋体"/>
                      <w:color w:val="auto"/>
                    </w:rPr>
                    <w:t>所在地不属于用地供需矛盾特别突出地区；项目占地面积为</w:t>
                  </w:r>
                  <w:r>
                    <w:rPr>
                      <w:rFonts w:hint="eastAsia"/>
                      <w:color w:val="auto"/>
                      <w:lang w:val="en-US" w:eastAsia="zh-CN"/>
                    </w:rPr>
                    <w:t>7000</w:t>
                  </w:r>
                  <w:r>
                    <w:rPr>
                      <w:rFonts w:ascii="Times New Roman" w:hAnsi="Times New Roman" w:eastAsia="宋体"/>
                      <w:color w:val="auto"/>
                    </w:rPr>
                    <w:t>m</w:t>
                  </w:r>
                  <w:r>
                    <w:rPr>
                      <w:rFonts w:ascii="Times New Roman" w:hAnsi="Times New Roman" w:eastAsia="宋体"/>
                      <w:color w:val="auto"/>
                      <w:vertAlign w:val="superscript"/>
                    </w:rPr>
                    <w:t>2</w:t>
                  </w:r>
                  <w:r>
                    <w:rPr>
                      <w:rFonts w:ascii="Times New Roman" w:hAnsi="Times New Roman" w:eastAsia="宋体"/>
                      <w:color w:val="auto"/>
                    </w:rPr>
                    <w:t>，</w:t>
                  </w:r>
                  <w:r>
                    <w:rPr>
                      <w:rFonts w:hint="eastAsia"/>
                      <w:color w:val="auto"/>
                      <w:lang w:val="en-US" w:eastAsia="zh-CN"/>
                    </w:rPr>
                    <w:t>租赁生产</w:t>
                  </w:r>
                  <w:r>
                    <w:rPr>
                      <w:rFonts w:hint="eastAsia" w:ascii="Times New Roman" w:hAnsi="Times New Roman" w:eastAsia="宋体"/>
                      <w:color w:val="auto"/>
                      <w:lang w:val="en-US" w:eastAsia="zh-CN"/>
                    </w:rPr>
                    <w:t>总建筑物面积约</w:t>
                  </w:r>
                  <w:r>
                    <w:rPr>
                      <w:rFonts w:hint="eastAsia"/>
                      <w:color w:val="auto"/>
                      <w:lang w:val="en-US" w:eastAsia="zh-CN"/>
                    </w:rPr>
                    <w:t>6451</w:t>
                  </w:r>
                  <w:r>
                    <w:rPr>
                      <w:rFonts w:ascii="Times New Roman" w:hAnsi="Times New Roman" w:eastAsia="宋体"/>
                      <w:color w:val="auto"/>
                    </w:rPr>
                    <w:t>m</w:t>
                  </w:r>
                  <w:r>
                    <w:rPr>
                      <w:rFonts w:ascii="Times New Roman" w:hAnsi="Times New Roman" w:eastAsia="宋体"/>
                      <w:color w:val="auto"/>
                      <w:vertAlign w:val="superscript"/>
                    </w:rPr>
                    <w:t>2</w:t>
                  </w:r>
                  <w:r>
                    <w:rPr>
                      <w:rFonts w:hint="eastAsia" w:ascii="Times New Roman" w:hAnsi="Times New Roman" w:eastAsia="宋体"/>
                      <w:color w:val="auto"/>
                    </w:rPr>
                    <w:t>，</w:t>
                  </w:r>
                  <w:r>
                    <w:rPr>
                      <w:rFonts w:hint="eastAsia"/>
                      <w:color w:val="auto"/>
                      <w:lang w:val="en-US" w:eastAsia="zh-CN"/>
                    </w:rPr>
                    <w:t>用地性质为工业用地，</w:t>
                  </w:r>
                  <w:r>
                    <w:rPr>
                      <w:rFonts w:hint="eastAsia" w:ascii="Times New Roman" w:hAnsi="Times New Roman" w:eastAsia="宋体"/>
                      <w:color w:val="auto"/>
                    </w:rPr>
                    <w:t>不涉及农耕用地</w:t>
                  </w:r>
                  <w:r>
                    <w:rPr>
                      <w:rFonts w:ascii="Times New Roman" w:hAnsi="Times New Roman" w:eastAsia="宋体"/>
                      <w:color w:val="auto"/>
                    </w:rPr>
                    <w:t>。</w:t>
                  </w:r>
                </w:p>
              </w:tc>
              <w:tc>
                <w:tcPr>
                  <w:tcW w:w="692" w:type="pct"/>
                  <w:noWrap w:val="0"/>
                  <w:vAlign w:val="center"/>
                </w:tcPr>
                <w:p w14:paraId="5D22F1F4">
                  <w:pPr>
                    <w:keepNext w:val="0"/>
                    <w:keepLines w:val="0"/>
                    <w:pageBreakBefore w:val="0"/>
                    <w:widowControl w:val="0"/>
                    <w:kinsoku/>
                    <w:wordWrap/>
                    <w:overflowPunct/>
                    <w:topLinePunct w:val="0"/>
                    <w:bidi w:val="0"/>
                    <w:ind w:firstLine="0" w:firstLineChars="0"/>
                    <w:jc w:val="center"/>
                    <w:textAlignment w:val="auto"/>
                    <w:rPr>
                      <w:rFonts w:ascii="Times New Roman" w:hAnsi="Times New Roman" w:eastAsia="宋体"/>
                      <w:color w:val="auto"/>
                    </w:rPr>
                  </w:pPr>
                  <w:r>
                    <w:rPr>
                      <w:rFonts w:ascii="Times New Roman" w:hAnsi="Times New Roman" w:eastAsia="宋体"/>
                      <w:color w:val="auto"/>
                    </w:rPr>
                    <w:t>是</w:t>
                  </w:r>
                </w:p>
              </w:tc>
            </w:tr>
          </w:tbl>
          <w:p w14:paraId="6E006FB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rFonts w:hint="eastAsia"/>
                <w:color w:val="auto"/>
                <w:sz w:val="24"/>
              </w:rPr>
              <w:t>由上表分析可知，本项目符合资源利用上线要求。</w:t>
            </w:r>
          </w:p>
          <w:p w14:paraId="6B97953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rFonts w:hint="eastAsia"/>
                <w:color w:val="auto"/>
                <w:sz w:val="24"/>
              </w:rPr>
              <w:t>（4）环境准入负面清单</w:t>
            </w:r>
          </w:p>
          <w:p w14:paraId="1894FCC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rFonts w:hint="eastAsia"/>
                <w:color w:val="auto"/>
                <w:sz w:val="24"/>
              </w:rPr>
              <w:t>①本次环评对照国家及地方产业政策和《市场准入负面清单（2022年版）》进行说明，具体见</w:t>
            </w:r>
            <w:r>
              <w:rPr>
                <w:rFonts w:hint="eastAsia"/>
                <w:color w:val="auto"/>
                <w:sz w:val="24"/>
                <w:lang w:val="en-US" w:eastAsia="zh-CN"/>
              </w:rPr>
              <w:t>下表</w:t>
            </w:r>
            <w:r>
              <w:rPr>
                <w:rFonts w:hint="eastAsia"/>
                <w:color w:val="auto"/>
                <w:sz w:val="24"/>
              </w:rPr>
              <w:t>。</w:t>
            </w:r>
          </w:p>
          <w:p w14:paraId="13B674B2">
            <w:pPr>
              <w:pStyle w:val="2"/>
              <w:spacing w:line="240" w:lineRule="auto"/>
              <w:ind w:left="105" w:leftChars="50"/>
              <w:jc w:val="center"/>
              <w:rPr>
                <w:b/>
                <w:bCs/>
                <w:color w:val="auto"/>
                <w:sz w:val="21"/>
                <w:szCs w:val="21"/>
              </w:rPr>
            </w:pPr>
            <w:r>
              <w:rPr>
                <w:rFonts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eastAsia="zh-CN"/>
              </w:rPr>
              <w:t xml:space="preserve">9  </w:t>
            </w:r>
            <w:r>
              <w:rPr>
                <w:rFonts w:ascii="Times New Roman" w:hAnsi="Times New Roman" w:cs="Times New Roman"/>
                <w:b/>
                <w:bCs/>
                <w:color w:val="auto"/>
                <w:sz w:val="21"/>
                <w:szCs w:val="21"/>
              </w:rPr>
              <w:t>区域环境准入负面清单</w:t>
            </w:r>
          </w:p>
          <w:tbl>
            <w:tblPr>
              <w:tblStyle w:val="23"/>
              <w:tblW w:w="769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24"/>
              <w:gridCol w:w="3706"/>
              <w:gridCol w:w="3010"/>
              <w:gridCol w:w="558"/>
            </w:tblGrid>
            <w:tr w14:paraId="4338C3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6" w:hRule="atLeast"/>
              </w:trPr>
              <w:tc>
                <w:tcPr>
                  <w:tcW w:w="424" w:type="dxa"/>
                  <w:noWrap w:val="0"/>
                  <w:vAlign w:val="center"/>
                </w:tcPr>
                <w:p w14:paraId="0056F225">
                  <w:pPr>
                    <w:pStyle w:val="6"/>
                    <w:spacing w:after="0" w:line="280" w:lineRule="exact"/>
                    <w:ind w:left="0" w:leftChars="0" w:firstLine="0" w:firstLineChars="0"/>
                    <w:jc w:val="center"/>
                    <w:rPr>
                      <w:color w:val="auto"/>
                      <w:sz w:val="21"/>
                    </w:rPr>
                  </w:pPr>
                  <w:r>
                    <w:rPr>
                      <w:rFonts w:hint="eastAsia"/>
                      <w:color w:val="auto"/>
                      <w:sz w:val="21"/>
                    </w:rPr>
                    <w:t>序号</w:t>
                  </w:r>
                </w:p>
              </w:tc>
              <w:tc>
                <w:tcPr>
                  <w:tcW w:w="3706" w:type="dxa"/>
                  <w:noWrap w:val="0"/>
                  <w:vAlign w:val="center"/>
                </w:tcPr>
                <w:p w14:paraId="5D428972">
                  <w:pPr>
                    <w:pStyle w:val="6"/>
                    <w:spacing w:after="0" w:line="280" w:lineRule="exact"/>
                    <w:ind w:left="0" w:leftChars="0" w:firstLine="0" w:firstLineChars="0"/>
                    <w:jc w:val="center"/>
                    <w:rPr>
                      <w:color w:val="auto"/>
                      <w:sz w:val="21"/>
                    </w:rPr>
                  </w:pPr>
                  <w:r>
                    <w:rPr>
                      <w:rFonts w:hint="eastAsia"/>
                      <w:color w:val="auto"/>
                      <w:sz w:val="21"/>
                    </w:rPr>
                    <w:t>文件名称</w:t>
                  </w:r>
                </w:p>
              </w:tc>
              <w:tc>
                <w:tcPr>
                  <w:tcW w:w="3010" w:type="dxa"/>
                  <w:noWrap w:val="0"/>
                  <w:vAlign w:val="center"/>
                </w:tcPr>
                <w:p w14:paraId="2BA747C3">
                  <w:pPr>
                    <w:pStyle w:val="6"/>
                    <w:spacing w:after="0" w:line="280" w:lineRule="exact"/>
                    <w:ind w:left="0" w:leftChars="0" w:firstLine="0" w:firstLineChars="0"/>
                    <w:jc w:val="center"/>
                    <w:rPr>
                      <w:color w:val="auto"/>
                      <w:sz w:val="21"/>
                    </w:rPr>
                  </w:pPr>
                  <w:r>
                    <w:rPr>
                      <w:rFonts w:hint="eastAsia"/>
                      <w:color w:val="auto"/>
                      <w:sz w:val="21"/>
                    </w:rPr>
                    <w:t>相符性分析</w:t>
                  </w:r>
                </w:p>
              </w:tc>
              <w:tc>
                <w:tcPr>
                  <w:tcW w:w="558" w:type="dxa"/>
                  <w:noWrap w:val="0"/>
                  <w:vAlign w:val="center"/>
                </w:tcPr>
                <w:p w14:paraId="0BCA627E">
                  <w:pPr>
                    <w:pStyle w:val="6"/>
                    <w:spacing w:after="0" w:line="280" w:lineRule="exact"/>
                    <w:ind w:left="0" w:leftChars="0" w:firstLine="0" w:firstLineChars="0"/>
                    <w:jc w:val="center"/>
                    <w:rPr>
                      <w:color w:val="auto"/>
                      <w:sz w:val="21"/>
                    </w:rPr>
                  </w:pPr>
                  <w:r>
                    <w:rPr>
                      <w:rFonts w:hint="eastAsia"/>
                      <w:color w:val="auto"/>
                      <w:sz w:val="21"/>
                    </w:rPr>
                    <w:t>是否符合</w:t>
                  </w:r>
                </w:p>
              </w:tc>
            </w:tr>
            <w:tr w14:paraId="482921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424" w:type="dxa"/>
                  <w:noWrap w:val="0"/>
                  <w:vAlign w:val="center"/>
                </w:tcPr>
                <w:p w14:paraId="2D17ECE7">
                  <w:pPr>
                    <w:pStyle w:val="6"/>
                    <w:spacing w:after="0" w:line="280" w:lineRule="exact"/>
                    <w:ind w:left="0" w:leftChars="0" w:firstLine="0" w:firstLineChars="0"/>
                    <w:jc w:val="center"/>
                    <w:rPr>
                      <w:color w:val="auto"/>
                      <w:sz w:val="21"/>
                    </w:rPr>
                  </w:pPr>
                  <w:r>
                    <w:rPr>
                      <w:rFonts w:hint="eastAsia"/>
                      <w:color w:val="auto"/>
                      <w:sz w:val="21"/>
                    </w:rPr>
                    <w:t>1</w:t>
                  </w:r>
                </w:p>
              </w:tc>
              <w:tc>
                <w:tcPr>
                  <w:tcW w:w="3706" w:type="dxa"/>
                  <w:noWrap w:val="0"/>
                  <w:vAlign w:val="center"/>
                </w:tcPr>
                <w:p w14:paraId="40368D2E">
                  <w:pPr>
                    <w:pStyle w:val="6"/>
                    <w:spacing w:after="0" w:line="280" w:lineRule="exact"/>
                    <w:ind w:left="0" w:leftChars="0" w:firstLine="0" w:firstLineChars="0"/>
                    <w:rPr>
                      <w:color w:val="auto"/>
                      <w:sz w:val="21"/>
                    </w:rPr>
                  </w:pPr>
                  <w:r>
                    <w:rPr>
                      <w:rFonts w:hint="eastAsia"/>
                      <w:color w:val="auto"/>
                      <w:sz w:val="21"/>
                    </w:rPr>
                    <w:t>《市场准入负面清单（2022年本）》</w:t>
                  </w:r>
                </w:p>
              </w:tc>
              <w:tc>
                <w:tcPr>
                  <w:tcW w:w="3010" w:type="dxa"/>
                  <w:noWrap w:val="0"/>
                  <w:vAlign w:val="center"/>
                </w:tcPr>
                <w:p w14:paraId="07699335">
                  <w:pPr>
                    <w:pStyle w:val="6"/>
                    <w:spacing w:after="0" w:line="280" w:lineRule="exact"/>
                    <w:ind w:left="0" w:leftChars="0" w:firstLine="0" w:firstLineChars="0"/>
                    <w:rPr>
                      <w:color w:val="auto"/>
                      <w:sz w:val="21"/>
                    </w:rPr>
                  </w:pPr>
                  <w:r>
                    <w:rPr>
                      <w:rFonts w:hint="eastAsia"/>
                      <w:color w:val="auto"/>
                      <w:sz w:val="21"/>
                    </w:rPr>
                    <w:t>本项目不属于市场禁止准入事项</w:t>
                  </w:r>
                </w:p>
              </w:tc>
              <w:tc>
                <w:tcPr>
                  <w:tcW w:w="558" w:type="dxa"/>
                  <w:noWrap w:val="0"/>
                  <w:vAlign w:val="center"/>
                </w:tcPr>
                <w:p w14:paraId="73B02815">
                  <w:pPr>
                    <w:pStyle w:val="6"/>
                    <w:spacing w:after="0" w:line="280" w:lineRule="exact"/>
                    <w:ind w:left="0" w:leftChars="0" w:firstLine="0" w:firstLineChars="0"/>
                    <w:jc w:val="center"/>
                    <w:rPr>
                      <w:color w:val="auto"/>
                      <w:sz w:val="21"/>
                    </w:rPr>
                  </w:pPr>
                  <w:r>
                    <w:rPr>
                      <w:rFonts w:hint="eastAsia"/>
                      <w:color w:val="auto"/>
                      <w:sz w:val="21"/>
                    </w:rPr>
                    <w:t>符合</w:t>
                  </w:r>
                </w:p>
              </w:tc>
            </w:tr>
            <w:tr w14:paraId="48F822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424" w:type="dxa"/>
                  <w:noWrap w:val="0"/>
                  <w:vAlign w:val="center"/>
                </w:tcPr>
                <w:p w14:paraId="492651A9">
                  <w:pPr>
                    <w:pStyle w:val="6"/>
                    <w:spacing w:after="0" w:line="280" w:lineRule="exact"/>
                    <w:ind w:left="0" w:leftChars="0" w:firstLine="0" w:firstLineChars="0"/>
                    <w:jc w:val="center"/>
                    <w:rPr>
                      <w:color w:val="auto"/>
                      <w:sz w:val="21"/>
                    </w:rPr>
                  </w:pPr>
                  <w:r>
                    <w:rPr>
                      <w:rFonts w:hint="eastAsia"/>
                      <w:color w:val="auto"/>
                      <w:sz w:val="21"/>
                    </w:rPr>
                    <w:t>2</w:t>
                  </w:r>
                </w:p>
              </w:tc>
              <w:tc>
                <w:tcPr>
                  <w:tcW w:w="3706" w:type="dxa"/>
                  <w:noWrap w:val="0"/>
                  <w:vAlign w:val="center"/>
                </w:tcPr>
                <w:p w14:paraId="0CBA22FF">
                  <w:pPr>
                    <w:pStyle w:val="6"/>
                    <w:spacing w:after="0" w:line="280" w:lineRule="exact"/>
                    <w:ind w:left="0" w:leftChars="0" w:firstLine="0" w:firstLineChars="0"/>
                    <w:rPr>
                      <w:color w:val="auto"/>
                      <w:sz w:val="21"/>
                    </w:rPr>
                  </w:pPr>
                  <w:r>
                    <w:rPr>
                      <w:rFonts w:hint="eastAsia"/>
                      <w:color w:val="auto"/>
                      <w:sz w:val="21"/>
                    </w:rPr>
                    <w:t>《产业结构调整指导目录（20</w:t>
                  </w:r>
                  <w:r>
                    <w:rPr>
                      <w:rFonts w:hint="eastAsia"/>
                      <w:color w:val="auto"/>
                      <w:sz w:val="21"/>
                      <w:lang w:val="en-US" w:eastAsia="zh-CN"/>
                    </w:rPr>
                    <w:t>24</w:t>
                  </w:r>
                  <w:r>
                    <w:rPr>
                      <w:rFonts w:hint="eastAsia"/>
                      <w:color w:val="auto"/>
                      <w:sz w:val="21"/>
                    </w:rPr>
                    <w:t>年本</w:t>
                  </w:r>
                  <w:r>
                    <w:rPr>
                      <w:rFonts w:hint="eastAsia"/>
                      <w:color w:val="auto"/>
                      <w:sz w:val="21"/>
                      <w:lang w:eastAsia="zh-CN"/>
                    </w:rPr>
                    <w:t>）</w:t>
                  </w:r>
                  <w:r>
                    <w:rPr>
                      <w:rFonts w:hint="eastAsia"/>
                      <w:color w:val="auto"/>
                      <w:sz w:val="21"/>
                    </w:rPr>
                    <w:t>》</w:t>
                  </w:r>
                </w:p>
              </w:tc>
              <w:tc>
                <w:tcPr>
                  <w:tcW w:w="3010" w:type="dxa"/>
                  <w:noWrap w:val="0"/>
                  <w:vAlign w:val="center"/>
                </w:tcPr>
                <w:p w14:paraId="0EF4FF19">
                  <w:pPr>
                    <w:pStyle w:val="6"/>
                    <w:spacing w:after="0" w:line="280" w:lineRule="exact"/>
                    <w:ind w:left="0" w:leftChars="0" w:firstLine="0" w:firstLineChars="0"/>
                    <w:rPr>
                      <w:rFonts w:hint="default" w:eastAsia="宋体"/>
                      <w:color w:val="auto"/>
                      <w:sz w:val="21"/>
                      <w:lang w:val="en-US" w:eastAsia="zh-CN"/>
                    </w:rPr>
                  </w:pPr>
                  <w:r>
                    <w:rPr>
                      <w:rFonts w:hint="eastAsia"/>
                      <w:color w:val="auto"/>
                      <w:sz w:val="21"/>
                    </w:rPr>
                    <w:t>不属于限制类、淘汰类</w:t>
                  </w:r>
                  <w:r>
                    <w:rPr>
                      <w:rFonts w:hint="eastAsia"/>
                      <w:color w:val="auto"/>
                      <w:sz w:val="21"/>
                      <w:lang w:eastAsia="zh-CN"/>
                    </w:rPr>
                    <w:t>、</w:t>
                  </w:r>
                  <w:r>
                    <w:rPr>
                      <w:rFonts w:hint="eastAsia"/>
                      <w:color w:val="auto"/>
                      <w:sz w:val="21"/>
                      <w:lang w:val="en-US" w:eastAsia="zh-CN"/>
                    </w:rPr>
                    <w:t>鼓励类</w:t>
                  </w:r>
                  <w:r>
                    <w:rPr>
                      <w:rFonts w:hint="eastAsia"/>
                      <w:color w:val="auto"/>
                      <w:sz w:val="21"/>
                    </w:rPr>
                    <w:t>项目</w:t>
                  </w:r>
                  <w:r>
                    <w:rPr>
                      <w:rFonts w:hint="eastAsia"/>
                      <w:color w:val="auto"/>
                      <w:sz w:val="21"/>
                      <w:lang w:eastAsia="zh-CN"/>
                    </w:rPr>
                    <w:t>，</w:t>
                  </w:r>
                  <w:r>
                    <w:rPr>
                      <w:rFonts w:hint="eastAsia"/>
                      <w:color w:val="auto"/>
                      <w:sz w:val="21"/>
                      <w:lang w:val="en-US" w:eastAsia="zh-CN"/>
                    </w:rPr>
                    <w:t>属于允许类项目</w:t>
                  </w:r>
                </w:p>
              </w:tc>
              <w:tc>
                <w:tcPr>
                  <w:tcW w:w="558" w:type="dxa"/>
                  <w:noWrap w:val="0"/>
                  <w:vAlign w:val="center"/>
                </w:tcPr>
                <w:p w14:paraId="087CCF7B">
                  <w:pPr>
                    <w:pStyle w:val="6"/>
                    <w:spacing w:after="0" w:line="280" w:lineRule="exact"/>
                    <w:ind w:left="0" w:leftChars="0" w:firstLine="0" w:firstLineChars="0"/>
                    <w:jc w:val="center"/>
                    <w:rPr>
                      <w:color w:val="auto"/>
                      <w:sz w:val="21"/>
                    </w:rPr>
                  </w:pPr>
                  <w:r>
                    <w:rPr>
                      <w:rFonts w:hint="eastAsia"/>
                      <w:color w:val="auto"/>
                      <w:sz w:val="21"/>
                    </w:rPr>
                    <w:t>符合</w:t>
                  </w:r>
                </w:p>
              </w:tc>
            </w:tr>
            <w:tr w14:paraId="3EB0EB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424" w:type="dxa"/>
                  <w:noWrap w:val="0"/>
                  <w:vAlign w:val="center"/>
                </w:tcPr>
                <w:p w14:paraId="54701B97">
                  <w:pPr>
                    <w:pStyle w:val="6"/>
                    <w:spacing w:after="0" w:line="280" w:lineRule="exact"/>
                    <w:ind w:left="0" w:leftChars="0" w:firstLine="0" w:firstLineChars="0"/>
                    <w:jc w:val="center"/>
                    <w:rPr>
                      <w:rFonts w:hint="eastAsia" w:eastAsia="宋体"/>
                      <w:color w:val="auto"/>
                      <w:sz w:val="21"/>
                      <w:lang w:eastAsia="zh-CN"/>
                    </w:rPr>
                  </w:pPr>
                  <w:r>
                    <w:rPr>
                      <w:rFonts w:hint="eastAsia"/>
                      <w:color w:val="auto"/>
                      <w:sz w:val="21"/>
                      <w:lang w:val="en-US" w:eastAsia="zh-CN"/>
                    </w:rPr>
                    <w:t>3</w:t>
                  </w:r>
                </w:p>
              </w:tc>
              <w:tc>
                <w:tcPr>
                  <w:tcW w:w="3706" w:type="dxa"/>
                  <w:noWrap w:val="0"/>
                  <w:vAlign w:val="center"/>
                </w:tcPr>
                <w:p w14:paraId="0A9A55B4">
                  <w:pPr>
                    <w:pStyle w:val="6"/>
                    <w:spacing w:after="0" w:line="280" w:lineRule="exact"/>
                    <w:ind w:left="0" w:leftChars="0" w:firstLine="0" w:firstLineChars="0"/>
                    <w:rPr>
                      <w:color w:val="auto"/>
                      <w:sz w:val="21"/>
                    </w:rPr>
                  </w:pPr>
                  <w:r>
                    <w:rPr>
                      <w:rFonts w:hint="eastAsia"/>
                      <w:color w:val="auto"/>
                      <w:sz w:val="21"/>
                    </w:rPr>
                    <w:t>《限制用地项目目录（2012年本）》《禁止用地项目目录（2012年本）》</w:t>
                  </w:r>
                </w:p>
              </w:tc>
              <w:tc>
                <w:tcPr>
                  <w:tcW w:w="3010" w:type="dxa"/>
                  <w:noWrap w:val="0"/>
                  <w:vAlign w:val="center"/>
                </w:tcPr>
                <w:p w14:paraId="3AACDF8C">
                  <w:pPr>
                    <w:pStyle w:val="6"/>
                    <w:spacing w:after="0" w:line="280" w:lineRule="exact"/>
                    <w:ind w:left="0" w:leftChars="0" w:firstLine="0" w:firstLineChars="0"/>
                    <w:rPr>
                      <w:color w:val="auto"/>
                      <w:sz w:val="21"/>
                    </w:rPr>
                  </w:pPr>
                  <w:r>
                    <w:rPr>
                      <w:rFonts w:hint="eastAsia"/>
                      <w:color w:val="auto"/>
                      <w:sz w:val="21"/>
                    </w:rPr>
                    <w:t>不属于限制、禁止用地项目</w:t>
                  </w:r>
                </w:p>
              </w:tc>
              <w:tc>
                <w:tcPr>
                  <w:tcW w:w="558" w:type="dxa"/>
                  <w:noWrap w:val="0"/>
                  <w:vAlign w:val="center"/>
                </w:tcPr>
                <w:p w14:paraId="45206A7B">
                  <w:pPr>
                    <w:pStyle w:val="6"/>
                    <w:spacing w:after="0" w:line="280" w:lineRule="exact"/>
                    <w:ind w:left="0" w:leftChars="0" w:firstLine="0" w:firstLineChars="0"/>
                    <w:jc w:val="center"/>
                    <w:rPr>
                      <w:color w:val="auto"/>
                      <w:sz w:val="21"/>
                    </w:rPr>
                  </w:pPr>
                  <w:r>
                    <w:rPr>
                      <w:rFonts w:hint="eastAsia"/>
                      <w:color w:val="auto"/>
                      <w:sz w:val="21"/>
                    </w:rPr>
                    <w:t>符合</w:t>
                  </w:r>
                </w:p>
              </w:tc>
            </w:tr>
            <w:tr w14:paraId="623C8F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424" w:type="dxa"/>
                  <w:noWrap w:val="0"/>
                  <w:vAlign w:val="center"/>
                </w:tcPr>
                <w:p w14:paraId="73C62D2D">
                  <w:pPr>
                    <w:pStyle w:val="6"/>
                    <w:spacing w:after="0" w:line="280" w:lineRule="exact"/>
                    <w:ind w:left="0" w:leftChars="0" w:firstLine="0" w:firstLineChars="0"/>
                    <w:jc w:val="center"/>
                    <w:rPr>
                      <w:rFonts w:hint="eastAsia" w:eastAsia="宋体"/>
                      <w:color w:val="auto"/>
                      <w:sz w:val="21"/>
                      <w:lang w:eastAsia="zh-CN"/>
                    </w:rPr>
                  </w:pPr>
                  <w:r>
                    <w:rPr>
                      <w:rFonts w:hint="eastAsia"/>
                      <w:color w:val="auto"/>
                      <w:sz w:val="21"/>
                      <w:lang w:val="en-US" w:eastAsia="zh-CN"/>
                    </w:rPr>
                    <w:t>4</w:t>
                  </w:r>
                </w:p>
              </w:tc>
              <w:tc>
                <w:tcPr>
                  <w:tcW w:w="3706" w:type="dxa"/>
                  <w:noWrap w:val="0"/>
                  <w:vAlign w:val="center"/>
                </w:tcPr>
                <w:p w14:paraId="5E8DBBDE">
                  <w:pPr>
                    <w:pStyle w:val="6"/>
                    <w:spacing w:after="0" w:line="280" w:lineRule="exact"/>
                    <w:ind w:left="0" w:leftChars="0" w:firstLine="0" w:firstLineChars="0"/>
                    <w:rPr>
                      <w:color w:val="auto"/>
                      <w:sz w:val="21"/>
                    </w:rPr>
                  </w:pPr>
                  <w:r>
                    <w:rPr>
                      <w:rFonts w:hint="eastAsia"/>
                      <w:color w:val="auto"/>
                      <w:sz w:val="21"/>
                    </w:rPr>
                    <w:t>《江苏省限制用地项目目录</w:t>
                  </w:r>
                  <w:r>
                    <w:rPr>
                      <w:rFonts w:hint="eastAsia"/>
                      <w:color w:val="auto"/>
                      <w:sz w:val="21"/>
                      <w:lang w:eastAsia="zh-CN"/>
                    </w:rPr>
                    <w:t>（</w:t>
                  </w:r>
                  <w:r>
                    <w:rPr>
                      <w:rFonts w:hint="eastAsia"/>
                      <w:color w:val="auto"/>
                      <w:sz w:val="21"/>
                    </w:rPr>
                    <w:t>2013年本</w:t>
                  </w:r>
                  <w:r>
                    <w:rPr>
                      <w:rFonts w:hint="eastAsia"/>
                      <w:color w:val="auto"/>
                      <w:sz w:val="21"/>
                      <w:lang w:eastAsia="zh-CN"/>
                    </w:rPr>
                    <w:t>）</w:t>
                  </w:r>
                  <w:r>
                    <w:rPr>
                      <w:rFonts w:hint="eastAsia"/>
                      <w:color w:val="auto"/>
                      <w:sz w:val="21"/>
                    </w:rPr>
                    <w:t>》《江苏省禁止用地项目目录</w:t>
                  </w:r>
                  <w:r>
                    <w:rPr>
                      <w:rFonts w:hint="eastAsia"/>
                      <w:color w:val="auto"/>
                      <w:sz w:val="21"/>
                      <w:lang w:eastAsia="zh-CN"/>
                    </w:rPr>
                    <w:t>（</w:t>
                  </w:r>
                  <w:r>
                    <w:rPr>
                      <w:rFonts w:hint="eastAsia"/>
                      <w:color w:val="auto"/>
                      <w:sz w:val="21"/>
                    </w:rPr>
                    <w:t>2013年本</w:t>
                  </w:r>
                  <w:r>
                    <w:rPr>
                      <w:rFonts w:hint="eastAsia"/>
                      <w:color w:val="auto"/>
                      <w:sz w:val="21"/>
                      <w:lang w:eastAsia="zh-CN"/>
                    </w:rPr>
                    <w:t>）</w:t>
                  </w:r>
                  <w:r>
                    <w:rPr>
                      <w:rFonts w:hint="eastAsia"/>
                      <w:color w:val="auto"/>
                      <w:sz w:val="21"/>
                    </w:rPr>
                    <w:t>》</w:t>
                  </w:r>
                </w:p>
              </w:tc>
              <w:tc>
                <w:tcPr>
                  <w:tcW w:w="3010" w:type="dxa"/>
                  <w:noWrap w:val="0"/>
                  <w:vAlign w:val="center"/>
                </w:tcPr>
                <w:p w14:paraId="76A3EB9A">
                  <w:pPr>
                    <w:pStyle w:val="6"/>
                    <w:spacing w:after="0" w:line="280" w:lineRule="exact"/>
                    <w:ind w:left="0" w:leftChars="0" w:firstLine="0" w:firstLineChars="0"/>
                    <w:rPr>
                      <w:color w:val="auto"/>
                      <w:sz w:val="21"/>
                    </w:rPr>
                  </w:pPr>
                  <w:r>
                    <w:rPr>
                      <w:rFonts w:hint="eastAsia"/>
                      <w:color w:val="auto"/>
                      <w:sz w:val="21"/>
                    </w:rPr>
                    <w:t>不属于限制、禁止用地项目</w:t>
                  </w:r>
                </w:p>
              </w:tc>
              <w:tc>
                <w:tcPr>
                  <w:tcW w:w="558" w:type="dxa"/>
                  <w:noWrap w:val="0"/>
                  <w:vAlign w:val="center"/>
                </w:tcPr>
                <w:p w14:paraId="6FF859E7">
                  <w:pPr>
                    <w:pStyle w:val="6"/>
                    <w:spacing w:after="0" w:line="280" w:lineRule="exact"/>
                    <w:ind w:left="0" w:leftChars="0" w:firstLine="0" w:firstLineChars="0"/>
                    <w:jc w:val="center"/>
                    <w:rPr>
                      <w:color w:val="auto"/>
                      <w:sz w:val="21"/>
                    </w:rPr>
                  </w:pPr>
                  <w:r>
                    <w:rPr>
                      <w:rFonts w:hint="eastAsia"/>
                      <w:color w:val="auto"/>
                      <w:sz w:val="21"/>
                    </w:rPr>
                    <w:t>符合</w:t>
                  </w:r>
                </w:p>
              </w:tc>
            </w:tr>
            <w:tr w14:paraId="49C8D4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424" w:type="dxa"/>
                  <w:noWrap w:val="0"/>
                  <w:vAlign w:val="center"/>
                </w:tcPr>
                <w:p w14:paraId="3B65F375">
                  <w:pPr>
                    <w:pStyle w:val="6"/>
                    <w:spacing w:after="0" w:line="280" w:lineRule="exact"/>
                    <w:ind w:left="0" w:leftChars="0" w:firstLine="0" w:firstLineChars="0"/>
                    <w:jc w:val="center"/>
                    <w:rPr>
                      <w:rFonts w:hint="eastAsia" w:eastAsia="宋体"/>
                      <w:color w:val="auto"/>
                      <w:sz w:val="21"/>
                      <w:lang w:eastAsia="zh-CN"/>
                    </w:rPr>
                  </w:pPr>
                  <w:r>
                    <w:rPr>
                      <w:rFonts w:hint="eastAsia"/>
                      <w:color w:val="auto"/>
                      <w:sz w:val="21"/>
                      <w:lang w:val="en-US" w:eastAsia="zh-CN"/>
                    </w:rPr>
                    <w:t>5</w:t>
                  </w:r>
                </w:p>
              </w:tc>
              <w:tc>
                <w:tcPr>
                  <w:tcW w:w="3706" w:type="dxa"/>
                  <w:noWrap w:val="0"/>
                  <w:vAlign w:val="center"/>
                </w:tcPr>
                <w:p w14:paraId="2A867BEA">
                  <w:pPr>
                    <w:pStyle w:val="6"/>
                    <w:spacing w:after="0" w:line="280" w:lineRule="exact"/>
                    <w:ind w:left="0" w:leftChars="0" w:firstLine="0" w:firstLineChars="0"/>
                    <w:rPr>
                      <w:color w:val="auto"/>
                      <w:sz w:val="21"/>
                    </w:rPr>
                  </w:pPr>
                  <w:r>
                    <w:rPr>
                      <w:rFonts w:hint="eastAsia"/>
                      <w:color w:val="auto"/>
                      <w:sz w:val="21"/>
                    </w:rPr>
                    <w:t>《环境保护综合名录（2021年版）》</w:t>
                  </w:r>
                </w:p>
              </w:tc>
              <w:tc>
                <w:tcPr>
                  <w:tcW w:w="3010" w:type="dxa"/>
                  <w:noWrap w:val="0"/>
                  <w:vAlign w:val="center"/>
                </w:tcPr>
                <w:p w14:paraId="49C568FE">
                  <w:pPr>
                    <w:pStyle w:val="6"/>
                    <w:spacing w:after="0" w:line="280" w:lineRule="exact"/>
                    <w:ind w:left="0" w:leftChars="0" w:firstLine="0" w:firstLineChars="0"/>
                    <w:rPr>
                      <w:color w:val="auto"/>
                      <w:sz w:val="21"/>
                    </w:rPr>
                  </w:pPr>
                  <w:r>
                    <w:rPr>
                      <w:rFonts w:hint="eastAsia"/>
                      <w:color w:val="auto"/>
                      <w:sz w:val="21"/>
                    </w:rPr>
                    <w:t>不属于高污染、高环境风险产品名录</w:t>
                  </w:r>
                </w:p>
              </w:tc>
              <w:tc>
                <w:tcPr>
                  <w:tcW w:w="558" w:type="dxa"/>
                  <w:noWrap w:val="0"/>
                  <w:vAlign w:val="center"/>
                </w:tcPr>
                <w:p w14:paraId="7C1F4500">
                  <w:pPr>
                    <w:pStyle w:val="6"/>
                    <w:spacing w:after="0" w:line="280" w:lineRule="exact"/>
                    <w:ind w:left="0" w:leftChars="0" w:firstLine="0" w:firstLineChars="0"/>
                    <w:jc w:val="center"/>
                    <w:rPr>
                      <w:color w:val="auto"/>
                      <w:sz w:val="21"/>
                    </w:rPr>
                  </w:pPr>
                  <w:r>
                    <w:rPr>
                      <w:rFonts w:hint="eastAsia"/>
                      <w:color w:val="auto"/>
                      <w:sz w:val="21"/>
                    </w:rPr>
                    <w:t>符合</w:t>
                  </w:r>
                </w:p>
              </w:tc>
            </w:tr>
            <w:tr w14:paraId="607597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424" w:type="dxa"/>
                  <w:noWrap w:val="0"/>
                  <w:vAlign w:val="center"/>
                </w:tcPr>
                <w:p w14:paraId="46D94ECE">
                  <w:pPr>
                    <w:pStyle w:val="6"/>
                    <w:spacing w:after="0" w:line="280" w:lineRule="exact"/>
                    <w:ind w:left="0" w:leftChars="0" w:firstLine="0" w:firstLineChars="0"/>
                    <w:jc w:val="center"/>
                    <w:rPr>
                      <w:rFonts w:hint="eastAsia"/>
                      <w:color w:val="auto"/>
                      <w:sz w:val="21"/>
                      <w:lang w:val="en-US" w:eastAsia="zh-CN"/>
                    </w:rPr>
                  </w:pPr>
                  <w:r>
                    <w:rPr>
                      <w:rFonts w:hint="eastAsia"/>
                      <w:color w:val="auto"/>
                      <w:sz w:val="21"/>
                      <w:lang w:val="en-US" w:eastAsia="zh-CN"/>
                    </w:rPr>
                    <w:t>6</w:t>
                  </w:r>
                </w:p>
              </w:tc>
              <w:tc>
                <w:tcPr>
                  <w:tcW w:w="3706" w:type="dxa"/>
                  <w:noWrap w:val="0"/>
                  <w:vAlign w:val="center"/>
                </w:tcPr>
                <w:p w14:paraId="25EBCA1E">
                  <w:pPr>
                    <w:pStyle w:val="30"/>
                    <w:bidi w:val="0"/>
                    <w:jc w:val="center"/>
                    <w:rPr>
                      <w:rFonts w:hint="eastAsia"/>
                      <w:color w:val="auto"/>
                      <w:sz w:val="21"/>
                    </w:rPr>
                  </w:pPr>
                  <w:r>
                    <w:rPr>
                      <w:rFonts w:hint="default" w:ascii="Times New Roman" w:hAnsi="Times New Roman" w:cs="Times New Roman"/>
                      <w:color w:val="auto"/>
                      <w:sz w:val="21"/>
                    </w:rPr>
                    <w:t>《长江经济带发展负面清单指南（试行，2022年版）》（长江办</w:t>
                  </w:r>
                  <w:r>
                    <w:rPr>
                      <w:rFonts w:hint="eastAsia" w:ascii="Times New Roman" w:cs="Times New Roman"/>
                      <w:color w:val="auto"/>
                      <w:sz w:val="21"/>
                      <w:lang w:eastAsia="zh-CN"/>
                    </w:rPr>
                    <w:t>〔2022〕7号</w:t>
                  </w:r>
                  <w:r>
                    <w:rPr>
                      <w:rFonts w:hint="default" w:ascii="Times New Roman" w:hAnsi="Times New Roman" w:cs="Times New Roman"/>
                      <w:color w:val="auto"/>
                      <w:sz w:val="21"/>
                    </w:rPr>
                    <w:t>）</w:t>
                  </w:r>
                </w:p>
              </w:tc>
              <w:tc>
                <w:tcPr>
                  <w:tcW w:w="3010" w:type="dxa"/>
                  <w:noWrap w:val="0"/>
                  <w:vAlign w:val="center"/>
                </w:tcPr>
                <w:p w14:paraId="74F594E2">
                  <w:pPr>
                    <w:pStyle w:val="30"/>
                    <w:bidi w:val="0"/>
                    <w:jc w:val="center"/>
                    <w:rPr>
                      <w:rFonts w:hint="eastAsia"/>
                      <w:color w:val="auto"/>
                      <w:sz w:val="21"/>
                    </w:rPr>
                  </w:pPr>
                  <w:r>
                    <w:rPr>
                      <w:rFonts w:hint="default" w:ascii="Times New Roman" w:hAnsi="Times New Roman" w:cs="Times New Roman"/>
                      <w:color w:val="auto"/>
                      <w:sz w:val="21"/>
                    </w:rPr>
                    <w:t>不属于负面清单中禁止类项目</w:t>
                  </w:r>
                </w:p>
              </w:tc>
              <w:tc>
                <w:tcPr>
                  <w:tcW w:w="558" w:type="dxa"/>
                  <w:noWrap w:val="0"/>
                  <w:vAlign w:val="center"/>
                </w:tcPr>
                <w:p w14:paraId="7AD93C2F">
                  <w:pPr>
                    <w:pStyle w:val="30"/>
                    <w:bidi w:val="0"/>
                    <w:jc w:val="center"/>
                    <w:rPr>
                      <w:rFonts w:hint="eastAsia"/>
                      <w:color w:val="auto"/>
                      <w:sz w:val="21"/>
                    </w:rPr>
                  </w:pPr>
                  <w:r>
                    <w:rPr>
                      <w:rFonts w:hint="default" w:ascii="Times New Roman" w:hAnsi="Times New Roman" w:cs="Times New Roman"/>
                      <w:color w:val="auto"/>
                      <w:sz w:val="21"/>
                      <w:lang w:val="en-US" w:eastAsia="zh-CN"/>
                    </w:rPr>
                    <w:t>符合</w:t>
                  </w:r>
                </w:p>
              </w:tc>
            </w:tr>
            <w:tr w14:paraId="476D77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424" w:type="dxa"/>
                  <w:noWrap w:val="0"/>
                  <w:vAlign w:val="center"/>
                </w:tcPr>
                <w:p w14:paraId="4B9D135D">
                  <w:pPr>
                    <w:pStyle w:val="6"/>
                    <w:spacing w:after="0" w:line="280" w:lineRule="exact"/>
                    <w:ind w:left="0" w:leftChars="0" w:firstLine="0" w:firstLineChars="0"/>
                    <w:jc w:val="center"/>
                    <w:rPr>
                      <w:rFonts w:hint="eastAsia"/>
                      <w:color w:val="auto"/>
                      <w:sz w:val="21"/>
                      <w:lang w:val="en-US" w:eastAsia="zh-CN"/>
                    </w:rPr>
                  </w:pPr>
                  <w:r>
                    <w:rPr>
                      <w:rFonts w:hint="eastAsia"/>
                      <w:color w:val="auto"/>
                      <w:sz w:val="21"/>
                      <w:lang w:val="en-US" w:eastAsia="zh-CN"/>
                    </w:rPr>
                    <w:t>7</w:t>
                  </w:r>
                </w:p>
              </w:tc>
              <w:tc>
                <w:tcPr>
                  <w:tcW w:w="3706" w:type="dxa"/>
                  <w:noWrap w:val="0"/>
                  <w:vAlign w:val="center"/>
                </w:tcPr>
                <w:p w14:paraId="3ECDB552">
                  <w:pPr>
                    <w:pStyle w:val="30"/>
                    <w:bidi w:val="0"/>
                    <w:jc w:val="center"/>
                    <w:rPr>
                      <w:rFonts w:hint="eastAsia"/>
                      <w:color w:val="auto"/>
                      <w:sz w:val="21"/>
                    </w:rPr>
                  </w:pPr>
                  <w:r>
                    <w:rPr>
                      <w:rFonts w:hint="default" w:ascii="Times New Roman" w:hAnsi="Times New Roman" w:cs="Times New Roman"/>
                      <w:color w:val="auto"/>
                      <w:sz w:val="21"/>
                    </w:rPr>
                    <w:t>《</w:t>
                  </w:r>
                  <w:r>
                    <w:rPr>
                      <w:rFonts w:hint="eastAsia" w:ascii="Times New Roman" w:cs="Times New Roman"/>
                      <w:color w:val="auto"/>
                      <w:sz w:val="21"/>
                      <w:lang w:eastAsia="zh-CN"/>
                    </w:rPr>
                    <w:t>〈</w:t>
                  </w:r>
                  <w:r>
                    <w:rPr>
                      <w:rFonts w:hint="default" w:ascii="Times New Roman" w:hAnsi="Times New Roman" w:cs="Times New Roman"/>
                      <w:color w:val="auto"/>
                      <w:sz w:val="21"/>
                    </w:rPr>
                    <w:t>长江经济带发展负面清单指南（试行，2022年版）</w:t>
                  </w:r>
                  <w:r>
                    <w:rPr>
                      <w:rFonts w:hint="eastAsia" w:ascii="Times New Roman" w:cs="Times New Roman"/>
                      <w:color w:val="auto"/>
                      <w:sz w:val="21"/>
                      <w:lang w:eastAsia="zh-CN"/>
                    </w:rPr>
                    <w:t>〉</w:t>
                  </w:r>
                  <w:r>
                    <w:rPr>
                      <w:rFonts w:hint="default" w:ascii="Times New Roman" w:hAnsi="Times New Roman" w:cs="Times New Roman"/>
                      <w:color w:val="auto"/>
                      <w:sz w:val="21"/>
                    </w:rPr>
                    <w:t>江苏省实施细则》（苏长江办发</w:t>
                  </w:r>
                  <w:r>
                    <w:rPr>
                      <w:rFonts w:hint="eastAsia" w:ascii="Times New Roman" w:cs="Times New Roman"/>
                      <w:color w:val="auto"/>
                      <w:sz w:val="21"/>
                      <w:lang w:eastAsia="zh-CN"/>
                    </w:rPr>
                    <w:t>〔2022〕55号</w:t>
                  </w:r>
                  <w:r>
                    <w:rPr>
                      <w:rFonts w:hint="default" w:ascii="Times New Roman" w:hAnsi="Times New Roman" w:cs="Times New Roman"/>
                      <w:color w:val="auto"/>
                      <w:sz w:val="21"/>
                    </w:rPr>
                    <w:t>）</w:t>
                  </w:r>
                </w:p>
              </w:tc>
              <w:tc>
                <w:tcPr>
                  <w:tcW w:w="3010" w:type="dxa"/>
                  <w:noWrap w:val="0"/>
                  <w:vAlign w:val="center"/>
                </w:tcPr>
                <w:p w14:paraId="1B11B900">
                  <w:pPr>
                    <w:pStyle w:val="30"/>
                    <w:bidi w:val="0"/>
                    <w:jc w:val="center"/>
                    <w:rPr>
                      <w:rFonts w:hint="eastAsia"/>
                      <w:color w:val="auto"/>
                      <w:sz w:val="21"/>
                    </w:rPr>
                  </w:pPr>
                  <w:r>
                    <w:rPr>
                      <w:rFonts w:hint="default" w:ascii="Times New Roman" w:hAnsi="Times New Roman" w:cs="Times New Roman"/>
                      <w:color w:val="auto"/>
                      <w:sz w:val="21"/>
                    </w:rPr>
                    <w:t>不属于负面清单中禁止类项目</w:t>
                  </w:r>
                </w:p>
              </w:tc>
              <w:tc>
                <w:tcPr>
                  <w:tcW w:w="558" w:type="dxa"/>
                  <w:noWrap w:val="0"/>
                  <w:vAlign w:val="center"/>
                </w:tcPr>
                <w:p w14:paraId="34EF3A72">
                  <w:pPr>
                    <w:pStyle w:val="30"/>
                    <w:bidi w:val="0"/>
                    <w:jc w:val="center"/>
                    <w:rPr>
                      <w:rFonts w:hint="eastAsia"/>
                      <w:color w:val="auto"/>
                      <w:sz w:val="21"/>
                    </w:rPr>
                  </w:pPr>
                  <w:r>
                    <w:rPr>
                      <w:rFonts w:hint="default" w:ascii="Times New Roman" w:hAnsi="Times New Roman" w:cs="Times New Roman"/>
                      <w:color w:val="auto"/>
                      <w:sz w:val="21"/>
                      <w:lang w:val="en-US" w:eastAsia="zh-CN"/>
                    </w:rPr>
                    <w:t>符合</w:t>
                  </w:r>
                </w:p>
              </w:tc>
            </w:tr>
          </w:tbl>
          <w:p w14:paraId="0DDF9B8F">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auto"/>
              </w:rPr>
            </w:pPr>
            <w:r>
              <w:rPr>
                <w:rFonts w:hint="eastAsia"/>
                <w:color w:val="auto"/>
              </w:rPr>
              <w:t>②本项目与江苏涟水经济开发区生态环境准入清单的相符性分析见下表。</w:t>
            </w:r>
          </w:p>
          <w:p w14:paraId="50DF382F">
            <w:pPr>
              <w:pStyle w:val="51"/>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p>
          <w:p w14:paraId="578CC622">
            <w:pPr>
              <w:pStyle w:val="51"/>
              <w:keepNext w:val="0"/>
              <w:keepLines w:val="0"/>
              <w:pageBreakBefore w:val="0"/>
              <w:widowControl/>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表1-10  江苏涟水经济开发区生态环境准入清单</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12"/>
              <w:gridCol w:w="413"/>
              <w:gridCol w:w="4214"/>
              <w:gridCol w:w="1980"/>
              <w:gridCol w:w="676"/>
            </w:tblGrid>
            <w:tr w14:paraId="6B0878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tcBorders>
                    <w:tl2br w:val="nil"/>
                    <w:tr2bl w:val="nil"/>
                  </w:tcBorders>
                  <w:vAlign w:val="center"/>
                </w:tcPr>
                <w:p w14:paraId="4184516B">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类别</w:t>
                  </w:r>
                </w:p>
              </w:tc>
              <w:tc>
                <w:tcPr>
                  <w:tcW w:w="2738" w:type="pct"/>
                  <w:tcBorders>
                    <w:tl2br w:val="nil"/>
                    <w:tr2bl w:val="nil"/>
                  </w:tcBorders>
                  <w:vAlign w:val="center"/>
                </w:tcPr>
                <w:p w14:paraId="1FAA2BFB">
                  <w:pPr>
                    <w:pStyle w:val="30"/>
                    <w:bidi w:val="0"/>
                    <w:rPr>
                      <w:rFonts w:hint="eastAsia"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环境准入条件</w:t>
                  </w:r>
                </w:p>
              </w:tc>
              <w:tc>
                <w:tcPr>
                  <w:tcW w:w="1286" w:type="pct"/>
                  <w:tcBorders>
                    <w:tl2br w:val="nil"/>
                    <w:tr2bl w:val="nil"/>
                  </w:tcBorders>
                  <w:vAlign w:val="center"/>
                </w:tcPr>
                <w:p w14:paraId="78FBF996">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项目情况</w:t>
                  </w:r>
                </w:p>
              </w:tc>
              <w:tc>
                <w:tcPr>
                  <w:tcW w:w="439" w:type="pct"/>
                  <w:tcBorders>
                    <w:tl2br w:val="nil"/>
                    <w:tr2bl w:val="nil"/>
                  </w:tcBorders>
                  <w:vAlign w:val="center"/>
                </w:tcPr>
                <w:p w14:paraId="1506660E">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相符性分析</w:t>
                  </w:r>
                </w:p>
              </w:tc>
            </w:tr>
            <w:tr w14:paraId="67AF3B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restart"/>
                  <w:tcBorders>
                    <w:tl2br w:val="nil"/>
                    <w:tr2bl w:val="nil"/>
                  </w:tcBorders>
                  <w:vAlign w:val="center"/>
                </w:tcPr>
                <w:p w14:paraId="245E48E2">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产业准入</w:t>
                  </w:r>
                </w:p>
              </w:tc>
              <w:tc>
                <w:tcPr>
                  <w:tcW w:w="268" w:type="pct"/>
                  <w:tcBorders>
                    <w:tl2br w:val="nil"/>
                    <w:tr2bl w:val="nil"/>
                  </w:tcBorders>
                  <w:vAlign w:val="center"/>
                </w:tcPr>
                <w:p w14:paraId="263DA7FF">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主导产业</w:t>
                  </w:r>
                </w:p>
              </w:tc>
              <w:tc>
                <w:tcPr>
                  <w:tcW w:w="2738" w:type="pct"/>
                  <w:tcBorders>
                    <w:tl2br w:val="nil"/>
                    <w:tr2bl w:val="nil"/>
                  </w:tcBorders>
                  <w:vAlign w:val="center"/>
                </w:tcPr>
                <w:p w14:paraId="7D0F3644">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主要发展装备制造、纺织服装、电子信息、绿色食品4大主导产业。保留符合上一轮规划产业定位的企业</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禁止引进建材、医药等行业企业。</w:t>
                  </w:r>
                </w:p>
              </w:tc>
              <w:tc>
                <w:tcPr>
                  <w:tcW w:w="1286" w:type="pct"/>
                  <w:tcBorders>
                    <w:tl2br w:val="nil"/>
                    <w:tr2bl w:val="nil"/>
                  </w:tcBorders>
                  <w:vAlign w:val="center"/>
                </w:tcPr>
                <w:p w14:paraId="1AEC8B72">
                  <w:pPr>
                    <w:pStyle w:val="30"/>
                    <w:bidi w:val="0"/>
                    <w:jc w:val="both"/>
                    <w:rPr>
                      <w:rFonts w:ascii="Times New Roman" w:hAnsi="Times New Roman" w:eastAsia="宋体"/>
                      <w:color w:val="auto"/>
                      <w:lang w:val="en-US" w:eastAsia="zh-CN"/>
                    </w:rPr>
                  </w:pPr>
                  <w:r>
                    <w:rPr>
                      <w:rFonts w:hint="eastAsia" w:ascii="Times New Roman" w:hAnsi="Times New Roman" w:eastAsia="宋体"/>
                      <w:color w:val="auto"/>
                    </w:rPr>
                    <w:t>本项目</w:t>
                  </w:r>
                  <w:r>
                    <w:rPr>
                      <w:rFonts w:hint="eastAsia" w:ascii="Times New Roman" w:hAnsi="Times New Roman" w:eastAsia="宋体"/>
                      <w:color w:val="auto"/>
                      <w:lang w:val="en-US" w:eastAsia="zh-CN"/>
                    </w:rPr>
                    <w:t>为</w:t>
                  </w:r>
                  <w:r>
                    <w:rPr>
                      <w:rFonts w:hint="eastAsia" w:ascii="Times New Roman"/>
                      <w:color w:val="auto"/>
                      <w:lang w:val="en-US" w:eastAsia="zh-CN"/>
                    </w:rPr>
                    <w:t>江苏鑫宇建材科技有限公司玻璃加工项目</w:t>
                  </w:r>
                  <w:r>
                    <w:rPr>
                      <w:rFonts w:hint="eastAsia" w:ascii="Times New Roman" w:hAnsi="Times New Roman" w:eastAsia="宋体"/>
                      <w:color w:val="auto"/>
                      <w:lang w:eastAsia="zh-CN"/>
                    </w:rPr>
                    <w:t>，</w:t>
                  </w:r>
                  <w:r>
                    <w:rPr>
                      <w:rFonts w:ascii="Times New Roman" w:hAnsi="Times New Roman" w:eastAsia="宋体"/>
                      <w:color w:val="auto"/>
                    </w:rPr>
                    <w:t>属于</w:t>
                  </w:r>
                  <w:r>
                    <w:rPr>
                      <w:rFonts w:hint="eastAsia" w:ascii="Times New Roman"/>
                      <w:color w:val="auto"/>
                      <w:lang w:eastAsia="zh-CN"/>
                    </w:rPr>
                    <w:t>C3042特种玻璃制造</w:t>
                  </w:r>
                  <w:r>
                    <w:rPr>
                      <w:rFonts w:hint="eastAsia" w:ascii="Times New Roman" w:hAnsi="Times New Roman" w:eastAsia="宋体"/>
                      <w:color w:val="auto"/>
                      <w:lang w:eastAsia="zh-CN"/>
                    </w:rPr>
                    <w:t>，</w:t>
                  </w:r>
                  <w:r>
                    <w:rPr>
                      <w:rFonts w:hint="eastAsia" w:ascii="Times New Roman" w:hAnsi="Times New Roman" w:eastAsia="宋体"/>
                      <w:color w:val="auto"/>
                    </w:rPr>
                    <w:t>不属于</w:t>
                  </w:r>
                  <w:r>
                    <w:rPr>
                      <w:rFonts w:hint="eastAsia" w:ascii="Times New Roman" w:hAnsi="Times New Roman" w:eastAsia="宋体"/>
                      <w:color w:val="auto"/>
                      <w:lang w:val="en-US" w:eastAsia="zh-CN"/>
                    </w:rPr>
                    <w:t>园区主导产业</w:t>
                  </w:r>
                  <w:r>
                    <w:rPr>
                      <w:rFonts w:hint="eastAsia" w:ascii="Times New Roman" w:hAnsi="Times New Roman" w:eastAsia="宋体"/>
                      <w:color w:val="auto"/>
                      <w:lang w:eastAsia="zh-CN"/>
                    </w:rPr>
                    <w:t>，</w:t>
                  </w:r>
                  <w:r>
                    <w:rPr>
                      <w:rFonts w:hint="eastAsia" w:ascii="Times New Roman" w:hAnsi="Times New Roman" w:eastAsia="宋体"/>
                      <w:color w:val="auto"/>
                      <w:lang w:val="en-US" w:eastAsia="zh-CN"/>
                    </w:rPr>
                    <w:t>也不属于园区限制引入和禁止引入的产业，</w:t>
                  </w:r>
                  <w:r>
                    <w:rPr>
                      <w:rFonts w:hint="eastAsia" w:ascii="Times New Roman" w:hAnsi="Times New Roman" w:eastAsia="宋体"/>
                      <w:color w:val="auto"/>
                    </w:rPr>
                    <w:t>属于允许</w:t>
                  </w:r>
                  <w:r>
                    <w:rPr>
                      <w:rFonts w:hint="eastAsia" w:ascii="Times New Roman" w:hAnsi="Times New Roman" w:eastAsia="宋体"/>
                      <w:color w:val="auto"/>
                      <w:lang w:val="en-US" w:eastAsia="zh-CN"/>
                    </w:rPr>
                    <w:t>引入</w:t>
                  </w:r>
                  <w:r>
                    <w:rPr>
                      <w:rFonts w:hint="eastAsia" w:ascii="Times New Roman" w:hAnsi="Times New Roman" w:eastAsia="宋体"/>
                      <w:color w:val="auto"/>
                    </w:rPr>
                    <w:t>类</w:t>
                  </w:r>
                  <w:r>
                    <w:rPr>
                      <w:rFonts w:hint="eastAsia" w:ascii="Times New Roman" w:hAnsi="Times New Roman" w:eastAsia="宋体"/>
                      <w:color w:val="auto"/>
                      <w:lang w:val="en-US" w:eastAsia="zh-CN"/>
                    </w:rPr>
                    <w:t>产业</w:t>
                  </w:r>
                  <w:r>
                    <w:rPr>
                      <w:rFonts w:hint="eastAsia" w:ascii="Times New Roman" w:hAnsi="Times New Roman" w:eastAsia="宋体"/>
                      <w:color w:val="auto"/>
                    </w:rPr>
                    <w:t>。</w:t>
                  </w:r>
                </w:p>
              </w:tc>
              <w:tc>
                <w:tcPr>
                  <w:tcW w:w="439" w:type="pct"/>
                  <w:tcBorders>
                    <w:tl2br w:val="nil"/>
                    <w:tr2bl w:val="nil"/>
                  </w:tcBorders>
                  <w:vAlign w:val="center"/>
                </w:tcPr>
                <w:p w14:paraId="564FB730">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782A59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59" w:hRule="atLeast"/>
              </w:trPr>
              <w:tc>
                <w:tcPr>
                  <w:tcW w:w="267" w:type="pct"/>
                  <w:vMerge w:val="continue"/>
                  <w:tcBorders>
                    <w:tl2br w:val="nil"/>
                    <w:tr2bl w:val="nil"/>
                  </w:tcBorders>
                  <w:vAlign w:val="center"/>
                </w:tcPr>
                <w:p w14:paraId="12F4E4D9">
                  <w:pPr>
                    <w:pStyle w:val="30"/>
                    <w:bidi w:val="0"/>
                    <w:rPr>
                      <w:rFonts w:hint="eastAsia" w:ascii="Times New Roman" w:hAnsi="Times New Roman" w:eastAsia="宋体"/>
                      <w:b w:val="0"/>
                      <w:bCs w:val="0"/>
                      <w:color w:val="auto"/>
                      <w:lang w:val="en-US" w:eastAsia="zh-CN"/>
                    </w:rPr>
                  </w:pPr>
                </w:p>
              </w:tc>
              <w:tc>
                <w:tcPr>
                  <w:tcW w:w="268" w:type="pct"/>
                  <w:vMerge w:val="restart"/>
                  <w:tcBorders>
                    <w:tl2br w:val="nil"/>
                    <w:tr2bl w:val="nil"/>
                  </w:tcBorders>
                  <w:vAlign w:val="center"/>
                </w:tcPr>
                <w:p w14:paraId="3EDF3229">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禁止引入</w:t>
                  </w:r>
                </w:p>
              </w:tc>
              <w:tc>
                <w:tcPr>
                  <w:tcW w:w="2738" w:type="pct"/>
                  <w:tcBorders>
                    <w:tl2br w:val="nil"/>
                    <w:tr2bl w:val="nil"/>
                  </w:tcBorders>
                  <w:vAlign w:val="center"/>
                </w:tcPr>
                <w:p w14:paraId="2AA0DCAF">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1、含酿造工艺的项目。</w:t>
                  </w:r>
                </w:p>
              </w:tc>
              <w:tc>
                <w:tcPr>
                  <w:tcW w:w="1286" w:type="pct"/>
                  <w:tcBorders>
                    <w:tl2br w:val="nil"/>
                    <w:tr2bl w:val="nil"/>
                  </w:tcBorders>
                  <w:vAlign w:val="center"/>
                </w:tcPr>
                <w:p w14:paraId="04195F9E">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本项目不含</w:t>
                  </w:r>
                  <w:r>
                    <w:rPr>
                      <w:rFonts w:ascii="Times New Roman" w:hAnsi="Times New Roman" w:eastAsia="宋体"/>
                      <w:color w:val="auto"/>
                      <w:lang w:val="en-US" w:eastAsia="zh-CN"/>
                    </w:rPr>
                    <w:t>酿造工艺</w:t>
                  </w:r>
                  <w:r>
                    <w:rPr>
                      <w:rFonts w:hint="eastAsia" w:ascii="Times New Roman"/>
                      <w:color w:val="auto"/>
                      <w:lang w:val="en-US" w:eastAsia="zh-CN"/>
                    </w:rPr>
                    <w:t>。</w:t>
                  </w:r>
                </w:p>
              </w:tc>
              <w:tc>
                <w:tcPr>
                  <w:tcW w:w="439" w:type="pct"/>
                  <w:vMerge w:val="restart"/>
                  <w:tcBorders>
                    <w:tl2br w:val="nil"/>
                    <w:tr2bl w:val="nil"/>
                  </w:tcBorders>
                  <w:vAlign w:val="center"/>
                </w:tcPr>
                <w:p w14:paraId="597F48E5">
                  <w:pPr>
                    <w:pStyle w:val="30"/>
                    <w:bidi w:val="0"/>
                    <w:rPr>
                      <w:rFonts w:ascii="Times New Roman" w:hAnsi="Times New Roman" w:eastAsia="宋体"/>
                      <w:color w:val="auto"/>
                      <w:lang w:val="en-US" w:eastAsia="zh-CN"/>
                    </w:rPr>
                  </w:pPr>
                  <w:r>
                    <w:rPr>
                      <w:rFonts w:hint="eastAsia" w:ascii="Times New Roman" w:hAnsi="Times New Roman" w:eastAsia="宋体"/>
                      <w:color w:val="auto"/>
                    </w:rPr>
                    <w:t>符合</w:t>
                  </w:r>
                </w:p>
                <w:p w14:paraId="66B4C50E">
                  <w:pPr>
                    <w:pStyle w:val="30"/>
                    <w:bidi w:val="0"/>
                    <w:rPr>
                      <w:rFonts w:ascii="Times New Roman" w:hAnsi="Times New Roman" w:eastAsia="宋体"/>
                      <w:color w:val="auto"/>
                      <w:lang w:val="en-US" w:eastAsia="zh-CN"/>
                    </w:rPr>
                  </w:pPr>
                </w:p>
              </w:tc>
            </w:tr>
            <w:tr w14:paraId="6553D7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107128AF">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07DD3271">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03F9CF31">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2、使用高VOCs含量的溶剂型涂料、油墨、</w:t>
                  </w:r>
                  <w:r>
                    <w:rPr>
                      <w:rFonts w:hint="eastAsia" w:ascii="Times New Roman"/>
                      <w:color w:val="auto"/>
                      <w:lang w:val="en-US" w:eastAsia="zh-CN"/>
                    </w:rPr>
                    <w:t>胶黏剂</w:t>
                  </w:r>
                  <w:r>
                    <w:rPr>
                      <w:rFonts w:ascii="Times New Roman" w:hAnsi="Times New Roman" w:eastAsia="宋体"/>
                      <w:color w:val="auto"/>
                      <w:lang w:val="en-US" w:eastAsia="zh-CN"/>
                    </w:rPr>
                    <w:t>等项目。</w:t>
                  </w:r>
                </w:p>
              </w:tc>
              <w:tc>
                <w:tcPr>
                  <w:tcW w:w="1286" w:type="pct"/>
                  <w:tcBorders>
                    <w:tl2br w:val="nil"/>
                    <w:tr2bl w:val="nil"/>
                  </w:tcBorders>
                  <w:vAlign w:val="center"/>
                </w:tcPr>
                <w:p w14:paraId="6491B6E3">
                  <w:pPr>
                    <w:pStyle w:val="30"/>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本项目不使用</w:t>
                  </w:r>
                  <w:r>
                    <w:rPr>
                      <w:rFonts w:ascii="Times New Roman" w:hAnsi="Times New Roman" w:eastAsia="宋体"/>
                      <w:color w:val="auto"/>
                      <w:lang w:val="en-US" w:eastAsia="zh-CN"/>
                    </w:rPr>
                    <w:t>溶剂</w:t>
                  </w:r>
                  <w:r>
                    <w:rPr>
                      <w:rFonts w:hint="eastAsia" w:ascii="Times New Roman"/>
                      <w:color w:val="auto"/>
                      <w:lang w:val="en-US" w:eastAsia="zh-CN"/>
                    </w:rPr>
                    <w:t>性</w:t>
                  </w:r>
                  <w:r>
                    <w:rPr>
                      <w:rFonts w:ascii="Times New Roman" w:hAnsi="Times New Roman" w:eastAsia="宋体"/>
                      <w:color w:val="auto"/>
                      <w:lang w:val="en-US" w:eastAsia="zh-CN"/>
                    </w:rPr>
                    <w:t>涂料、油墨、</w:t>
                  </w:r>
                  <w:r>
                    <w:rPr>
                      <w:rFonts w:hint="eastAsia" w:ascii="Times New Roman"/>
                      <w:color w:val="auto"/>
                      <w:lang w:val="en-US" w:eastAsia="zh-CN"/>
                    </w:rPr>
                    <w:t>胶黏剂。</w:t>
                  </w:r>
                </w:p>
              </w:tc>
              <w:tc>
                <w:tcPr>
                  <w:tcW w:w="439" w:type="pct"/>
                  <w:vMerge w:val="continue"/>
                  <w:tcBorders>
                    <w:tl2br w:val="nil"/>
                    <w:tr2bl w:val="nil"/>
                  </w:tcBorders>
                  <w:vAlign w:val="center"/>
                </w:tcPr>
                <w:p w14:paraId="10641FFE">
                  <w:pPr>
                    <w:pStyle w:val="30"/>
                    <w:bidi w:val="0"/>
                    <w:rPr>
                      <w:rFonts w:ascii="Times New Roman" w:hAnsi="Times New Roman" w:eastAsia="宋体"/>
                      <w:color w:val="auto"/>
                      <w:lang w:val="en-US" w:eastAsia="zh-CN"/>
                    </w:rPr>
                  </w:pPr>
                </w:p>
              </w:tc>
            </w:tr>
            <w:tr w14:paraId="0AD6B6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775F7A75">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7C5003C5">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19D040DE">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3、新建排放铅、汞、铬、镉和类金属砷的项目。</w:t>
                  </w:r>
                </w:p>
              </w:tc>
              <w:tc>
                <w:tcPr>
                  <w:tcW w:w="1286" w:type="pct"/>
                  <w:tcBorders>
                    <w:tl2br w:val="nil"/>
                    <w:tr2bl w:val="nil"/>
                  </w:tcBorders>
                  <w:vAlign w:val="center"/>
                </w:tcPr>
                <w:p w14:paraId="12291855">
                  <w:pPr>
                    <w:pStyle w:val="30"/>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本项目不属于排放铅、汞、铬、镉和类金属砷的项目。</w:t>
                  </w:r>
                </w:p>
              </w:tc>
              <w:tc>
                <w:tcPr>
                  <w:tcW w:w="439" w:type="pct"/>
                  <w:vMerge w:val="continue"/>
                  <w:tcBorders>
                    <w:tl2br w:val="nil"/>
                    <w:tr2bl w:val="nil"/>
                  </w:tcBorders>
                  <w:vAlign w:val="center"/>
                </w:tcPr>
                <w:p w14:paraId="74CFE67E">
                  <w:pPr>
                    <w:pStyle w:val="30"/>
                    <w:bidi w:val="0"/>
                    <w:rPr>
                      <w:rFonts w:ascii="Times New Roman" w:hAnsi="Times New Roman" w:eastAsia="宋体"/>
                      <w:color w:val="auto"/>
                      <w:lang w:val="en-US" w:eastAsia="zh-CN"/>
                    </w:rPr>
                  </w:pPr>
                </w:p>
              </w:tc>
            </w:tr>
            <w:tr w14:paraId="789774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67" w:type="pct"/>
                  <w:vMerge w:val="continue"/>
                  <w:tcBorders>
                    <w:tl2br w:val="nil"/>
                    <w:tr2bl w:val="nil"/>
                  </w:tcBorders>
                  <w:vAlign w:val="center"/>
                </w:tcPr>
                <w:p w14:paraId="3F2CDC07">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1AFD55EB">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5A5E5715">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4、属于《淮河流域水污染防治暂行条例》中禁止的项目。</w:t>
                  </w:r>
                </w:p>
              </w:tc>
              <w:tc>
                <w:tcPr>
                  <w:tcW w:w="1286" w:type="pct"/>
                  <w:tcBorders>
                    <w:tl2br w:val="nil"/>
                    <w:tr2bl w:val="nil"/>
                  </w:tcBorders>
                  <w:vAlign w:val="center"/>
                </w:tcPr>
                <w:p w14:paraId="0DC0D82F">
                  <w:pPr>
                    <w:pStyle w:val="30"/>
                    <w:bidi w:val="0"/>
                    <w:jc w:val="both"/>
                    <w:rPr>
                      <w:rFonts w:ascii="Times New Roman" w:hAnsi="Times New Roman" w:eastAsia="宋体"/>
                      <w:color w:val="auto"/>
                      <w:lang w:val="en-US" w:eastAsia="zh-CN"/>
                    </w:rPr>
                  </w:pPr>
                  <w:r>
                    <w:rPr>
                      <w:rFonts w:hint="eastAsia" w:ascii="Times New Roman"/>
                      <w:color w:val="auto"/>
                      <w:lang w:val="en-US" w:eastAsia="zh-CN"/>
                    </w:rPr>
                    <w:t>本项目不</w:t>
                  </w:r>
                  <w:r>
                    <w:rPr>
                      <w:rFonts w:ascii="Times New Roman" w:hAnsi="Times New Roman" w:eastAsia="宋体"/>
                      <w:color w:val="auto"/>
                      <w:lang w:val="en-US" w:eastAsia="zh-CN"/>
                    </w:rPr>
                    <w:t>属于《淮河流域水污染防治暂行条例》中禁止的项目</w:t>
                  </w:r>
                  <w:r>
                    <w:rPr>
                      <w:rFonts w:hint="eastAsia" w:ascii="Times New Roman"/>
                      <w:color w:val="auto"/>
                      <w:lang w:val="en-US" w:eastAsia="zh-CN"/>
                    </w:rPr>
                    <w:t>。</w:t>
                  </w:r>
                </w:p>
              </w:tc>
              <w:tc>
                <w:tcPr>
                  <w:tcW w:w="439" w:type="pct"/>
                  <w:vMerge w:val="continue"/>
                  <w:tcBorders>
                    <w:tl2br w:val="nil"/>
                    <w:tr2bl w:val="nil"/>
                  </w:tcBorders>
                  <w:vAlign w:val="center"/>
                </w:tcPr>
                <w:p w14:paraId="0E48FA13">
                  <w:pPr>
                    <w:pStyle w:val="30"/>
                    <w:bidi w:val="0"/>
                    <w:rPr>
                      <w:rFonts w:ascii="Times New Roman" w:hAnsi="Times New Roman" w:eastAsia="宋体"/>
                      <w:color w:val="auto"/>
                      <w:lang w:val="en-US" w:eastAsia="zh-CN"/>
                    </w:rPr>
                  </w:pPr>
                </w:p>
              </w:tc>
            </w:tr>
            <w:tr w14:paraId="7699BB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4A7B9A70">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177DAC7D">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48588D97">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5、属于《环境保护综合名录</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2021年版</w:t>
                  </w:r>
                  <w:r>
                    <w:rPr>
                      <w:rFonts w:hint="eastAsia" w:ascii="Times New Roman"/>
                      <w:color w:val="auto"/>
                      <w:lang w:val="en-US" w:eastAsia="zh-CN"/>
                    </w:rPr>
                    <w:t>）</w:t>
                  </w:r>
                  <w:r>
                    <w:rPr>
                      <w:rFonts w:ascii="Times New Roman" w:hAnsi="Times New Roman" w:eastAsia="宋体"/>
                      <w:color w:val="auto"/>
                      <w:lang w:val="en-US" w:eastAsia="zh-CN"/>
                    </w:rPr>
                    <w:t>》中“高污染、高环境风险”产品名录的项目；国家和地方产业政策规定的淘汰类或禁止类的建设项目和工艺。</w:t>
                  </w:r>
                </w:p>
              </w:tc>
              <w:tc>
                <w:tcPr>
                  <w:tcW w:w="1286" w:type="pct"/>
                  <w:tcBorders>
                    <w:tl2br w:val="nil"/>
                    <w:tr2bl w:val="nil"/>
                  </w:tcBorders>
                  <w:vAlign w:val="center"/>
                </w:tcPr>
                <w:p w14:paraId="404C0E66">
                  <w:pPr>
                    <w:pStyle w:val="30"/>
                    <w:bidi w:val="0"/>
                    <w:jc w:val="both"/>
                    <w:rPr>
                      <w:rFonts w:hint="default" w:ascii="Times New Roman" w:hAnsi="Times New Roman" w:eastAsia="宋体"/>
                      <w:color w:val="auto"/>
                      <w:lang w:val="en-US" w:eastAsia="zh-CN"/>
                    </w:rPr>
                  </w:pPr>
                  <w:r>
                    <w:rPr>
                      <w:rFonts w:hint="eastAsia" w:ascii="Times New Roman"/>
                      <w:color w:val="auto"/>
                      <w:lang w:val="en-US" w:eastAsia="zh-CN"/>
                    </w:rPr>
                    <w:t>本项目不</w:t>
                  </w:r>
                  <w:r>
                    <w:rPr>
                      <w:rFonts w:ascii="Times New Roman" w:hAnsi="Times New Roman" w:eastAsia="宋体"/>
                      <w:color w:val="auto"/>
                      <w:lang w:val="en-US" w:eastAsia="zh-CN"/>
                    </w:rPr>
                    <w:t>属于《环境保护综合名录</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2021年版</w:t>
                  </w:r>
                  <w:r>
                    <w:rPr>
                      <w:rFonts w:hint="eastAsia" w:ascii="Times New Roman"/>
                      <w:color w:val="auto"/>
                      <w:lang w:val="en-US" w:eastAsia="zh-CN"/>
                    </w:rPr>
                    <w:t>）</w:t>
                  </w:r>
                  <w:r>
                    <w:rPr>
                      <w:rFonts w:ascii="Times New Roman" w:hAnsi="Times New Roman" w:eastAsia="宋体"/>
                      <w:color w:val="auto"/>
                      <w:lang w:val="en-US" w:eastAsia="zh-CN"/>
                    </w:rPr>
                    <w:t>》中“高污染、高环境风险”产品名录的项目</w:t>
                  </w:r>
                  <w:r>
                    <w:rPr>
                      <w:rFonts w:hint="eastAsia" w:ascii="Times New Roman"/>
                      <w:color w:val="auto"/>
                      <w:lang w:val="en-US" w:eastAsia="zh-CN"/>
                    </w:rPr>
                    <w:t>，不属于</w:t>
                  </w:r>
                  <w:r>
                    <w:rPr>
                      <w:rFonts w:ascii="Times New Roman" w:hAnsi="Times New Roman" w:eastAsia="宋体"/>
                      <w:color w:val="auto"/>
                      <w:lang w:val="en-US" w:eastAsia="zh-CN"/>
                    </w:rPr>
                    <w:t>国家和地方产业政策规定的淘汰类或禁止类</w:t>
                  </w:r>
                  <w:r>
                    <w:rPr>
                      <w:rFonts w:hint="eastAsia" w:ascii="Times New Roman"/>
                      <w:color w:val="auto"/>
                      <w:lang w:val="en-US" w:eastAsia="zh-CN"/>
                    </w:rPr>
                    <w:t>项目。</w:t>
                  </w:r>
                </w:p>
              </w:tc>
              <w:tc>
                <w:tcPr>
                  <w:tcW w:w="439" w:type="pct"/>
                  <w:vMerge w:val="continue"/>
                  <w:tcBorders>
                    <w:tl2br w:val="nil"/>
                    <w:tr2bl w:val="nil"/>
                  </w:tcBorders>
                  <w:vAlign w:val="center"/>
                </w:tcPr>
                <w:p w14:paraId="418C7DD2">
                  <w:pPr>
                    <w:pStyle w:val="30"/>
                    <w:bidi w:val="0"/>
                    <w:rPr>
                      <w:rFonts w:ascii="Times New Roman" w:hAnsi="Times New Roman" w:eastAsia="宋体"/>
                      <w:color w:val="auto"/>
                      <w:lang w:val="en-US" w:eastAsia="zh-CN"/>
                    </w:rPr>
                  </w:pPr>
                </w:p>
              </w:tc>
            </w:tr>
            <w:tr w14:paraId="660A96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44FF64A8">
                  <w:pPr>
                    <w:pStyle w:val="30"/>
                    <w:bidi w:val="0"/>
                    <w:rPr>
                      <w:rFonts w:hint="eastAsia" w:ascii="Times New Roman" w:hAnsi="Times New Roman" w:eastAsia="宋体"/>
                      <w:b w:val="0"/>
                      <w:bCs w:val="0"/>
                      <w:color w:val="auto"/>
                      <w:lang w:val="en-US" w:eastAsia="zh-CN"/>
                    </w:rPr>
                  </w:pPr>
                </w:p>
              </w:tc>
              <w:tc>
                <w:tcPr>
                  <w:tcW w:w="268" w:type="pct"/>
                  <w:vMerge w:val="restart"/>
                  <w:tcBorders>
                    <w:tl2br w:val="nil"/>
                    <w:tr2bl w:val="nil"/>
                  </w:tcBorders>
                  <w:vAlign w:val="center"/>
                </w:tcPr>
                <w:p w14:paraId="4C5AC39E">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限制引入</w:t>
                  </w:r>
                </w:p>
              </w:tc>
              <w:tc>
                <w:tcPr>
                  <w:tcW w:w="2738" w:type="pct"/>
                  <w:tcBorders>
                    <w:tl2br w:val="nil"/>
                    <w:tr2bl w:val="nil"/>
                  </w:tcBorders>
                  <w:vAlign w:val="center"/>
                </w:tcPr>
                <w:p w14:paraId="1AFA76EE">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1、《产业结构调整指导目录》及修订、《江苏省工业和信息产业结构调整限制淘汰目录和能耗限额》中限制项目。</w:t>
                  </w:r>
                </w:p>
              </w:tc>
              <w:tc>
                <w:tcPr>
                  <w:tcW w:w="1286" w:type="pct"/>
                  <w:tcBorders>
                    <w:tl2br w:val="nil"/>
                    <w:tr2bl w:val="nil"/>
                  </w:tcBorders>
                  <w:vAlign w:val="center"/>
                </w:tcPr>
                <w:p w14:paraId="7A551F11">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本项目不属于限制项目</w:t>
                  </w:r>
                  <w:r>
                    <w:rPr>
                      <w:rFonts w:hint="eastAsia" w:ascii="Times New Roman"/>
                      <w:color w:val="auto"/>
                      <w:lang w:val="en-US" w:eastAsia="zh-CN"/>
                    </w:rPr>
                    <w:t>。</w:t>
                  </w:r>
                </w:p>
              </w:tc>
              <w:tc>
                <w:tcPr>
                  <w:tcW w:w="439" w:type="pct"/>
                  <w:vMerge w:val="restart"/>
                  <w:tcBorders>
                    <w:tl2br w:val="nil"/>
                    <w:tr2bl w:val="nil"/>
                  </w:tcBorders>
                  <w:vAlign w:val="center"/>
                </w:tcPr>
                <w:p w14:paraId="12871664">
                  <w:pPr>
                    <w:pStyle w:val="30"/>
                    <w:bidi w:val="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0814F7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58CB9736">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3CF2788B">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6179AA14">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2、污染治理措施达不到《挥发性有机物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VOCs</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污染防治技术政策</w:t>
                  </w:r>
                  <w:r>
                    <w:rPr>
                      <w:rFonts w:hint="eastAsia" w:ascii="Times New Roman"/>
                      <w:color w:val="auto"/>
                      <w:lang w:val="en-US" w:eastAsia="zh-CN"/>
                    </w:rPr>
                    <w:t>》《</w:t>
                  </w:r>
                  <w:r>
                    <w:rPr>
                      <w:rFonts w:ascii="Times New Roman" w:hAnsi="Times New Roman" w:eastAsia="宋体"/>
                      <w:color w:val="auto"/>
                      <w:lang w:val="en-US" w:eastAsia="zh-CN"/>
                    </w:rPr>
                    <w:t>江苏省重点行业挥发性有机物污染控制指南》等要求的项目。</w:t>
                  </w:r>
                </w:p>
              </w:tc>
              <w:tc>
                <w:tcPr>
                  <w:tcW w:w="1286" w:type="pct"/>
                  <w:tcBorders>
                    <w:tl2br w:val="nil"/>
                    <w:tr2bl w:val="nil"/>
                  </w:tcBorders>
                  <w:vAlign w:val="center"/>
                </w:tcPr>
                <w:p w14:paraId="51F3BCF8">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本项目有机废气采用二级活性炭吸附装置处理，</w:t>
                  </w:r>
                  <w:r>
                    <w:rPr>
                      <w:rFonts w:ascii="Times New Roman" w:hAnsi="Times New Roman" w:eastAsia="宋体"/>
                      <w:color w:val="auto"/>
                      <w:lang w:val="en-US" w:eastAsia="zh-CN"/>
                    </w:rPr>
                    <w:t>治理措施</w:t>
                  </w:r>
                  <w:r>
                    <w:rPr>
                      <w:rFonts w:hint="eastAsia" w:ascii="Times New Roman"/>
                      <w:color w:val="auto"/>
                      <w:lang w:val="en-US" w:eastAsia="zh-CN"/>
                    </w:rPr>
                    <w:t>能够达到</w:t>
                  </w:r>
                  <w:r>
                    <w:rPr>
                      <w:rFonts w:ascii="Times New Roman" w:hAnsi="Times New Roman" w:eastAsia="宋体"/>
                      <w:color w:val="auto"/>
                      <w:lang w:val="en-US" w:eastAsia="zh-CN"/>
                    </w:rPr>
                    <w:t>《挥发性有机物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VOCs</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污染防治技术政策</w:t>
                  </w:r>
                  <w:r>
                    <w:rPr>
                      <w:rFonts w:hint="eastAsia" w:ascii="Times New Roman"/>
                      <w:color w:val="auto"/>
                      <w:lang w:val="en-US" w:eastAsia="zh-CN"/>
                    </w:rPr>
                    <w:t>》《</w:t>
                  </w:r>
                  <w:r>
                    <w:rPr>
                      <w:rFonts w:ascii="Times New Roman" w:hAnsi="Times New Roman" w:eastAsia="宋体"/>
                      <w:color w:val="auto"/>
                      <w:lang w:val="en-US" w:eastAsia="zh-CN"/>
                    </w:rPr>
                    <w:t>江苏省重点行业挥发性有机物污染控制指南》</w:t>
                  </w:r>
                  <w:r>
                    <w:rPr>
                      <w:rFonts w:hint="eastAsia" w:ascii="Times New Roman"/>
                      <w:color w:val="auto"/>
                      <w:lang w:val="en-US" w:eastAsia="zh-CN"/>
                    </w:rPr>
                    <w:t>标准。</w:t>
                  </w:r>
                </w:p>
              </w:tc>
              <w:tc>
                <w:tcPr>
                  <w:tcW w:w="439" w:type="pct"/>
                  <w:vMerge w:val="continue"/>
                  <w:tcBorders>
                    <w:tl2br w:val="nil"/>
                    <w:tr2bl w:val="nil"/>
                  </w:tcBorders>
                  <w:vAlign w:val="center"/>
                </w:tcPr>
                <w:p w14:paraId="4159AC25">
                  <w:pPr>
                    <w:pStyle w:val="30"/>
                    <w:bidi w:val="0"/>
                    <w:rPr>
                      <w:rFonts w:ascii="Times New Roman" w:hAnsi="Times New Roman" w:eastAsia="宋体"/>
                      <w:color w:val="auto"/>
                      <w:lang w:val="en-US" w:eastAsia="zh-CN"/>
                    </w:rPr>
                  </w:pPr>
                </w:p>
              </w:tc>
            </w:tr>
            <w:tr w14:paraId="13B9A0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22C90126">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57934A6F">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33E7A466">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3、属于《淮河流域水污染防治暂行条例》中限制的项目。</w:t>
                  </w:r>
                </w:p>
              </w:tc>
              <w:tc>
                <w:tcPr>
                  <w:tcW w:w="1286" w:type="pct"/>
                  <w:tcBorders>
                    <w:tl2br w:val="nil"/>
                    <w:tr2bl w:val="nil"/>
                  </w:tcBorders>
                  <w:vAlign w:val="center"/>
                </w:tcPr>
                <w:p w14:paraId="07D06D5F">
                  <w:pPr>
                    <w:pStyle w:val="30"/>
                    <w:bidi w:val="0"/>
                    <w:jc w:val="both"/>
                    <w:rPr>
                      <w:rFonts w:ascii="Times New Roman" w:hAnsi="Times New Roman" w:eastAsia="宋体"/>
                      <w:color w:val="auto"/>
                      <w:lang w:val="en-US" w:eastAsia="zh-CN"/>
                    </w:rPr>
                  </w:pPr>
                  <w:r>
                    <w:rPr>
                      <w:rFonts w:hint="eastAsia" w:ascii="Times New Roman"/>
                      <w:color w:val="auto"/>
                      <w:lang w:val="en-US" w:eastAsia="zh-CN"/>
                    </w:rPr>
                    <w:t>本项目不</w:t>
                  </w:r>
                  <w:r>
                    <w:rPr>
                      <w:rFonts w:ascii="Times New Roman" w:hAnsi="Times New Roman" w:eastAsia="宋体"/>
                      <w:color w:val="auto"/>
                      <w:lang w:val="en-US" w:eastAsia="zh-CN"/>
                    </w:rPr>
                    <w:t>属于《淮河流域水污染防治暂行条例》中限制的项目</w:t>
                  </w:r>
                  <w:r>
                    <w:rPr>
                      <w:rFonts w:hint="eastAsia" w:ascii="Times New Roman"/>
                      <w:color w:val="auto"/>
                      <w:lang w:val="en-US" w:eastAsia="zh-CN"/>
                    </w:rPr>
                    <w:t>。</w:t>
                  </w:r>
                </w:p>
              </w:tc>
              <w:tc>
                <w:tcPr>
                  <w:tcW w:w="439" w:type="pct"/>
                  <w:vMerge w:val="continue"/>
                  <w:tcBorders>
                    <w:tl2br w:val="nil"/>
                    <w:tr2bl w:val="nil"/>
                  </w:tcBorders>
                  <w:vAlign w:val="center"/>
                </w:tcPr>
                <w:p w14:paraId="0556B621">
                  <w:pPr>
                    <w:pStyle w:val="30"/>
                    <w:bidi w:val="0"/>
                    <w:rPr>
                      <w:rFonts w:ascii="Times New Roman" w:hAnsi="Times New Roman" w:eastAsia="宋体"/>
                      <w:color w:val="auto"/>
                      <w:lang w:val="en-US" w:eastAsia="zh-CN"/>
                    </w:rPr>
                  </w:pPr>
                </w:p>
              </w:tc>
            </w:tr>
            <w:tr w14:paraId="0F6F87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74A43C0D">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1ACA821B">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702A0581">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4、开发区印染排水量不得突破7000吨/日。</w:t>
                  </w:r>
                </w:p>
              </w:tc>
              <w:tc>
                <w:tcPr>
                  <w:tcW w:w="1980" w:type="dxa"/>
                  <w:tcBorders>
                    <w:tl2br w:val="nil"/>
                    <w:tr2bl w:val="nil"/>
                  </w:tcBorders>
                  <w:vAlign w:val="center"/>
                </w:tcPr>
                <w:p w14:paraId="270217A3">
                  <w:pPr>
                    <w:pStyle w:val="30"/>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本项目不涉及印染废水。</w:t>
                  </w:r>
                </w:p>
              </w:tc>
              <w:tc>
                <w:tcPr>
                  <w:tcW w:w="439" w:type="pct"/>
                  <w:vMerge w:val="continue"/>
                  <w:tcBorders>
                    <w:tl2br w:val="nil"/>
                    <w:tr2bl w:val="nil"/>
                  </w:tcBorders>
                  <w:vAlign w:val="center"/>
                </w:tcPr>
                <w:p w14:paraId="6D154940">
                  <w:pPr>
                    <w:pStyle w:val="30"/>
                    <w:bidi w:val="0"/>
                    <w:rPr>
                      <w:rFonts w:ascii="Times New Roman" w:hAnsi="Times New Roman" w:eastAsia="宋体"/>
                      <w:color w:val="auto"/>
                      <w:lang w:val="en-US" w:eastAsia="zh-CN"/>
                    </w:rPr>
                  </w:pPr>
                </w:p>
              </w:tc>
            </w:tr>
            <w:tr w14:paraId="7429F8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restart"/>
                  <w:tcBorders>
                    <w:tl2br w:val="nil"/>
                    <w:tr2bl w:val="nil"/>
                  </w:tcBorders>
                  <w:vAlign w:val="center"/>
                </w:tcPr>
                <w:p w14:paraId="73979BB3">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空间布局约束</w:t>
                  </w:r>
                </w:p>
              </w:tc>
              <w:tc>
                <w:tcPr>
                  <w:tcW w:w="2738" w:type="pct"/>
                  <w:tcBorders>
                    <w:tl2br w:val="nil"/>
                    <w:tr2bl w:val="nil"/>
                  </w:tcBorders>
                  <w:vAlign w:val="center"/>
                </w:tcPr>
                <w:p w14:paraId="43AAB6D3">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落实江苏省、淮安市“三线一单</w:t>
                  </w:r>
                  <w:r>
                    <w:rPr>
                      <w:rFonts w:hint="eastAsia" w:ascii="Times New Roman"/>
                      <w:color w:val="auto"/>
                      <w:lang w:val="en-US" w:eastAsia="zh-CN"/>
                    </w:rPr>
                    <w:t>”《</w:t>
                  </w:r>
                  <w:r>
                    <w:rPr>
                      <w:rFonts w:ascii="Times New Roman" w:hAnsi="Times New Roman" w:eastAsia="宋体"/>
                      <w:color w:val="auto"/>
                      <w:lang w:val="en-US" w:eastAsia="zh-CN"/>
                    </w:rPr>
                    <w:t>江苏省生态空间管控区域规划</w:t>
                  </w:r>
                  <w:r>
                    <w:rPr>
                      <w:rFonts w:hint="eastAsia" w:ascii="Times New Roman"/>
                      <w:color w:val="auto"/>
                      <w:lang w:val="en-US" w:eastAsia="zh-CN"/>
                    </w:rPr>
                    <w:t>》《</w:t>
                  </w:r>
                  <w:r>
                    <w:rPr>
                      <w:rFonts w:ascii="Times New Roman" w:hAnsi="Times New Roman" w:eastAsia="宋体"/>
                      <w:color w:val="auto"/>
                      <w:lang w:val="en-US" w:eastAsia="zh-CN"/>
                    </w:rPr>
                    <w:t>江苏省国家级生态保护红线规划</w:t>
                  </w:r>
                  <w:r>
                    <w:rPr>
                      <w:rFonts w:hint="eastAsia" w:ascii="Times New Roman"/>
                      <w:color w:val="auto"/>
                      <w:lang w:val="en-US" w:eastAsia="zh-CN"/>
                    </w:rPr>
                    <w:t>》等</w:t>
                  </w:r>
                  <w:r>
                    <w:rPr>
                      <w:rFonts w:ascii="Times New Roman" w:hAnsi="Times New Roman" w:eastAsia="宋体"/>
                      <w:color w:val="auto"/>
                      <w:lang w:val="en-US" w:eastAsia="zh-CN"/>
                    </w:rPr>
                    <w:t>管控要求。</w:t>
                  </w:r>
                </w:p>
              </w:tc>
              <w:tc>
                <w:tcPr>
                  <w:tcW w:w="1980" w:type="dxa"/>
                  <w:tcBorders>
                    <w:tl2br w:val="nil"/>
                    <w:tr2bl w:val="nil"/>
                  </w:tcBorders>
                  <w:vAlign w:val="center"/>
                </w:tcPr>
                <w:p w14:paraId="1FDA5D28">
                  <w:pPr>
                    <w:pStyle w:val="30"/>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本项目已</w:t>
                  </w:r>
                  <w:r>
                    <w:rPr>
                      <w:rFonts w:hint="eastAsia" w:ascii="Times New Roman" w:hAnsi="Times New Roman" w:eastAsia="宋体"/>
                      <w:color w:val="auto"/>
                      <w:lang w:val="en-US" w:eastAsia="zh-CN"/>
                    </w:rPr>
                    <w:t>落实江苏省、淮安市“三线一单</w:t>
                  </w:r>
                  <w:r>
                    <w:rPr>
                      <w:rFonts w:hint="eastAsia" w:ascii="Times New Roman"/>
                      <w:color w:val="auto"/>
                      <w:lang w:val="en-US" w:eastAsia="zh-CN"/>
                    </w:rPr>
                    <w:t>”《</w:t>
                  </w:r>
                  <w:r>
                    <w:rPr>
                      <w:rFonts w:hint="eastAsia" w:ascii="Times New Roman" w:hAnsi="Times New Roman" w:eastAsia="宋体"/>
                      <w:color w:val="auto"/>
                      <w:lang w:val="en-US" w:eastAsia="zh-CN"/>
                    </w:rPr>
                    <w:t>江苏省生态空间管控区域规划</w:t>
                  </w:r>
                  <w:r>
                    <w:rPr>
                      <w:rFonts w:hint="eastAsia" w:ascii="Times New Roman"/>
                      <w:color w:val="auto"/>
                      <w:lang w:val="en-US" w:eastAsia="zh-CN"/>
                    </w:rPr>
                    <w:t>》《</w:t>
                  </w:r>
                  <w:r>
                    <w:rPr>
                      <w:rFonts w:hint="eastAsia" w:ascii="Times New Roman" w:hAnsi="Times New Roman" w:eastAsia="宋体"/>
                      <w:color w:val="auto"/>
                      <w:lang w:val="en-US" w:eastAsia="zh-CN"/>
                    </w:rPr>
                    <w:t>江苏省国家级生态保护红线规划</w:t>
                  </w:r>
                  <w:r>
                    <w:rPr>
                      <w:rFonts w:hint="eastAsia" w:ascii="Times New Roman"/>
                      <w:color w:val="auto"/>
                      <w:lang w:val="en-US" w:eastAsia="zh-CN"/>
                    </w:rPr>
                    <w:t>》等</w:t>
                  </w:r>
                  <w:r>
                    <w:rPr>
                      <w:rFonts w:hint="eastAsia" w:ascii="Times New Roman" w:hAnsi="Times New Roman" w:eastAsia="宋体"/>
                      <w:color w:val="auto"/>
                      <w:lang w:val="en-US" w:eastAsia="zh-CN"/>
                    </w:rPr>
                    <w:t>管控要求</w:t>
                  </w:r>
                  <w:r>
                    <w:rPr>
                      <w:rFonts w:hint="eastAsia" w:ascii="Times New Roman"/>
                      <w:color w:val="auto"/>
                      <w:lang w:val="en-US" w:eastAsia="zh-CN"/>
                    </w:rPr>
                    <w:t>。</w:t>
                  </w:r>
                </w:p>
              </w:tc>
              <w:tc>
                <w:tcPr>
                  <w:tcW w:w="439" w:type="pct"/>
                  <w:vMerge w:val="restart"/>
                  <w:tcBorders>
                    <w:tl2br w:val="nil"/>
                    <w:tr2bl w:val="nil"/>
                  </w:tcBorders>
                  <w:vAlign w:val="center"/>
                </w:tcPr>
                <w:p w14:paraId="367FAA5E">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3B28CB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618575D1">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1054AA33">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区内规划的水域和防护绿地</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禁止与环境保护功能无关的建设活动。</w:t>
                  </w:r>
                </w:p>
              </w:tc>
              <w:tc>
                <w:tcPr>
                  <w:tcW w:w="1980" w:type="dxa"/>
                  <w:tcBorders>
                    <w:tl2br w:val="nil"/>
                    <w:tr2bl w:val="nil"/>
                  </w:tcBorders>
                  <w:vAlign w:val="center"/>
                </w:tcPr>
                <w:p w14:paraId="51C95F1D">
                  <w:pPr>
                    <w:pStyle w:val="30"/>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本项目用地性质为工业用地，不涉及区内规划的水域和防护绿地。</w:t>
                  </w:r>
                </w:p>
              </w:tc>
              <w:tc>
                <w:tcPr>
                  <w:tcW w:w="439" w:type="pct"/>
                  <w:vMerge w:val="continue"/>
                  <w:tcBorders>
                    <w:tl2br w:val="nil"/>
                    <w:tr2bl w:val="nil"/>
                  </w:tcBorders>
                  <w:vAlign w:val="center"/>
                </w:tcPr>
                <w:p w14:paraId="409C986E">
                  <w:pPr>
                    <w:pStyle w:val="30"/>
                    <w:bidi w:val="0"/>
                    <w:rPr>
                      <w:rFonts w:ascii="Times New Roman" w:hAnsi="Times New Roman" w:eastAsia="宋体"/>
                      <w:color w:val="auto"/>
                      <w:lang w:val="en-US" w:eastAsia="zh-CN"/>
                    </w:rPr>
                  </w:pPr>
                </w:p>
              </w:tc>
            </w:tr>
            <w:tr w14:paraId="4753A3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7FE34D57">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51924C23">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工业用地与居住用地、商住混合用地、学校之间须设置适当的空间隔离带。</w:t>
                  </w:r>
                </w:p>
              </w:tc>
              <w:tc>
                <w:tcPr>
                  <w:tcW w:w="1980" w:type="dxa"/>
                  <w:tcBorders>
                    <w:tl2br w:val="nil"/>
                    <w:tr2bl w:val="nil"/>
                  </w:tcBorders>
                  <w:vAlign w:val="center"/>
                </w:tcPr>
                <w:p w14:paraId="5CBB4E72">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w:t>
                  </w:r>
                  <w:r>
                    <w:rPr>
                      <w:rFonts w:hint="eastAsia" w:ascii="Times New Roman"/>
                      <w:color w:val="auto"/>
                      <w:lang w:val="en-US" w:eastAsia="zh-CN"/>
                    </w:rPr>
                    <w:t>工业用地</w:t>
                  </w:r>
                  <w:r>
                    <w:rPr>
                      <w:rFonts w:ascii="Times New Roman" w:hAnsi="Times New Roman" w:eastAsia="宋体"/>
                      <w:color w:val="auto"/>
                      <w:lang w:val="en-US" w:eastAsia="zh-CN"/>
                    </w:rPr>
                    <w:t>与居住用地、商住混合用地、学校之间</w:t>
                  </w:r>
                  <w:r>
                    <w:rPr>
                      <w:rFonts w:hint="eastAsia" w:ascii="Times New Roman" w:hAnsi="Times New Roman" w:eastAsia="宋体"/>
                      <w:color w:val="auto"/>
                      <w:lang w:val="en-US" w:eastAsia="zh-CN"/>
                    </w:rPr>
                    <w:t>存在</w:t>
                  </w:r>
                  <w:r>
                    <w:rPr>
                      <w:rFonts w:ascii="Times New Roman" w:hAnsi="Times New Roman" w:eastAsia="宋体"/>
                      <w:color w:val="auto"/>
                      <w:lang w:val="en-US" w:eastAsia="zh-CN"/>
                    </w:rPr>
                    <w:t>适当的空间隔离带</w:t>
                  </w:r>
                  <w:r>
                    <w:rPr>
                      <w:rFonts w:hint="eastAsia" w:ascii="Times New Roman"/>
                      <w:color w:val="auto"/>
                      <w:lang w:val="en-US" w:eastAsia="zh-CN"/>
                    </w:rPr>
                    <w:t>。</w:t>
                  </w:r>
                </w:p>
              </w:tc>
              <w:tc>
                <w:tcPr>
                  <w:tcW w:w="439" w:type="pct"/>
                  <w:vMerge w:val="continue"/>
                  <w:tcBorders>
                    <w:tl2br w:val="nil"/>
                    <w:tr2bl w:val="nil"/>
                  </w:tcBorders>
                  <w:vAlign w:val="center"/>
                </w:tcPr>
                <w:p w14:paraId="0E1CE5B0">
                  <w:pPr>
                    <w:pStyle w:val="30"/>
                    <w:bidi w:val="0"/>
                    <w:rPr>
                      <w:rFonts w:ascii="Times New Roman" w:hAnsi="Times New Roman" w:eastAsia="宋体"/>
                      <w:color w:val="auto"/>
                      <w:lang w:val="en-US" w:eastAsia="zh-CN"/>
                    </w:rPr>
                  </w:pPr>
                </w:p>
              </w:tc>
            </w:tr>
            <w:tr w14:paraId="4FE006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restart"/>
                  <w:tcBorders>
                    <w:tl2br w:val="nil"/>
                    <w:tr2bl w:val="nil"/>
                  </w:tcBorders>
                  <w:vAlign w:val="center"/>
                </w:tcPr>
                <w:p w14:paraId="1967E8DA">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污染物排放管控</w:t>
                  </w:r>
                </w:p>
              </w:tc>
              <w:tc>
                <w:tcPr>
                  <w:tcW w:w="268" w:type="pct"/>
                  <w:vMerge w:val="restart"/>
                  <w:tcBorders>
                    <w:tl2br w:val="nil"/>
                    <w:tr2bl w:val="nil"/>
                  </w:tcBorders>
                  <w:vAlign w:val="center"/>
                </w:tcPr>
                <w:p w14:paraId="12C2F019">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总体要求</w:t>
                  </w:r>
                </w:p>
              </w:tc>
              <w:tc>
                <w:tcPr>
                  <w:tcW w:w="2738" w:type="pct"/>
                  <w:tcBorders>
                    <w:tl2br w:val="nil"/>
                    <w:tr2bl w:val="nil"/>
                  </w:tcBorders>
                  <w:vAlign w:val="center"/>
                </w:tcPr>
                <w:p w14:paraId="29B8CD33">
                  <w:pPr>
                    <w:pStyle w:val="30"/>
                    <w:keepNext w:val="0"/>
                    <w:keepLines w:val="0"/>
                    <w:pageBreakBefore w:val="0"/>
                    <w:widowControl w:val="0"/>
                    <w:kinsoku/>
                    <w:wordWrap/>
                    <w:overflowPunct/>
                    <w:topLinePunct w:val="0"/>
                    <w:autoSpaceDE/>
                    <w:autoSpaceDN/>
                    <w:bidi w:val="0"/>
                    <w:adjustRightInd w:val="0"/>
                    <w:snapToGrid w:val="0"/>
                    <w:spacing w:beforeLines="0" w:afterLines="0" w:line="240" w:lineRule="auto"/>
                    <w:jc w:val="both"/>
                    <w:textAlignment w:val="auto"/>
                    <w:rPr>
                      <w:rFonts w:hint="eastAsia" w:ascii="Times New Roman" w:hAnsi="Times New Roman" w:eastAsia="宋体"/>
                      <w:color w:val="auto"/>
                      <w:lang w:val="en-US" w:eastAsia="zh-CN"/>
                    </w:rPr>
                  </w:pPr>
                  <w:r>
                    <w:rPr>
                      <w:rFonts w:ascii="Times New Roman" w:hAnsi="Times New Roman" w:eastAsia="宋体"/>
                      <w:color w:val="auto"/>
                      <w:lang w:val="en-US" w:eastAsia="zh-CN"/>
                    </w:rPr>
                    <w:t>1、工业项目排放污染物必须达到国家和地方规定的污染物排放标准。</w:t>
                  </w:r>
                </w:p>
              </w:tc>
              <w:tc>
                <w:tcPr>
                  <w:tcW w:w="1286" w:type="pct"/>
                  <w:tcBorders>
                    <w:tl2br w:val="nil"/>
                    <w:tr2bl w:val="nil"/>
                  </w:tcBorders>
                  <w:vAlign w:val="center"/>
                </w:tcPr>
                <w:p w14:paraId="08C488FA">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本项目非甲烷总烃的排放达到</w:t>
                  </w:r>
                  <w:r>
                    <w:rPr>
                      <w:rFonts w:hint="eastAsia" w:ascii="Times New Roman"/>
                      <w:color w:val="auto"/>
                      <w:lang w:val="en-US" w:eastAsia="zh-CN"/>
                    </w:rPr>
                    <w:t>《玻璃工业大气污染物排放标准》（GB26453-2022）表1中</w:t>
                  </w:r>
                  <w:r>
                    <w:rPr>
                      <w:rFonts w:hint="eastAsia" w:ascii="Times New Roman" w:hAnsi="Times New Roman" w:eastAsia="宋体"/>
                      <w:color w:val="auto"/>
                      <w:lang w:val="en-US" w:eastAsia="zh-CN"/>
                    </w:rPr>
                    <w:t>非甲烷总烃标准限值，生活污水</w:t>
                  </w:r>
                  <w:r>
                    <w:rPr>
                      <w:rFonts w:hint="eastAsia" w:ascii="Times New Roman"/>
                      <w:color w:val="auto"/>
                      <w:lang w:val="en-US" w:eastAsia="zh-CN"/>
                    </w:rPr>
                    <w:t>经化粪池处理后达到涟水经济开发区西区污水处理厂接管标准。</w:t>
                  </w:r>
                </w:p>
              </w:tc>
              <w:tc>
                <w:tcPr>
                  <w:tcW w:w="439" w:type="pct"/>
                  <w:vMerge w:val="restart"/>
                  <w:tcBorders>
                    <w:tl2br w:val="nil"/>
                    <w:tr2bl w:val="nil"/>
                  </w:tcBorders>
                  <w:vAlign w:val="center"/>
                </w:tcPr>
                <w:p w14:paraId="179556ED">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56BF37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317A2DF1">
                  <w:pPr>
                    <w:pStyle w:val="30"/>
                    <w:bidi w:val="0"/>
                    <w:rPr>
                      <w:rFonts w:hint="eastAsia" w:ascii="Times New Roman" w:hAnsi="Times New Roman" w:eastAsia="宋体"/>
                      <w:b/>
                      <w:bCs/>
                      <w:color w:val="auto"/>
                      <w:lang w:val="en-US" w:eastAsia="zh-CN"/>
                    </w:rPr>
                  </w:pPr>
                </w:p>
              </w:tc>
              <w:tc>
                <w:tcPr>
                  <w:tcW w:w="268" w:type="pct"/>
                  <w:vMerge w:val="continue"/>
                  <w:tcBorders>
                    <w:tl2br w:val="nil"/>
                    <w:tr2bl w:val="nil"/>
                  </w:tcBorders>
                  <w:vAlign w:val="center"/>
                </w:tcPr>
                <w:p w14:paraId="2748DCDA">
                  <w:pPr>
                    <w:pStyle w:val="30"/>
                    <w:bidi w:val="0"/>
                    <w:rPr>
                      <w:rFonts w:hint="eastAsia" w:ascii="Times New Roman" w:hAnsi="Times New Roman" w:eastAsia="宋体"/>
                      <w:b/>
                      <w:bCs/>
                      <w:color w:val="auto"/>
                      <w:lang w:val="en-US" w:eastAsia="zh-CN"/>
                    </w:rPr>
                  </w:pPr>
                </w:p>
              </w:tc>
              <w:tc>
                <w:tcPr>
                  <w:tcW w:w="2738" w:type="pct"/>
                  <w:tcBorders>
                    <w:tl2br w:val="nil"/>
                    <w:tr2bl w:val="nil"/>
                  </w:tcBorders>
                  <w:vAlign w:val="center"/>
                </w:tcPr>
                <w:p w14:paraId="45603AE8">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2、园区内企业清洁生产水平达到国内先进水平。</w:t>
                  </w:r>
                </w:p>
              </w:tc>
              <w:tc>
                <w:tcPr>
                  <w:tcW w:w="1286" w:type="pct"/>
                  <w:tcBorders>
                    <w:tl2br w:val="nil"/>
                    <w:tr2bl w:val="nil"/>
                  </w:tcBorders>
                  <w:vAlign w:val="center"/>
                </w:tcPr>
                <w:p w14:paraId="1D4CA12B">
                  <w:pPr>
                    <w:pStyle w:val="30"/>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w:t>
                  </w:r>
                  <w:r>
                    <w:rPr>
                      <w:rFonts w:hint="eastAsia" w:ascii="Times New Roman" w:hAnsi="Times New Roman" w:eastAsia="宋体"/>
                      <w:color w:val="auto"/>
                      <w:lang w:val="en-US" w:eastAsia="zh-CN"/>
                    </w:rPr>
                    <w:t>清洁生产水平达到国内先进水平</w:t>
                  </w:r>
                  <w:r>
                    <w:rPr>
                      <w:rFonts w:hint="eastAsia" w:ascii="Times New Roman"/>
                      <w:color w:val="auto"/>
                      <w:lang w:val="en-US" w:eastAsia="zh-CN"/>
                    </w:rPr>
                    <w:t>。</w:t>
                  </w:r>
                </w:p>
              </w:tc>
              <w:tc>
                <w:tcPr>
                  <w:tcW w:w="439" w:type="pct"/>
                  <w:vMerge w:val="continue"/>
                  <w:tcBorders>
                    <w:tl2br w:val="nil"/>
                    <w:tr2bl w:val="nil"/>
                  </w:tcBorders>
                  <w:vAlign w:val="center"/>
                </w:tcPr>
                <w:p w14:paraId="31E0A834">
                  <w:pPr>
                    <w:pStyle w:val="30"/>
                    <w:bidi w:val="0"/>
                    <w:rPr>
                      <w:rFonts w:ascii="Times New Roman" w:hAnsi="Times New Roman" w:eastAsia="宋体"/>
                      <w:color w:val="auto"/>
                      <w:lang w:val="en-US" w:eastAsia="zh-CN"/>
                    </w:rPr>
                  </w:pPr>
                </w:p>
              </w:tc>
            </w:tr>
            <w:tr w14:paraId="5DEFAC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4190A5B6">
                  <w:pPr>
                    <w:pStyle w:val="30"/>
                    <w:bidi w:val="0"/>
                    <w:rPr>
                      <w:rFonts w:hint="eastAsia" w:ascii="Times New Roman" w:hAnsi="Times New Roman" w:eastAsia="宋体"/>
                      <w:b/>
                      <w:bCs/>
                      <w:color w:val="auto"/>
                      <w:lang w:val="en-US" w:eastAsia="zh-CN"/>
                    </w:rPr>
                  </w:pPr>
                </w:p>
              </w:tc>
              <w:tc>
                <w:tcPr>
                  <w:tcW w:w="268" w:type="pct"/>
                  <w:vMerge w:val="continue"/>
                  <w:tcBorders>
                    <w:tl2br w:val="nil"/>
                    <w:tr2bl w:val="nil"/>
                  </w:tcBorders>
                  <w:vAlign w:val="center"/>
                </w:tcPr>
                <w:p w14:paraId="00A7C1F0">
                  <w:pPr>
                    <w:pStyle w:val="30"/>
                    <w:bidi w:val="0"/>
                    <w:rPr>
                      <w:rFonts w:hint="eastAsia" w:ascii="Times New Roman" w:hAnsi="Times New Roman" w:eastAsia="宋体"/>
                      <w:b/>
                      <w:bCs/>
                      <w:color w:val="auto"/>
                      <w:lang w:val="en-US" w:eastAsia="zh-CN"/>
                    </w:rPr>
                  </w:pPr>
                </w:p>
              </w:tc>
              <w:tc>
                <w:tcPr>
                  <w:tcW w:w="2738" w:type="pct"/>
                  <w:tcBorders>
                    <w:tl2br w:val="nil"/>
                    <w:tr2bl w:val="nil"/>
                  </w:tcBorders>
                  <w:vAlign w:val="center"/>
                </w:tcPr>
                <w:p w14:paraId="39565490">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3、西区污水处理厂现状为城镇污水处理厂</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严禁接入不能被污水处理厂有效处理或可能影响污水处理厂出水水质达标的工业废水。</w:t>
                  </w:r>
                </w:p>
              </w:tc>
              <w:tc>
                <w:tcPr>
                  <w:tcW w:w="1286" w:type="pct"/>
                  <w:tcBorders>
                    <w:tl2br w:val="nil"/>
                    <w:tr2bl w:val="nil"/>
                  </w:tcBorders>
                  <w:vAlign w:val="center"/>
                </w:tcPr>
                <w:p w14:paraId="37877116">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本项目磨边废水、钻孔废水和清洗废水经沉淀后循环使用</w:t>
                  </w:r>
                  <w:r>
                    <w:rPr>
                      <w:rFonts w:hint="eastAsia" w:ascii="Times New Roman"/>
                      <w:color w:val="auto"/>
                      <w:lang w:val="en-US" w:eastAsia="zh-CN"/>
                    </w:rPr>
                    <w:t>。</w:t>
                  </w:r>
                </w:p>
              </w:tc>
              <w:tc>
                <w:tcPr>
                  <w:tcW w:w="439" w:type="pct"/>
                  <w:vMerge w:val="continue"/>
                  <w:tcBorders>
                    <w:tl2br w:val="nil"/>
                    <w:tr2bl w:val="nil"/>
                  </w:tcBorders>
                  <w:vAlign w:val="center"/>
                </w:tcPr>
                <w:p w14:paraId="4AB95FD3">
                  <w:pPr>
                    <w:pStyle w:val="30"/>
                    <w:bidi w:val="0"/>
                    <w:rPr>
                      <w:rFonts w:ascii="Times New Roman" w:hAnsi="Times New Roman" w:eastAsia="宋体"/>
                      <w:color w:val="auto"/>
                      <w:lang w:val="en-US" w:eastAsia="zh-CN"/>
                    </w:rPr>
                  </w:pPr>
                </w:p>
              </w:tc>
            </w:tr>
            <w:tr w14:paraId="50203A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39324F23">
                  <w:pPr>
                    <w:pStyle w:val="30"/>
                    <w:bidi w:val="0"/>
                    <w:rPr>
                      <w:rFonts w:hint="eastAsia" w:ascii="Times New Roman" w:hAnsi="Times New Roman" w:eastAsia="宋体"/>
                      <w:b w:val="0"/>
                      <w:bCs w:val="0"/>
                      <w:color w:val="auto"/>
                      <w:lang w:val="en-US" w:eastAsia="zh-CN"/>
                    </w:rPr>
                  </w:pPr>
                </w:p>
              </w:tc>
              <w:tc>
                <w:tcPr>
                  <w:tcW w:w="268" w:type="pct"/>
                  <w:vMerge w:val="restart"/>
                  <w:tcBorders>
                    <w:tl2br w:val="nil"/>
                    <w:tr2bl w:val="nil"/>
                  </w:tcBorders>
                  <w:vAlign w:val="center"/>
                </w:tcPr>
                <w:p w14:paraId="0BC58D51">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环境质量</w:t>
                  </w:r>
                </w:p>
              </w:tc>
              <w:tc>
                <w:tcPr>
                  <w:tcW w:w="2738" w:type="pct"/>
                  <w:tcBorders>
                    <w:tl2br w:val="nil"/>
                    <w:tr2bl w:val="nil"/>
                  </w:tcBorders>
                  <w:vAlign w:val="center"/>
                </w:tcPr>
                <w:p w14:paraId="054878AE">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1、大气环境质量达到《环境空气质量标准》二级标准、《环境影响评价技术导则大气环境》</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HJ2.2-2018</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附录D其他污染物空气质量浓度参考限值等 。</w:t>
                  </w:r>
                </w:p>
              </w:tc>
              <w:tc>
                <w:tcPr>
                  <w:tcW w:w="1286" w:type="pct"/>
                  <w:tcBorders>
                    <w:tl2br w:val="nil"/>
                    <w:tr2bl w:val="nil"/>
                  </w:tcBorders>
                  <w:vAlign w:val="center"/>
                </w:tcPr>
                <w:p w14:paraId="4CDE7973">
                  <w:pPr>
                    <w:pStyle w:val="30"/>
                    <w:bidi w:val="0"/>
                    <w:jc w:val="both"/>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根据《202</w:t>
                  </w:r>
                  <w:r>
                    <w:rPr>
                      <w:rFonts w:hint="eastAsia" w:ascii="Times New Roman"/>
                      <w:color w:val="auto"/>
                      <w:lang w:val="en-US" w:eastAsia="zh-CN"/>
                    </w:rPr>
                    <w:t>3</w:t>
                  </w:r>
                  <w:r>
                    <w:rPr>
                      <w:rFonts w:hint="default" w:ascii="Times New Roman" w:hAnsi="Times New Roman" w:eastAsia="宋体"/>
                      <w:color w:val="auto"/>
                      <w:lang w:val="en-US" w:eastAsia="zh-CN"/>
                    </w:rPr>
                    <w:t>年淮安市生态环境状况公报》</w:t>
                  </w:r>
                  <w:r>
                    <w:rPr>
                      <w:rFonts w:hint="eastAsia" w:ascii="Times New Roman" w:hAnsi="Times New Roman" w:eastAsia="宋体"/>
                      <w:color w:val="auto"/>
                      <w:lang w:val="en-US" w:eastAsia="zh-CN"/>
                    </w:rPr>
                    <w:t>，项目所在地大气环境质量</w:t>
                  </w:r>
                  <w:r>
                    <w:rPr>
                      <w:rFonts w:hint="eastAsia" w:ascii="Times New Roman"/>
                      <w:color w:val="auto"/>
                      <w:lang w:val="en-US" w:eastAsia="zh-CN"/>
                    </w:rPr>
                    <w:t>未</w:t>
                  </w:r>
                  <w:r>
                    <w:rPr>
                      <w:rFonts w:hint="eastAsia" w:ascii="Times New Roman" w:hAnsi="Times New Roman" w:eastAsia="宋体"/>
                      <w:color w:val="auto"/>
                      <w:lang w:val="en-US" w:eastAsia="zh-CN"/>
                    </w:rPr>
                    <w:t>达到《环境空气质量标准》二级标准</w:t>
                  </w:r>
                  <w:r>
                    <w:rPr>
                      <w:rFonts w:hint="eastAsia" w:ascii="Times New Roman"/>
                      <w:color w:val="auto"/>
                      <w:lang w:val="en-US" w:eastAsia="zh-CN"/>
                    </w:rPr>
                    <w:t>，不达标因子为PM</w:t>
                  </w:r>
                  <w:r>
                    <w:rPr>
                      <w:rFonts w:hint="eastAsia" w:ascii="Times New Roman"/>
                      <w:color w:val="auto"/>
                      <w:vertAlign w:val="subscript"/>
                      <w:lang w:val="en-US" w:eastAsia="zh-CN"/>
                    </w:rPr>
                    <w:t>2.5</w:t>
                  </w:r>
                  <w:r>
                    <w:rPr>
                      <w:rFonts w:hint="eastAsia" w:ascii="Times New Roman"/>
                      <w:color w:val="auto"/>
                      <w:vertAlign w:val="baseline"/>
                      <w:lang w:val="en-US" w:eastAsia="zh-CN"/>
                    </w:rPr>
                    <w:t>。</w:t>
                  </w:r>
                </w:p>
              </w:tc>
              <w:tc>
                <w:tcPr>
                  <w:tcW w:w="439" w:type="pct"/>
                  <w:vMerge w:val="restart"/>
                  <w:tcBorders>
                    <w:tl2br w:val="nil"/>
                    <w:tr2bl w:val="nil"/>
                  </w:tcBorders>
                  <w:vAlign w:val="center"/>
                </w:tcPr>
                <w:p w14:paraId="146BA504">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2C0DC2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72EC3EF2">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24A5B270">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16828C9F">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2、盐河执行《地表水环境质量标准》</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GB3838-2002</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Ⅲ类、涟中总干渠执行《地表水环境质量标准》</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GB3838-2002</w:t>
                  </w:r>
                  <w:r>
                    <w:rPr>
                      <w:rFonts w:hint="eastAsia" w:ascii="Times New Roman" w:hAnsi="Times New Roman" w:eastAsia="宋体"/>
                      <w:color w:val="auto"/>
                      <w:lang w:val="en-US" w:eastAsia="zh-CN"/>
                    </w:rPr>
                    <w:t>）</w:t>
                  </w:r>
                  <w:r>
                    <w:rPr>
                      <w:rFonts w:hint="eastAsia" w:ascii="Times New Roman"/>
                      <w:color w:val="auto"/>
                      <w:lang w:val="en-US" w:eastAsia="zh-CN"/>
                    </w:rPr>
                    <w:t>Ⅳ类</w:t>
                  </w:r>
                  <w:r>
                    <w:rPr>
                      <w:rFonts w:ascii="Times New Roman" w:hAnsi="Times New Roman" w:eastAsia="宋体"/>
                      <w:color w:val="auto"/>
                      <w:lang w:val="en-US" w:eastAsia="zh-CN"/>
                    </w:rPr>
                    <w:t>水标准；公兴河2025年按</w:t>
                  </w:r>
                  <w:r>
                    <w:rPr>
                      <w:rFonts w:hint="eastAsia" w:ascii="Times New Roman"/>
                      <w:color w:val="auto"/>
                      <w:lang w:val="en-US" w:eastAsia="zh-CN"/>
                    </w:rPr>
                    <w:t>Ⅳ类</w:t>
                  </w:r>
                  <w:r>
                    <w:rPr>
                      <w:rFonts w:ascii="Times New Roman" w:hAnsi="Times New Roman" w:eastAsia="宋体"/>
                      <w:color w:val="auto"/>
                      <w:lang w:val="en-US" w:eastAsia="zh-CN"/>
                    </w:rPr>
                    <w:t>考核</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2030年执行Ⅲ类。</w:t>
                  </w:r>
                </w:p>
              </w:tc>
              <w:tc>
                <w:tcPr>
                  <w:tcW w:w="1286" w:type="pct"/>
                  <w:tcBorders>
                    <w:tl2br w:val="nil"/>
                    <w:tr2bl w:val="nil"/>
                  </w:tcBorders>
                  <w:vAlign w:val="center"/>
                </w:tcPr>
                <w:p w14:paraId="007312BE">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生活污水</w:t>
                  </w:r>
                  <w:r>
                    <w:rPr>
                      <w:rFonts w:hint="eastAsia" w:ascii="Times New Roman"/>
                      <w:color w:val="auto"/>
                      <w:lang w:val="en-US" w:eastAsia="zh-CN"/>
                    </w:rPr>
                    <w:t>经化粪池处理后接管至涟水经济开发区西区污水处理厂处理。</w:t>
                  </w:r>
                </w:p>
              </w:tc>
              <w:tc>
                <w:tcPr>
                  <w:tcW w:w="439" w:type="pct"/>
                  <w:vMerge w:val="continue"/>
                  <w:tcBorders>
                    <w:tl2br w:val="nil"/>
                    <w:tr2bl w:val="nil"/>
                  </w:tcBorders>
                  <w:vAlign w:val="center"/>
                </w:tcPr>
                <w:p w14:paraId="644ECEDA">
                  <w:pPr>
                    <w:pStyle w:val="30"/>
                    <w:bidi w:val="0"/>
                    <w:rPr>
                      <w:rFonts w:ascii="Times New Roman" w:hAnsi="Times New Roman" w:eastAsia="宋体"/>
                      <w:color w:val="auto"/>
                      <w:lang w:val="en-US" w:eastAsia="zh-CN"/>
                    </w:rPr>
                  </w:pPr>
                </w:p>
              </w:tc>
            </w:tr>
            <w:tr w14:paraId="794B02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7CCA6188">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1A81430E">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0122D12F">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3、土壤建设用地满足《土壤环境质量建设用地土壤污染风险管控标准》</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GB36600-2018</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筛选值中的第一类、第二类用地标准。</w:t>
                  </w:r>
                </w:p>
              </w:tc>
              <w:tc>
                <w:tcPr>
                  <w:tcW w:w="1286" w:type="pct"/>
                  <w:tcBorders>
                    <w:tl2br w:val="nil"/>
                    <w:tr2bl w:val="nil"/>
                  </w:tcBorders>
                  <w:vAlign w:val="center"/>
                </w:tcPr>
                <w:p w14:paraId="45AAFBD1">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项目用地为工业用地</w:t>
                  </w:r>
                  <w:r>
                    <w:rPr>
                      <w:rFonts w:hint="eastAsia" w:ascii="Times New Roman"/>
                      <w:color w:val="auto"/>
                      <w:lang w:val="en-US" w:eastAsia="zh-CN"/>
                    </w:rPr>
                    <w:t>。</w:t>
                  </w:r>
                </w:p>
              </w:tc>
              <w:tc>
                <w:tcPr>
                  <w:tcW w:w="439" w:type="pct"/>
                  <w:vMerge w:val="continue"/>
                  <w:tcBorders>
                    <w:tl2br w:val="nil"/>
                    <w:tr2bl w:val="nil"/>
                  </w:tcBorders>
                  <w:vAlign w:val="center"/>
                </w:tcPr>
                <w:p w14:paraId="45FB7A0C">
                  <w:pPr>
                    <w:pStyle w:val="30"/>
                    <w:bidi w:val="0"/>
                    <w:rPr>
                      <w:rFonts w:ascii="Times New Roman" w:hAnsi="Times New Roman" w:eastAsia="宋体"/>
                      <w:color w:val="auto"/>
                      <w:lang w:val="en-US" w:eastAsia="zh-CN"/>
                    </w:rPr>
                  </w:pPr>
                </w:p>
              </w:tc>
            </w:tr>
            <w:tr w14:paraId="7CC1EE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7B286F90">
                  <w:pPr>
                    <w:pStyle w:val="30"/>
                    <w:bidi w:val="0"/>
                    <w:rPr>
                      <w:rFonts w:hint="eastAsia" w:ascii="Times New Roman" w:hAnsi="Times New Roman" w:eastAsia="宋体"/>
                      <w:b w:val="0"/>
                      <w:bCs w:val="0"/>
                      <w:color w:val="auto"/>
                      <w:lang w:val="en-US" w:eastAsia="zh-CN"/>
                    </w:rPr>
                  </w:pPr>
                </w:p>
              </w:tc>
              <w:tc>
                <w:tcPr>
                  <w:tcW w:w="268" w:type="pct"/>
                  <w:vMerge w:val="restart"/>
                  <w:tcBorders>
                    <w:tl2br w:val="nil"/>
                    <w:tr2bl w:val="nil"/>
                  </w:tcBorders>
                  <w:vAlign w:val="center"/>
                </w:tcPr>
                <w:p w14:paraId="4ECB8F4C">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污染物排放总量</w:t>
                  </w:r>
                </w:p>
              </w:tc>
              <w:tc>
                <w:tcPr>
                  <w:tcW w:w="2738" w:type="pct"/>
                  <w:tcBorders>
                    <w:tl2br w:val="nil"/>
                    <w:tr2bl w:val="nil"/>
                  </w:tcBorders>
                  <w:vAlign w:val="center"/>
                </w:tcPr>
                <w:p w14:paraId="12499E47">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w:t>
                  </w:r>
                  <w:r>
                    <w:rPr>
                      <w:rFonts w:hint="eastAsia" w:ascii="Times New Roman"/>
                      <w:color w:val="auto"/>
                      <w:lang w:val="en-US" w:eastAsia="zh-CN"/>
                    </w:rPr>
                    <w:t>空气污染物</w:t>
                  </w:r>
                  <w:r>
                    <w:rPr>
                      <w:rFonts w:ascii="Times New Roman" w:hAnsi="Times New Roman" w:eastAsia="宋体"/>
                      <w:color w:val="auto"/>
                      <w:lang w:val="en-US" w:eastAsia="zh-CN"/>
                    </w:rPr>
                    <w:t>：二氧化硫61.36吨/年、二氧化氮99.65吨/年、烟粉尘58.97吨/年、挥发性有机物80.7吨/年。</w:t>
                  </w:r>
                </w:p>
              </w:tc>
              <w:tc>
                <w:tcPr>
                  <w:tcW w:w="1286" w:type="pct"/>
                  <w:tcBorders>
                    <w:tl2br w:val="nil"/>
                    <w:tr2bl w:val="nil"/>
                  </w:tcBorders>
                  <w:vAlign w:val="center"/>
                </w:tcPr>
                <w:p w14:paraId="439B960C">
                  <w:pPr>
                    <w:pStyle w:val="30"/>
                    <w:bidi w:val="0"/>
                    <w:jc w:val="both"/>
                    <w:rPr>
                      <w:rFonts w:hint="default" w:ascii="Times New Roman" w:hAnsi="Times New Roman" w:eastAsia="宋体"/>
                      <w:color w:val="FF0000"/>
                      <w:lang w:val="en-US" w:eastAsia="zh-CN"/>
                    </w:rPr>
                  </w:pPr>
                  <w:r>
                    <w:rPr>
                      <w:rFonts w:hint="eastAsia" w:ascii="Times New Roman" w:hAnsi="Times New Roman" w:eastAsia="宋体"/>
                      <w:color w:val="auto"/>
                      <w:lang w:val="en-US" w:eastAsia="zh-CN"/>
                    </w:rPr>
                    <w:t>本项目有机废气排放量为</w:t>
                  </w:r>
                  <w:r>
                    <w:rPr>
                      <w:rFonts w:hint="eastAsia" w:ascii="Times New Roman"/>
                      <w:color w:val="auto"/>
                      <w:lang w:val="en-US" w:eastAsia="zh-CN"/>
                    </w:rPr>
                    <w:t>0.108</w:t>
                  </w:r>
                  <w:r>
                    <w:rPr>
                      <w:rFonts w:hint="eastAsia" w:ascii="Times New Roman" w:hAnsi="Times New Roman" w:eastAsia="宋体"/>
                      <w:color w:val="auto"/>
                      <w:lang w:val="en-US" w:eastAsia="zh-CN"/>
                    </w:rPr>
                    <w:t>吨/年</w:t>
                  </w:r>
                  <w:r>
                    <w:rPr>
                      <w:rFonts w:hint="eastAsia" w:ascii="Times New Roman"/>
                      <w:color w:val="auto"/>
                      <w:lang w:val="en-US" w:eastAsia="zh-CN"/>
                    </w:rPr>
                    <w:t>。</w:t>
                  </w:r>
                </w:p>
              </w:tc>
              <w:tc>
                <w:tcPr>
                  <w:tcW w:w="439" w:type="pct"/>
                  <w:vMerge w:val="restart"/>
                  <w:tcBorders>
                    <w:tl2br w:val="nil"/>
                    <w:tr2bl w:val="nil"/>
                  </w:tcBorders>
                  <w:vAlign w:val="center"/>
                </w:tcPr>
                <w:p w14:paraId="6228175C">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24C506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236FE40C">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00FE50CD">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3E26BFF2">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2、废水污染物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接管量/排放量</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废水量1480.18/1273.2万吨/年</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COD6053.89/636.6吨/年</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氨氮443.62/63.66吨/年、总磷91.5/6.37吨/年、总氮576.11/190.98吨/年</w:t>
                  </w:r>
                </w:p>
              </w:tc>
              <w:tc>
                <w:tcPr>
                  <w:tcW w:w="1286" w:type="pct"/>
                  <w:tcBorders>
                    <w:tl2br w:val="nil"/>
                    <w:tr2bl w:val="nil"/>
                  </w:tcBorders>
                  <w:vAlign w:val="center"/>
                </w:tcPr>
                <w:p w14:paraId="15A20A36">
                  <w:pPr>
                    <w:pStyle w:val="30"/>
                    <w:bidi w:val="0"/>
                    <w:jc w:val="both"/>
                    <w:rPr>
                      <w:rFonts w:hint="default" w:ascii="Times New Roman" w:hAnsi="Times New Roman" w:eastAsia="宋体"/>
                      <w:color w:val="FF0000"/>
                      <w:lang w:val="en-US" w:eastAsia="zh-CN"/>
                    </w:rPr>
                  </w:pPr>
                  <w:r>
                    <w:rPr>
                      <w:rFonts w:ascii="Times New Roman" w:hAnsi="Times New Roman" w:eastAsia="宋体"/>
                      <w:color w:val="auto"/>
                      <w:lang w:val="en-US" w:eastAsia="zh-CN"/>
                    </w:rPr>
                    <w:t>废水污染物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接管量/排放量</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废水量</w:t>
                  </w:r>
                  <w:r>
                    <w:rPr>
                      <w:rFonts w:hint="eastAsia" w:ascii="Times New Roman"/>
                      <w:color w:val="auto"/>
                      <w:lang w:val="en-US" w:eastAsia="zh-CN"/>
                    </w:rPr>
                    <w:t>360</w:t>
                  </w:r>
                  <w:r>
                    <w:rPr>
                      <w:rFonts w:hint="eastAsia" w:ascii="Times New Roman" w:hAnsi="Times New Roman" w:eastAsia="宋体"/>
                      <w:color w:val="auto"/>
                      <w:lang w:val="en-US" w:eastAsia="zh-CN"/>
                    </w:rPr>
                    <w:t>t/a，</w:t>
                  </w:r>
                  <w:r>
                    <w:rPr>
                      <w:rFonts w:ascii="Times New Roman" w:hAnsi="Times New Roman" w:eastAsia="宋体"/>
                      <w:color w:val="auto"/>
                      <w:lang w:val="en-US" w:eastAsia="zh-CN"/>
                    </w:rPr>
                    <w:t>COD</w:t>
                  </w:r>
                  <w:r>
                    <w:rPr>
                      <w:rFonts w:hint="eastAsia" w:ascii="Times New Roman" w:hAnsi="Times New Roman" w:eastAsia="宋体"/>
                      <w:color w:val="auto"/>
                      <w:lang w:val="en-US" w:eastAsia="zh-CN"/>
                    </w:rPr>
                    <w:t>0.0</w:t>
                  </w:r>
                  <w:r>
                    <w:rPr>
                      <w:rFonts w:hint="eastAsia" w:ascii="Times New Roman"/>
                      <w:color w:val="auto"/>
                      <w:lang w:val="en-US" w:eastAsia="zh-CN"/>
                    </w:rPr>
                    <w:t>9</w:t>
                  </w:r>
                  <w:r>
                    <w:rPr>
                      <w:rFonts w:ascii="Times New Roman" w:hAnsi="Times New Roman" w:eastAsia="宋体"/>
                      <w:color w:val="auto"/>
                      <w:lang w:val="en-US" w:eastAsia="zh-CN"/>
                    </w:rPr>
                    <w:t>/</w:t>
                  </w:r>
                  <w:r>
                    <w:rPr>
                      <w:rFonts w:hint="eastAsia" w:ascii="Times New Roman" w:hAnsi="Times New Roman" w:eastAsia="宋体"/>
                      <w:color w:val="auto"/>
                      <w:lang w:val="en-US" w:eastAsia="zh-CN"/>
                    </w:rPr>
                    <w:t>0.0</w:t>
                  </w:r>
                  <w:r>
                    <w:rPr>
                      <w:rFonts w:hint="eastAsia" w:ascii="Times New Roman"/>
                      <w:color w:val="auto"/>
                      <w:lang w:val="en-US" w:eastAsia="zh-CN"/>
                    </w:rPr>
                    <w:t>18</w:t>
                  </w:r>
                  <w:r>
                    <w:rPr>
                      <w:rFonts w:hint="eastAsia" w:ascii="Times New Roman" w:hAnsi="Times New Roman" w:eastAsia="宋体"/>
                      <w:color w:val="auto"/>
                      <w:lang w:val="en-US" w:eastAsia="zh-CN"/>
                    </w:rPr>
                    <w:t>t/a</w:t>
                  </w:r>
                  <w:r>
                    <w:rPr>
                      <w:rFonts w:ascii="Times New Roman" w:hAnsi="Times New Roman" w:eastAsia="宋体"/>
                      <w:color w:val="auto"/>
                      <w:lang w:val="en-US" w:eastAsia="zh-CN"/>
                    </w:rPr>
                    <w:t>氨氮</w:t>
                  </w:r>
                  <w:r>
                    <w:rPr>
                      <w:rFonts w:hint="eastAsia" w:ascii="Times New Roman" w:hAnsi="Times New Roman" w:eastAsia="宋体"/>
                      <w:color w:val="auto"/>
                      <w:lang w:val="en-US" w:eastAsia="zh-CN"/>
                    </w:rPr>
                    <w:t>0.0</w:t>
                  </w:r>
                  <w:r>
                    <w:rPr>
                      <w:rFonts w:hint="eastAsia" w:ascii="Times New Roman"/>
                      <w:color w:val="auto"/>
                      <w:lang w:val="en-US" w:eastAsia="zh-CN"/>
                    </w:rPr>
                    <w:t>09</w:t>
                  </w:r>
                  <w:r>
                    <w:rPr>
                      <w:rFonts w:ascii="Times New Roman" w:hAnsi="Times New Roman" w:eastAsia="宋体"/>
                      <w:color w:val="auto"/>
                      <w:lang w:val="en-US" w:eastAsia="zh-CN"/>
                    </w:rPr>
                    <w:t>/</w:t>
                  </w:r>
                  <w:r>
                    <w:rPr>
                      <w:rFonts w:hint="eastAsia" w:ascii="Times New Roman" w:hAnsi="Times New Roman" w:eastAsia="宋体"/>
                      <w:color w:val="auto"/>
                      <w:lang w:val="en-US" w:eastAsia="zh-CN"/>
                    </w:rPr>
                    <w:t>0.00</w:t>
                  </w:r>
                  <w:r>
                    <w:rPr>
                      <w:rFonts w:hint="eastAsia" w:ascii="Times New Roman"/>
                      <w:color w:val="auto"/>
                      <w:lang w:val="en-US" w:eastAsia="zh-CN"/>
                    </w:rPr>
                    <w:t>18</w:t>
                  </w:r>
                  <w:r>
                    <w:rPr>
                      <w:rFonts w:hint="eastAsia" w:ascii="Times New Roman" w:hAnsi="Times New Roman" w:eastAsia="宋体"/>
                      <w:color w:val="auto"/>
                      <w:lang w:val="en-US" w:eastAsia="zh-CN"/>
                    </w:rPr>
                    <w:t>t/a</w:t>
                  </w:r>
                  <w:r>
                    <w:rPr>
                      <w:rFonts w:ascii="Times New Roman" w:hAnsi="Times New Roman" w:eastAsia="宋体"/>
                      <w:color w:val="auto"/>
                      <w:lang w:val="en-US" w:eastAsia="zh-CN"/>
                    </w:rPr>
                    <w:t>总磷</w:t>
                  </w:r>
                  <w:r>
                    <w:rPr>
                      <w:rFonts w:hint="eastAsia" w:ascii="Times New Roman" w:hAnsi="Times New Roman" w:eastAsia="宋体"/>
                      <w:color w:val="auto"/>
                      <w:lang w:val="en-US" w:eastAsia="zh-CN"/>
                    </w:rPr>
                    <w:t>0.0</w:t>
                  </w:r>
                  <w:r>
                    <w:rPr>
                      <w:rFonts w:hint="eastAsia" w:ascii="Times New Roman"/>
                      <w:color w:val="auto"/>
                      <w:lang w:val="en-US" w:eastAsia="zh-CN"/>
                    </w:rPr>
                    <w:t>01</w:t>
                  </w:r>
                  <w:r>
                    <w:rPr>
                      <w:rFonts w:ascii="Times New Roman" w:hAnsi="Times New Roman" w:eastAsia="宋体"/>
                      <w:color w:val="auto"/>
                      <w:lang w:val="en-US" w:eastAsia="zh-CN"/>
                    </w:rPr>
                    <w:t>/</w:t>
                  </w:r>
                  <w:r>
                    <w:rPr>
                      <w:rFonts w:hint="eastAsia" w:ascii="Times New Roman" w:hAnsi="Times New Roman" w:eastAsia="宋体"/>
                      <w:color w:val="auto"/>
                      <w:lang w:val="en-US" w:eastAsia="zh-CN"/>
                    </w:rPr>
                    <w:t>0.00</w:t>
                  </w:r>
                  <w:r>
                    <w:rPr>
                      <w:rFonts w:hint="eastAsia" w:ascii="Times New Roman"/>
                      <w:color w:val="auto"/>
                      <w:lang w:val="en-US" w:eastAsia="zh-CN"/>
                    </w:rPr>
                    <w:t>02</w:t>
                  </w:r>
                  <w:r>
                    <w:rPr>
                      <w:rFonts w:hint="eastAsia" w:ascii="Times New Roman" w:hAnsi="Times New Roman" w:eastAsia="宋体"/>
                      <w:color w:val="auto"/>
                      <w:lang w:val="en-US" w:eastAsia="zh-CN"/>
                    </w:rPr>
                    <w:t>t/a</w:t>
                  </w:r>
                  <w:r>
                    <w:rPr>
                      <w:rFonts w:ascii="Times New Roman" w:hAnsi="Times New Roman" w:eastAsia="宋体"/>
                      <w:color w:val="auto"/>
                      <w:lang w:val="en-US" w:eastAsia="zh-CN"/>
                    </w:rPr>
                    <w:t>总氮</w:t>
                  </w:r>
                  <w:r>
                    <w:rPr>
                      <w:rFonts w:hint="eastAsia" w:ascii="Times New Roman" w:hAnsi="Times New Roman" w:eastAsia="宋体"/>
                      <w:color w:val="auto"/>
                      <w:lang w:val="en-US" w:eastAsia="zh-CN"/>
                    </w:rPr>
                    <w:t>0.0</w:t>
                  </w:r>
                  <w:r>
                    <w:rPr>
                      <w:rFonts w:hint="eastAsia" w:ascii="Times New Roman"/>
                      <w:color w:val="auto"/>
                      <w:lang w:val="en-US" w:eastAsia="zh-CN"/>
                    </w:rPr>
                    <w:t>13</w:t>
                  </w:r>
                  <w:r>
                    <w:rPr>
                      <w:rFonts w:ascii="Times New Roman" w:hAnsi="Times New Roman" w:eastAsia="宋体"/>
                      <w:color w:val="auto"/>
                      <w:lang w:val="en-US" w:eastAsia="zh-CN"/>
                    </w:rPr>
                    <w:t>/</w:t>
                  </w:r>
                  <w:r>
                    <w:rPr>
                      <w:rFonts w:hint="eastAsia" w:ascii="Times New Roman" w:hAnsi="Times New Roman" w:eastAsia="宋体"/>
                      <w:color w:val="auto"/>
                      <w:lang w:val="en-US" w:eastAsia="zh-CN"/>
                    </w:rPr>
                    <w:t>0.00</w:t>
                  </w:r>
                  <w:r>
                    <w:rPr>
                      <w:rFonts w:hint="eastAsia" w:ascii="Times New Roman"/>
                      <w:color w:val="auto"/>
                      <w:lang w:val="en-US" w:eastAsia="zh-CN"/>
                    </w:rPr>
                    <w:t>54</w:t>
                  </w:r>
                  <w:r>
                    <w:rPr>
                      <w:rFonts w:hint="eastAsia" w:ascii="Times New Roman" w:hAnsi="Times New Roman" w:eastAsia="宋体"/>
                      <w:color w:val="auto"/>
                      <w:lang w:val="en-US" w:eastAsia="zh-CN"/>
                    </w:rPr>
                    <w:t>t/a</w:t>
                  </w:r>
                  <w:r>
                    <w:rPr>
                      <w:rFonts w:hint="eastAsia" w:ascii="Times New Roman"/>
                      <w:color w:val="auto"/>
                      <w:lang w:val="en-US" w:eastAsia="zh-CN"/>
                    </w:rPr>
                    <w:t>。</w:t>
                  </w:r>
                </w:p>
              </w:tc>
              <w:tc>
                <w:tcPr>
                  <w:tcW w:w="439" w:type="pct"/>
                  <w:vMerge w:val="continue"/>
                  <w:tcBorders>
                    <w:tl2br w:val="nil"/>
                    <w:tr2bl w:val="nil"/>
                  </w:tcBorders>
                  <w:vAlign w:val="center"/>
                </w:tcPr>
                <w:p w14:paraId="40AE809F">
                  <w:pPr>
                    <w:pStyle w:val="30"/>
                    <w:bidi w:val="0"/>
                    <w:rPr>
                      <w:rFonts w:ascii="Times New Roman" w:hAnsi="Times New Roman" w:eastAsia="宋体"/>
                      <w:color w:val="auto"/>
                      <w:lang w:val="en-US" w:eastAsia="zh-CN"/>
                    </w:rPr>
                  </w:pPr>
                </w:p>
              </w:tc>
            </w:tr>
            <w:tr w14:paraId="0B17BC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32E50913">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0C54B19A">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253E6BCE">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3、固体废物： 一般工业固废73671.16t/a、危废废物1904.15 t/a。全部综合利用或者委外合法安全处置</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不外排。</w:t>
                  </w:r>
                </w:p>
              </w:tc>
              <w:tc>
                <w:tcPr>
                  <w:tcW w:w="1286" w:type="pct"/>
                  <w:tcBorders>
                    <w:tl2br w:val="nil"/>
                    <w:tr2bl w:val="nil"/>
                  </w:tcBorders>
                  <w:vAlign w:val="center"/>
                </w:tcPr>
                <w:p w14:paraId="4C9371D8">
                  <w:pPr>
                    <w:pStyle w:val="30"/>
                    <w:bidi w:val="0"/>
                    <w:jc w:val="both"/>
                    <w:rPr>
                      <w:rFonts w:ascii="Times New Roman" w:hAnsi="Times New Roman" w:eastAsia="宋体"/>
                      <w:color w:val="auto"/>
                      <w:lang w:val="en-US" w:eastAsia="zh-CN"/>
                    </w:rPr>
                  </w:pPr>
                  <w:r>
                    <w:rPr>
                      <w:rFonts w:hint="eastAsia" w:ascii="Times New Roman"/>
                      <w:color w:val="auto"/>
                      <w:lang w:val="en-US" w:eastAsia="zh-CN"/>
                    </w:rPr>
                    <w:t>本项目固体废物</w:t>
                  </w:r>
                  <w:r>
                    <w:rPr>
                      <w:rFonts w:ascii="Times New Roman" w:hAnsi="Times New Roman" w:eastAsia="宋体"/>
                      <w:color w:val="auto"/>
                      <w:lang w:val="en-US" w:eastAsia="zh-CN"/>
                    </w:rPr>
                    <w:t>全部综合利用或者委外合法安全处置</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不外排。</w:t>
                  </w:r>
                </w:p>
              </w:tc>
              <w:tc>
                <w:tcPr>
                  <w:tcW w:w="439" w:type="pct"/>
                  <w:vMerge w:val="continue"/>
                  <w:tcBorders>
                    <w:tl2br w:val="nil"/>
                    <w:tr2bl w:val="nil"/>
                  </w:tcBorders>
                  <w:vAlign w:val="center"/>
                </w:tcPr>
                <w:p w14:paraId="7BBF3226">
                  <w:pPr>
                    <w:pStyle w:val="30"/>
                    <w:bidi w:val="0"/>
                    <w:rPr>
                      <w:rFonts w:ascii="Times New Roman" w:hAnsi="Times New Roman" w:eastAsia="宋体"/>
                      <w:color w:val="auto"/>
                      <w:lang w:val="en-US" w:eastAsia="zh-CN"/>
                    </w:rPr>
                  </w:pPr>
                </w:p>
              </w:tc>
            </w:tr>
            <w:tr w14:paraId="424229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7" w:type="pct"/>
                  <w:vMerge w:val="continue"/>
                  <w:tcBorders>
                    <w:tl2br w:val="nil"/>
                    <w:tr2bl w:val="nil"/>
                  </w:tcBorders>
                  <w:vAlign w:val="center"/>
                </w:tcPr>
                <w:p w14:paraId="7BEE1526">
                  <w:pPr>
                    <w:pStyle w:val="30"/>
                    <w:bidi w:val="0"/>
                    <w:rPr>
                      <w:rFonts w:hint="eastAsia" w:ascii="Times New Roman" w:hAnsi="Times New Roman" w:eastAsia="宋体"/>
                      <w:b w:val="0"/>
                      <w:bCs w:val="0"/>
                      <w:color w:val="auto"/>
                      <w:lang w:val="en-US" w:eastAsia="zh-CN"/>
                    </w:rPr>
                  </w:pPr>
                </w:p>
              </w:tc>
              <w:tc>
                <w:tcPr>
                  <w:tcW w:w="268" w:type="pct"/>
                  <w:vMerge w:val="continue"/>
                  <w:tcBorders>
                    <w:tl2br w:val="nil"/>
                    <w:tr2bl w:val="nil"/>
                  </w:tcBorders>
                  <w:vAlign w:val="center"/>
                </w:tcPr>
                <w:p w14:paraId="516F0E5F">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01CD67CD">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4、产生危险废物及一般固体废物的企事业单位</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在贮存、转移、利用固体废物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含危险废物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过程中</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应配套防扬散、防流失、防渗漏及其他防止污染环境的措施。</w:t>
                  </w:r>
                </w:p>
              </w:tc>
              <w:tc>
                <w:tcPr>
                  <w:tcW w:w="1286" w:type="pct"/>
                  <w:tcBorders>
                    <w:tl2br w:val="nil"/>
                    <w:tr2bl w:val="nil"/>
                  </w:tcBorders>
                  <w:vAlign w:val="center"/>
                </w:tcPr>
                <w:p w14:paraId="60483ED0">
                  <w:pPr>
                    <w:pStyle w:val="30"/>
                    <w:bidi w:val="0"/>
                    <w:jc w:val="both"/>
                    <w:rPr>
                      <w:rFonts w:ascii="Times New Roman" w:hAnsi="Times New Roman" w:eastAsia="宋体"/>
                      <w:color w:val="auto"/>
                      <w:lang w:val="en-US" w:eastAsia="zh-CN"/>
                    </w:rPr>
                  </w:pPr>
                  <w:r>
                    <w:rPr>
                      <w:rFonts w:hint="eastAsia" w:ascii="Times New Roman" w:hAnsi="Times New Roman" w:eastAsia="宋体"/>
                      <w:color w:val="auto"/>
                      <w:lang w:val="en-US" w:eastAsia="zh-CN"/>
                    </w:rPr>
                    <w:t>本项目设置一般固废库和危废暂存</w:t>
                  </w:r>
                  <w:r>
                    <w:rPr>
                      <w:rFonts w:hint="eastAsia" w:ascii="Times New Roman"/>
                      <w:color w:val="auto"/>
                      <w:lang w:val="en-US" w:eastAsia="zh-CN"/>
                    </w:rPr>
                    <w:t>间</w:t>
                  </w:r>
                  <w:r>
                    <w:rPr>
                      <w:rFonts w:hint="eastAsia" w:ascii="Times New Roman" w:hAnsi="Times New Roman" w:eastAsia="宋体"/>
                      <w:color w:val="auto"/>
                      <w:lang w:val="en-US" w:eastAsia="zh-CN"/>
                    </w:rPr>
                    <w:t>，固体废物全部合理处置，可以实现零排放。</w:t>
                  </w:r>
                </w:p>
              </w:tc>
              <w:tc>
                <w:tcPr>
                  <w:tcW w:w="439" w:type="pct"/>
                  <w:vMerge w:val="continue"/>
                  <w:tcBorders>
                    <w:tl2br w:val="nil"/>
                    <w:tr2bl w:val="nil"/>
                  </w:tcBorders>
                  <w:vAlign w:val="center"/>
                </w:tcPr>
                <w:p w14:paraId="602C0E35">
                  <w:pPr>
                    <w:pStyle w:val="30"/>
                    <w:bidi w:val="0"/>
                    <w:rPr>
                      <w:rFonts w:ascii="Times New Roman" w:hAnsi="Times New Roman" w:eastAsia="宋体"/>
                      <w:color w:val="auto"/>
                      <w:lang w:val="en-US" w:eastAsia="zh-CN"/>
                    </w:rPr>
                  </w:pPr>
                </w:p>
              </w:tc>
            </w:tr>
            <w:tr w14:paraId="3FBD40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restart"/>
                  <w:tcBorders>
                    <w:tl2br w:val="nil"/>
                    <w:tr2bl w:val="nil"/>
                  </w:tcBorders>
                  <w:vAlign w:val="center"/>
                </w:tcPr>
                <w:p w14:paraId="23E3D9E4">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环境风险防控</w:t>
                  </w:r>
                </w:p>
              </w:tc>
              <w:tc>
                <w:tcPr>
                  <w:tcW w:w="2738" w:type="pct"/>
                  <w:tcBorders>
                    <w:tl2br w:val="nil"/>
                    <w:tr2bl w:val="nil"/>
                  </w:tcBorders>
                  <w:vAlign w:val="center"/>
                </w:tcPr>
                <w:p w14:paraId="57115DBC">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1、开发区应定期编制环境风险评估报告和应急预案；对于涉及易导致环境风险的有毒有害和易燃易爆物质的生产、使用、排放、贮存的企业</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必须编制环境风险应急预案和风险评估报告并备案</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严格按要求完善环境风险防范措施</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定期开展演练。</w:t>
                  </w:r>
                </w:p>
              </w:tc>
              <w:tc>
                <w:tcPr>
                  <w:tcW w:w="1286" w:type="pct"/>
                  <w:tcBorders>
                    <w:tl2br w:val="nil"/>
                    <w:tr2bl w:val="nil"/>
                  </w:tcBorders>
                  <w:vAlign w:val="center"/>
                </w:tcPr>
                <w:p w14:paraId="192248A4">
                  <w:pPr>
                    <w:pStyle w:val="30"/>
                    <w:bidi w:val="0"/>
                    <w:jc w:val="both"/>
                    <w:rPr>
                      <w:rFonts w:hint="default" w:ascii="Times New Roman" w:hAnsi="Times New Roman" w:eastAsia="宋体"/>
                      <w:color w:val="auto"/>
                      <w:lang w:val="en-US" w:eastAsia="zh-CN"/>
                    </w:rPr>
                  </w:pPr>
                  <w:r>
                    <w:rPr>
                      <w:rFonts w:ascii="Times New Roman" w:hAnsi="Times New Roman" w:eastAsia="宋体"/>
                      <w:color w:val="auto"/>
                      <w:lang w:val="en-US" w:eastAsia="zh-CN"/>
                    </w:rPr>
                    <w:t>本项目将制定环境风险应急预案</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建立完善的环境应急措施</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并将应急装备和储备物资纳入储备体系</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积极响应市、县、乡突发环境事件应急响应体系</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并积极参加定期组织的演练</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从而提高应急处置能力。</w:t>
                  </w:r>
                </w:p>
              </w:tc>
              <w:tc>
                <w:tcPr>
                  <w:tcW w:w="439" w:type="pct"/>
                  <w:vMerge w:val="restart"/>
                  <w:tcBorders>
                    <w:tl2br w:val="nil"/>
                    <w:tr2bl w:val="nil"/>
                  </w:tcBorders>
                  <w:vAlign w:val="center"/>
                </w:tcPr>
                <w:p w14:paraId="718EE9B9">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6C383A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4FBA79BC">
                  <w:pPr>
                    <w:pStyle w:val="30"/>
                    <w:bidi w:val="0"/>
                    <w:rPr>
                      <w:rFonts w:hint="eastAsia" w:ascii="Times New Roman" w:hAnsi="Times New Roman" w:eastAsia="宋体"/>
                      <w:b w:val="0"/>
                      <w:bCs w:val="0"/>
                      <w:color w:val="auto"/>
                      <w:lang w:val="en-US" w:eastAsia="zh-CN"/>
                    </w:rPr>
                  </w:pPr>
                </w:p>
              </w:tc>
              <w:tc>
                <w:tcPr>
                  <w:tcW w:w="2738" w:type="pct"/>
                  <w:tcBorders>
                    <w:tl2br w:val="nil"/>
                    <w:tr2bl w:val="nil"/>
                  </w:tcBorders>
                  <w:vAlign w:val="center"/>
                </w:tcPr>
                <w:p w14:paraId="0A1D6790">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2、企业事业单位拆除设施、设备或者建筑物、构筑物的</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应当采取相应的土壤污染防治措施。土壤污染重点监管单位拆除设施、设备或者建筑物、构筑物的</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应当制定包括应急措施在内的土壤污染防治工作方案</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报地方人民政府生态环境、工业和信息化主管部门备案并实施。</w:t>
                  </w:r>
                </w:p>
              </w:tc>
              <w:tc>
                <w:tcPr>
                  <w:tcW w:w="1286" w:type="pct"/>
                  <w:tcBorders>
                    <w:tl2br w:val="nil"/>
                    <w:tr2bl w:val="nil"/>
                  </w:tcBorders>
                  <w:vAlign w:val="center"/>
                </w:tcPr>
                <w:p w14:paraId="4D772550">
                  <w:pPr>
                    <w:pStyle w:val="30"/>
                    <w:bidi w:val="0"/>
                    <w:jc w:val="both"/>
                    <w:rPr>
                      <w:rFonts w:ascii="Times New Roman" w:hAnsi="Times New Roman" w:eastAsia="宋体"/>
                      <w:color w:val="auto"/>
                      <w:lang w:val="en-US" w:eastAsia="zh-CN"/>
                    </w:rPr>
                  </w:pPr>
                  <w:r>
                    <w:rPr>
                      <w:rFonts w:hint="eastAsia" w:ascii="Times New Roman" w:hAnsi="Times New Roman" w:eastAsia="宋体"/>
                      <w:color w:val="auto"/>
                      <w:lang w:val="en-US" w:eastAsia="zh-CN"/>
                    </w:rPr>
                    <w:t>本项目不涉及拆除工程</w:t>
                  </w:r>
                  <w:r>
                    <w:rPr>
                      <w:rFonts w:hint="eastAsia" w:ascii="Times New Roman"/>
                      <w:color w:val="auto"/>
                      <w:lang w:val="en-US" w:eastAsia="zh-CN"/>
                    </w:rPr>
                    <w:t>。</w:t>
                  </w:r>
                </w:p>
              </w:tc>
              <w:tc>
                <w:tcPr>
                  <w:tcW w:w="439" w:type="pct"/>
                  <w:vMerge w:val="continue"/>
                  <w:tcBorders>
                    <w:tl2br w:val="nil"/>
                    <w:tr2bl w:val="nil"/>
                  </w:tcBorders>
                  <w:vAlign w:val="center"/>
                </w:tcPr>
                <w:p w14:paraId="06294D58">
                  <w:pPr>
                    <w:pStyle w:val="30"/>
                    <w:bidi w:val="0"/>
                    <w:rPr>
                      <w:rFonts w:ascii="Times New Roman" w:hAnsi="Times New Roman" w:eastAsia="宋体"/>
                      <w:color w:val="auto"/>
                      <w:lang w:val="en-US" w:eastAsia="zh-CN"/>
                    </w:rPr>
                  </w:pPr>
                </w:p>
              </w:tc>
            </w:tr>
            <w:tr w14:paraId="264EF7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restart"/>
                  <w:tcBorders>
                    <w:tl2br w:val="nil"/>
                    <w:tr2bl w:val="nil"/>
                  </w:tcBorders>
                  <w:vAlign w:val="center"/>
                </w:tcPr>
                <w:p w14:paraId="5C3809B6">
                  <w:pPr>
                    <w:pStyle w:val="30"/>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资源开发利用</w:t>
                  </w:r>
                </w:p>
              </w:tc>
              <w:tc>
                <w:tcPr>
                  <w:tcW w:w="2738" w:type="pct"/>
                  <w:tcBorders>
                    <w:tl2br w:val="nil"/>
                    <w:tr2bl w:val="nil"/>
                  </w:tcBorders>
                  <w:vAlign w:val="center"/>
                </w:tcPr>
                <w:p w14:paraId="54273A90">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1、到2035年</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建设用地上限≤1387.44公顷；工业用地上限≤638.81公顷。</w:t>
                  </w:r>
                </w:p>
              </w:tc>
              <w:tc>
                <w:tcPr>
                  <w:tcW w:w="1286" w:type="pct"/>
                  <w:tcBorders>
                    <w:tl2br w:val="nil"/>
                    <w:tr2bl w:val="nil"/>
                  </w:tcBorders>
                  <w:vAlign w:val="center"/>
                </w:tcPr>
                <w:p w14:paraId="164638D7">
                  <w:pPr>
                    <w:pStyle w:val="30"/>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w:t>
                  </w:r>
                  <w:r>
                    <w:rPr>
                      <w:rFonts w:hint="eastAsia" w:ascii="Times New Roman"/>
                      <w:color w:val="auto"/>
                      <w:lang w:val="en-US" w:eastAsia="zh-CN"/>
                    </w:rPr>
                    <w:t>属于江苏</w:t>
                  </w:r>
                  <w:r>
                    <w:rPr>
                      <w:rFonts w:hint="eastAsia" w:ascii="Times New Roman" w:hAnsi="Times New Roman" w:eastAsia="宋体"/>
                      <w:color w:val="auto"/>
                      <w:lang w:val="en-US" w:eastAsia="zh-CN"/>
                    </w:rPr>
                    <w:t>涟水经济开发区</w:t>
                  </w:r>
                  <w:r>
                    <w:rPr>
                      <w:rFonts w:hint="eastAsia" w:ascii="Times New Roman"/>
                      <w:color w:val="auto"/>
                      <w:lang w:val="en-US" w:eastAsia="zh-CN"/>
                    </w:rPr>
                    <w:t>内工业用地。</w:t>
                  </w:r>
                </w:p>
              </w:tc>
              <w:tc>
                <w:tcPr>
                  <w:tcW w:w="439" w:type="pct"/>
                  <w:vMerge w:val="restart"/>
                  <w:tcBorders>
                    <w:tl2br w:val="nil"/>
                    <w:tr2bl w:val="nil"/>
                  </w:tcBorders>
                  <w:vAlign w:val="center"/>
                </w:tcPr>
                <w:p w14:paraId="3E285107">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73EA8C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38E4FB4A">
                  <w:pPr>
                    <w:pStyle w:val="30"/>
                    <w:bidi w:val="0"/>
                    <w:rPr>
                      <w:rFonts w:hint="eastAsia" w:ascii="Times New Roman" w:hAnsi="Times New Roman" w:eastAsia="宋体"/>
                      <w:color w:val="auto"/>
                      <w:lang w:val="en-US" w:eastAsia="zh-CN"/>
                    </w:rPr>
                  </w:pPr>
                </w:p>
              </w:tc>
              <w:tc>
                <w:tcPr>
                  <w:tcW w:w="2738" w:type="pct"/>
                  <w:tcBorders>
                    <w:tl2br w:val="nil"/>
                    <w:tr2bl w:val="nil"/>
                  </w:tcBorders>
                  <w:vAlign w:val="center"/>
                </w:tcPr>
                <w:p w14:paraId="0C75049E">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2、到2035年</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单位工业增加值新鲜水耗≤3.0吨/万元。禁止开采利用地下水。</w:t>
                  </w:r>
                </w:p>
              </w:tc>
              <w:tc>
                <w:tcPr>
                  <w:tcW w:w="1286" w:type="pct"/>
                  <w:tcBorders>
                    <w:tl2br w:val="nil"/>
                    <w:tr2bl w:val="nil"/>
                  </w:tcBorders>
                  <w:vAlign w:val="center"/>
                </w:tcPr>
                <w:p w14:paraId="514CCC14">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w:t>
                  </w:r>
                  <w:r>
                    <w:rPr>
                      <w:rFonts w:ascii="Times New Roman" w:hAnsi="Times New Roman" w:eastAsia="宋体"/>
                      <w:color w:val="auto"/>
                      <w:lang w:val="en-US" w:eastAsia="zh-CN"/>
                    </w:rPr>
                    <w:t>单位工业增加值新鲜水耗</w:t>
                  </w:r>
                  <w:r>
                    <w:rPr>
                      <w:rFonts w:hint="eastAsia" w:ascii="Times New Roman"/>
                      <w:color w:val="auto"/>
                      <w:lang w:val="en-US" w:eastAsia="zh-CN"/>
                    </w:rPr>
                    <w:t>约为0.317</w:t>
                  </w:r>
                  <w:r>
                    <w:rPr>
                      <w:rFonts w:ascii="Times New Roman" w:hAnsi="Times New Roman" w:eastAsia="宋体"/>
                      <w:color w:val="auto"/>
                      <w:lang w:val="en-US" w:eastAsia="zh-CN"/>
                    </w:rPr>
                    <w:t>吨/万元</w:t>
                  </w:r>
                  <w:r>
                    <w:rPr>
                      <w:rFonts w:hint="eastAsia" w:ascii="Times New Roman"/>
                      <w:color w:val="auto"/>
                      <w:lang w:val="en-US" w:eastAsia="zh-CN"/>
                    </w:rPr>
                    <w:t>，不涉及地下水开采。</w:t>
                  </w:r>
                </w:p>
              </w:tc>
              <w:tc>
                <w:tcPr>
                  <w:tcW w:w="439" w:type="pct"/>
                  <w:vMerge w:val="continue"/>
                  <w:tcBorders>
                    <w:tl2br w:val="nil"/>
                    <w:tr2bl w:val="nil"/>
                  </w:tcBorders>
                  <w:vAlign w:val="center"/>
                </w:tcPr>
                <w:p w14:paraId="6AD91939">
                  <w:pPr>
                    <w:pStyle w:val="30"/>
                    <w:bidi w:val="0"/>
                    <w:rPr>
                      <w:rFonts w:ascii="Times New Roman" w:hAnsi="Times New Roman" w:eastAsia="宋体"/>
                      <w:color w:val="auto"/>
                      <w:lang w:val="en-US" w:eastAsia="zh-CN"/>
                    </w:rPr>
                  </w:pPr>
                </w:p>
              </w:tc>
            </w:tr>
            <w:tr w14:paraId="41624C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5D7831A0">
                  <w:pPr>
                    <w:pStyle w:val="30"/>
                    <w:bidi w:val="0"/>
                    <w:rPr>
                      <w:rFonts w:hint="eastAsia" w:ascii="Times New Roman" w:hAnsi="Times New Roman" w:eastAsia="宋体"/>
                      <w:color w:val="auto"/>
                      <w:lang w:val="en-US" w:eastAsia="zh-CN"/>
                    </w:rPr>
                  </w:pPr>
                </w:p>
              </w:tc>
              <w:tc>
                <w:tcPr>
                  <w:tcW w:w="2738" w:type="pct"/>
                  <w:tcBorders>
                    <w:tl2br w:val="nil"/>
                    <w:tr2bl w:val="nil"/>
                  </w:tcBorders>
                  <w:vAlign w:val="center"/>
                </w:tcPr>
                <w:p w14:paraId="52FA30B8">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3、加强再生水回用工程建设</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西区污水处理厂回用率不低于25%。</w:t>
                  </w:r>
                </w:p>
              </w:tc>
              <w:tc>
                <w:tcPr>
                  <w:tcW w:w="1286" w:type="pct"/>
                  <w:tcBorders>
                    <w:tl2br w:val="nil"/>
                    <w:tr2bl w:val="nil"/>
                  </w:tcBorders>
                  <w:vAlign w:val="center"/>
                </w:tcPr>
                <w:p w14:paraId="2BE8BE4A">
                  <w:pPr>
                    <w:pStyle w:val="30"/>
                    <w:bidi w:val="0"/>
                    <w:rPr>
                      <w:rFonts w:hint="default" w:ascii="Times New Roman" w:hAnsi="Times New Roman" w:eastAsia="宋体"/>
                      <w:color w:val="auto"/>
                      <w:lang w:val="en-US" w:eastAsia="zh-CN"/>
                    </w:rPr>
                  </w:pPr>
                  <w:r>
                    <w:rPr>
                      <w:rFonts w:hint="eastAsia" w:ascii="Times New Roman"/>
                      <w:color w:val="auto"/>
                      <w:lang w:val="en-US" w:eastAsia="zh-CN"/>
                    </w:rPr>
                    <w:t>本项目不涉及</w:t>
                  </w:r>
                  <w:r>
                    <w:rPr>
                      <w:rFonts w:hint="eastAsia" w:ascii="Times New Roman" w:hAnsi="Times New Roman" w:eastAsia="宋体"/>
                      <w:color w:val="auto"/>
                      <w:lang w:val="en-US" w:eastAsia="zh-CN"/>
                    </w:rPr>
                    <w:t>再生水回用工程建设</w:t>
                  </w:r>
                  <w:r>
                    <w:rPr>
                      <w:rFonts w:hint="eastAsia" w:ascii="Times New Roman"/>
                      <w:color w:val="auto"/>
                      <w:lang w:val="en-US" w:eastAsia="zh-CN"/>
                    </w:rPr>
                    <w:t>。</w:t>
                  </w:r>
                </w:p>
              </w:tc>
              <w:tc>
                <w:tcPr>
                  <w:tcW w:w="439" w:type="pct"/>
                  <w:vMerge w:val="continue"/>
                  <w:tcBorders>
                    <w:tl2br w:val="nil"/>
                    <w:tr2bl w:val="nil"/>
                  </w:tcBorders>
                  <w:vAlign w:val="center"/>
                </w:tcPr>
                <w:p w14:paraId="5EDA4E03">
                  <w:pPr>
                    <w:pStyle w:val="30"/>
                    <w:bidi w:val="0"/>
                    <w:rPr>
                      <w:rFonts w:ascii="Times New Roman" w:hAnsi="Times New Roman" w:eastAsia="宋体"/>
                      <w:color w:val="auto"/>
                      <w:lang w:val="en-US" w:eastAsia="zh-CN"/>
                    </w:rPr>
                  </w:pPr>
                </w:p>
              </w:tc>
            </w:tr>
            <w:tr w14:paraId="25F235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70AF0870">
                  <w:pPr>
                    <w:pStyle w:val="30"/>
                    <w:bidi w:val="0"/>
                    <w:rPr>
                      <w:rFonts w:hint="eastAsia" w:ascii="Times New Roman" w:hAnsi="Times New Roman" w:eastAsia="宋体"/>
                      <w:color w:val="auto"/>
                      <w:lang w:val="en-US" w:eastAsia="zh-CN"/>
                    </w:rPr>
                  </w:pPr>
                </w:p>
              </w:tc>
              <w:tc>
                <w:tcPr>
                  <w:tcW w:w="2738" w:type="pct"/>
                  <w:tcBorders>
                    <w:tl2br w:val="nil"/>
                    <w:tr2bl w:val="nil"/>
                  </w:tcBorders>
                  <w:vAlign w:val="center"/>
                </w:tcPr>
                <w:p w14:paraId="48BEA040">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4、到2035年</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单位工业增加值综合能耗≤0.24吨标煤/万元。禁止建设使用燃煤、重油等重污染燃料的项目。</w:t>
                  </w:r>
                </w:p>
              </w:tc>
              <w:tc>
                <w:tcPr>
                  <w:tcW w:w="1286" w:type="pct"/>
                  <w:tcBorders>
                    <w:tl2br w:val="nil"/>
                    <w:tr2bl w:val="nil"/>
                  </w:tcBorders>
                  <w:vAlign w:val="center"/>
                </w:tcPr>
                <w:p w14:paraId="603CB42F">
                  <w:pPr>
                    <w:pStyle w:val="30"/>
                    <w:bidi w:val="0"/>
                    <w:rPr>
                      <w:rFonts w:hint="default" w:ascii="Times New Roman" w:hAnsi="Times New Roman" w:eastAsia="宋体"/>
                      <w:color w:val="auto"/>
                      <w:lang w:val="en-US" w:eastAsia="zh-CN"/>
                    </w:rPr>
                  </w:pPr>
                  <w:r>
                    <w:rPr>
                      <w:rFonts w:hint="eastAsia" w:ascii="Times New Roman"/>
                      <w:color w:val="auto"/>
                      <w:lang w:val="en-US" w:eastAsia="zh-CN"/>
                    </w:rPr>
                    <w:t>本项目不涉及地下水开采，使用电能。</w:t>
                  </w:r>
                </w:p>
              </w:tc>
              <w:tc>
                <w:tcPr>
                  <w:tcW w:w="439" w:type="pct"/>
                  <w:vMerge w:val="continue"/>
                  <w:tcBorders>
                    <w:tl2br w:val="nil"/>
                    <w:tr2bl w:val="nil"/>
                  </w:tcBorders>
                  <w:vAlign w:val="center"/>
                </w:tcPr>
                <w:p w14:paraId="4E0C6FBF">
                  <w:pPr>
                    <w:pStyle w:val="30"/>
                    <w:bidi w:val="0"/>
                    <w:rPr>
                      <w:rFonts w:ascii="Times New Roman" w:hAnsi="Times New Roman" w:eastAsia="宋体"/>
                      <w:color w:val="auto"/>
                      <w:lang w:val="en-US" w:eastAsia="zh-CN"/>
                    </w:rPr>
                  </w:pPr>
                </w:p>
              </w:tc>
            </w:tr>
            <w:tr w14:paraId="266318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4922DAB7">
                  <w:pPr>
                    <w:pStyle w:val="30"/>
                    <w:bidi w:val="0"/>
                    <w:rPr>
                      <w:rFonts w:hint="eastAsia" w:ascii="Times New Roman" w:hAnsi="Times New Roman" w:eastAsia="宋体"/>
                      <w:color w:val="auto"/>
                      <w:lang w:val="en-US" w:eastAsia="zh-CN"/>
                    </w:rPr>
                  </w:pPr>
                </w:p>
              </w:tc>
              <w:tc>
                <w:tcPr>
                  <w:tcW w:w="2738" w:type="pct"/>
                  <w:tcBorders>
                    <w:tl2br w:val="nil"/>
                    <w:tr2bl w:val="nil"/>
                  </w:tcBorders>
                  <w:vAlign w:val="center"/>
                </w:tcPr>
                <w:p w14:paraId="42137BD7">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5、规划占用一般农用地128.47公顷</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 xml:space="preserve"> 一般农用地转为建设用地</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须依法办理相关审批手续后方可开发利用。</w:t>
                  </w:r>
                </w:p>
              </w:tc>
              <w:tc>
                <w:tcPr>
                  <w:tcW w:w="1286" w:type="pct"/>
                  <w:tcBorders>
                    <w:tl2br w:val="nil"/>
                    <w:tr2bl w:val="nil"/>
                  </w:tcBorders>
                  <w:vAlign w:val="center"/>
                </w:tcPr>
                <w:p w14:paraId="1B001BF0">
                  <w:pPr>
                    <w:pStyle w:val="30"/>
                    <w:bidi w:val="0"/>
                    <w:rPr>
                      <w:rFonts w:hint="default" w:ascii="Times New Roman" w:hAnsi="Times New Roman" w:eastAsia="宋体"/>
                      <w:color w:val="auto"/>
                      <w:lang w:val="en-US" w:eastAsia="zh-CN"/>
                    </w:rPr>
                  </w:pPr>
                  <w:r>
                    <w:rPr>
                      <w:rFonts w:hint="eastAsia" w:ascii="Times New Roman"/>
                      <w:color w:val="auto"/>
                      <w:lang w:val="en-US" w:eastAsia="zh-CN"/>
                    </w:rPr>
                    <w:t>本项目用地性质为工业用地。</w:t>
                  </w:r>
                </w:p>
              </w:tc>
              <w:tc>
                <w:tcPr>
                  <w:tcW w:w="439" w:type="pct"/>
                  <w:vMerge w:val="continue"/>
                  <w:tcBorders>
                    <w:tl2br w:val="nil"/>
                    <w:tr2bl w:val="nil"/>
                  </w:tcBorders>
                  <w:vAlign w:val="center"/>
                </w:tcPr>
                <w:p w14:paraId="669CC8A0">
                  <w:pPr>
                    <w:pStyle w:val="30"/>
                    <w:bidi w:val="0"/>
                    <w:rPr>
                      <w:rFonts w:ascii="Times New Roman" w:hAnsi="Times New Roman" w:eastAsia="宋体"/>
                      <w:color w:val="auto"/>
                      <w:lang w:val="en-US" w:eastAsia="zh-CN"/>
                    </w:rPr>
                  </w:pPr>
                </w:p>
              </w:tc>
            </w:tr>
            <w:tr w14:paraId="749978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36" w:type="pct"/>
                  <w:gridSpan w:val="2"/>
                  <w:vMerge w:val="continue"/>
                  <w:tcBorders>
                    <w:tl2br w:val="nil"/>
                    <w:tr2bl w:val="nil"/>
                  </w:tcBorders>
                  <w:vAlign w:val="center"/>
                </w:tcPr>
                <w:p w14:paraId="494539CF">
                  <w:pPr>
                    <w:pStyle w:val="30"/>
                    <w:bidi w:val="0"/>
                    <w:rPr>
                      <w:rFonts w:hint="eastAsia" w:ascii="Times New Roman" w:hAnsi="Times New Roman" w:eastAsia="宋体"/>
                      <w:color w:val="auto"/>
                      <w:lang w:val="en-US" w:eastAsia="zh-CN"/>
                    </w:rPr>
                  </w:pPr>
                </w:p>
              </w:tc>
              <w:tc>
                <w:tcPr>
                  <w:tcW w:w="2738" w:type="pct"/>
                  <w:tcBorders>
                    <w:tl2br w:val="nil"/>
                    <w:tr2bl w:val="nil"/>
                  </w:tcBorders>
                  <w:vAlign w:val="center"/>
                </w:tcPr>
                <w:p w14:paraId="6218AEAC">
                  <w:pPr>
                    <w:pStyle w:val="30"/>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6、新建高耗能项目单位产品</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产值</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能耗要达到国际先进水平。</w:t>
                  </w:r>
                </w:p>
              </w:tc>
              <w:tc>
                <w:tcPr>
                  <w:tcW w:w="1286" w:type="pct"/>
                  <w:tcBorders>
                    <w:tl2br w:val="nil"/>
                    <w:tr2bl w:val="nil"/>
                  </w:tcBorders>
                  <w:vAlign w:val="center"/>
                </w:tcPr>
                <w:p w14:paraId="5F7F4BE0">
                  <w:pPr>
                    <w:pStyle w:val="30"/>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本项目不属于高耗能项目</w:t>
                  </w:r>
                  <w:r>
                    <w:rPr>
                      <w:rFonts w:hint="eastAsia" w:ascii="Times New Roman"/>
                      <w:color w:val="auto"/>
                      <w:lang w:val="en-US" w:eastAsia="zh-CN"/>
                    </w:rPr>
                    <w:t>。</w:t>
                  </w:r>
                </w:p>
              </w:tc>
              <w:tc>
                <w:tcPr>
                  <w:tcW w:w="439" w:type="pct"/>
                  <w:vMerge w:val="continue"/>
                  <w:tcBorders>
                    <w:tl2br w:val="nil"/>
                    <w:tr2bl w:val="nil"/>
                  </w:tcBorders>
                  <w:vAlign w:val="center"/>
                </w:tcPr>
                <w:p w14:paraId="3F6028F7">
                  <w:pPr>
                    <w:pStyle w:val="30"/>
                    <w:bidi w:val="0"/>
                    <w:rPr>
                      <w:rFonts w:ascii="Times New Roman" w:hAnsi="Times New Roman" w:eastAsia="宋体"/>
                      <w:color w:val="auto"/>
                      <w:lang w:val="en-US" w:eastAsia="zh-CN"/>
                    </w:rPr>
                  </w:pPr>
                </w:p>
              </w:tc>
            </w:tr>
          </w:tbl>
          <w:p w14:paraId="6530752A">
            <w:pPr>
              <w:keepNext w:val="0"/>
              <w:keepLines w:val="0"/>
              <w:pageBreakBefore w:val="0"/>
              <w:widowControl w:val="0"/>
              <w:kinsoku/>
              <w:wordWrap/>
              <w:overflowPunct/>
              <w:topLinePunct w:val="0"/>
              <w:bidi w:val="0"/>
              <w:spacing w:line="360" w:lineRule="auto"/>
              <w:ind w:firstLine="480" w:firstLineChars="200"/>
              <w:textAlignment w:val="auto"/>
              <w:rPr>
                <w:color w:val="auto"/>
                <w:sz w:val="24"/>
              </w:rPr>
            </w:pPr>
            <w:r>
              <w:rPr>
                <w:color w:val="auto"/>
                <w:sz w:val="24"/>
              </w:rPr>
              <w:t>综上所述，本项目符合</w:t>
            </w:r>
            <w:r>
              <w:rPr>
                <w:rFonts w:hint="eastAsia"/>
                <w:color w:val="auto"/>
                <w:sz w:val="24"/>
              </w:rPr>
              <w:t>“</w:t>
            </w:r>
            <w:r>
              <w:rPr>
                <w:color w:val="auto"/>
                <w:sz w:val="24"/>
              </w:rPr>
              <w:t>三线一单</w:t>
            </w:r>
            <w:r>
              <w:rPr>
                <w:rFonts w:hint="eastAsia"/>
                <w:color w:val="auto"/>
                <w:sz w:val="24"/>
              </w:rPr>
              <w:t>”</w:t>
            </w:r>
            <w:r>
              <w:rPr>
                <w:color w:val="auto"/>
                <w:sz w:val="24"/>
              </w:rPr>
              <w:t>要求。</w:t>
            </w:r>
          </w:p>
          <w:p w14:paraId="6B1A4BAC">
            <w:pPr>
              <w:keepNext w:val="0"/>
              <w:keepLines w:val="0"/>
              <w:pageBreakBefore w:val="0"/>
              <w:widowControl w:val="0"/>
              <w:kinsoku/>
              <w:wordWrap/>
              <w:overflowPunct/>
              <w:topLinePunct w:val="0"/>
              <w:bidi w:val="0"/>
              <w:spacing w:line="360" w:lineRule="auto"/>
              <w:ind w:firstLine="480" w:firstLineChars="200"/>
              <w:textAlignment w:val="auto"/>
              <w:rPr>
                <w:b/>
                <w:bCs/>
                <w:color w:val="auto"/>
                <w:sz w:val="24"/>
              </w:rPr>
            </w:pPr>
            <w:r>
              <w:rPr>
                <w:b w:val="0"/>
                <w:bCs w:val="0"/>
                <w:color w:val="auto"/>
                <w:sz w:val="24"/>
              </w:rPr>
              <w:t>2、产业政策</w:t>
            </w:r>
            <w:r>
              <w:rPr>
                <w:rFonts w:hint="eastAsia"/>
                <w:b w:val="0"/>
                <w:bCs w:val="0"/>
                <w:color w:val="auto"/>
                <w:sz w:val="24"/>
              </w:rPr>
              <w:t>相符性</w:t>
            </w:r>
            <w:r>
              <w:rPr>
                <w:b w:val="0"/>
                <w:bCs w:val="0"/>
                <w:color w:val="auto"/>
                <w:sz w:val="24"/>
              </w:rPr>
              <w:t>分析</w:t>
            </w:r>
          </w:p>
          <w:p w14:paraId="4B08E01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rPr>
            </w:pPr>
            <w:r>
              <w:rPr>
                <w:color w:val="auto"/>
                <w:sz w:val="24"/>
              </w:rPr>
              <w:t>本项目为</w:t>
            </w:r>
            <w:r>
              <w:rPr>
                <w:rFonts w:hint="eastAsia"/>
                <w:color w:val="auto"/>
                <w:sz w:val="24"/>
                <w:lang w:val="en-US" w:eastAsia="zh-CN"/>
              </w:rPr>
              <w:t>江苏鑫宇建材科技有限公司玻璃加工项目</w:t>
            </w:r>
            <w:r>
              <w:rPr>
                <w:color w:val="auto"/>
                <w:sz w:val="24"/>
              </w:rPr>
              <w:t>，属于</w:t>
            </w:r>
            <w:r>
              <w:rPr>
                <w:rFonts w:hint="eastAsia"/>
                <w:color w:val="auto"/>
                <w:sz w:val="24"/>
                <w:lang w:val="en-US" w:eastAsia="zh-CN"/>
              </w:rPr>
              <w:t>C3042特种玻璃制造</w:t>
            </w:r>
            <w:r>
              <w:rPr>
                <w:color w:val="auto"/>
                <w:sz w:val="24"/>
              </w:rPr>
              <w:t>，</w:t>
            </w:r>
            <w:r>
              <w:rPr>
                <w:rFonts w:hint="eastAsia"/>
                <w:color w:val="auto"/>
                <w:sz w:val="24"/>
                <w:lang w:val="en-US" w:eastAsia="zh-CN"/>
              </w:rPr>
              <w:t>年加工钢化玻璃20万平方米、中空玻璃4万平方米和夹胶玻璃2万平方米</w:t>
            </w:r>
            <w:r>
              <w:rPr>
                <w:rFonts w:hint="eastAsia"/>
                <w:color w:val="auto"/>
                <w:sz w:val="24"/>
              </w:rPr>
              <w:t>。项目不属于</w:t>
            </w:r>
            <w:r>
              <w:rPr>
                <w:color w:val="auto"/>
                <w:sz w:val="24"/>
              </w:rPr>
              <w:t>《产业结构调整指导目录》（20</w:t>
            </w:r>
            <w:r>
              <w:rPr>
                <w:rFonts w:hint="eastAsia"/>
                <w:color w:val="auto"/>
                <w:sz w:val="24"/>
                <w:lang w:val="en-US" w:eastAsia="zh-CN"/>
              </w:rPr>
              <w:t>24</w:t>
            </w:r>
            <w:r>
              <w:rPr>
                <w:color w:val="auto"/>
                <w:sz w:val="24"/>
              </w:rPr>
              <w:t>年本）</w:t>
            </w:r>
            <w:r>
              <w:rPr>
                <w:rFonts w:hint="eastAsia"/>
                <w:color w:val="auto"/>
                <w:sz w:val="24"/>
              </w:rPr>
              <w:t>中限制类、淘汰类</w:t>
            </w:r>
            <w:r>
              <w:rPr>
                <w:rFonts w:hint="eastAsia"/>
                <w:color w:val="auto"/>
                <w:sz w:val="24"/>
                <w:lang w:eastAsia="zh-CN"/>
              </w:rPr>
              <w:t>、</w:t>
            </w:r>
            <w:r>
              <w:rPr>
                <w:rFonts w:hint="eastAsia"/>
                <w:color w:val="auto"/>
                <w:sz w:val="24"/>
                <w:lang w:val="en-US" w:eastAsia="zh-CN"/>
              </w:rPr>
              <w:t>鼓励类</w:t>
            </w:r>
            <w:r>
              <w:rPr>
                <w:rFonts w:hint="eastAsia"/>
                <w:color w:val="auto"/>
                <w:sz w:val="24"/>
              </w:rPr>
              <w:t>项目，属于允许类项目；不属于《江苏省产业结构调整限制、淘汰和禁止目录》（苏办发</w:t>
            </w:r>
            <w:r>
              <w:rPr>
                <w:rFonts w:hint="eastAsia"/>
                <w:color w:val="auto"/>
                <w:sz w:val="24"/>
                <w:lang w:eastAsia="zh-CN"/>
              </w:rPr>
              <w:t>〔2018〕32号</w:t>
            </w:r>
            <w:r>
              <w:rPr>
                <w:rFonts w:hint="eastAsia"/>
                <w:color w:val="auto"/>
                <w:sz w:val="24"/>
              </w:rPr>
              <w:t>附件3</w:t>
            </w:r>
            <w:r>
              <w:rPr>
                <w:rFonts w:hint="eastAsia"/>
                <w:color w:val="auto"/>
                <w:sz w:val="24"/>
                <w:lang w:eastAsia="zh-CN"/>
              </w:rPr>
              <w:t>）</w:t>
            </w:r>
            <w:r>
              <w:rPr>
                <w:rFonts w:hint="eastAsia"/>
                <w:color w:val="auto"/>
                <w:sz w:val="24"/>
              </w:rPr>
              <w:t>中限制类、淘汰类和禁止类项目</w:t>
            </w:r>
            <w:r>
              <w:rPr>
                <w:color w:val="auto"/>
                <w:sz w:val="24"/>
              </w:rPr>
              <w:t>，且项目已取得</w:t>
            </w:r>
            <w:r>
              <w:rPr>
                <w:rFonts w:hint="eastAsia"/>
                <w:color w:val="auto"/>
                <w:sz w:val="24"/>
                <w:lang w:val="en-US" w:eastAsia="zh-CN"/>
              </w:rPr>
              <w:t>江苏涟水经济开发区管理委员会</w:t>
            </w:r>
            <w:r>
              <w:rPr>
                <w:rFonts w:hint="eastAsia"/>
                <w:color w:val="auto"/>
                <w:sz w:val="24"/>
              </w:rPr>
              <w:t>关于本项目的备案登记，备案证号为</w:t>
            </w:r>
            <w:r>
              <w:rPr>
                <w:rFonts w:hint="eastAsia"/>
                <w:bCs/>
                <w:color w:val="auto"/>
                <w:sz w:val="24"/>
                <w:lang w:val="en-US" w:eastAsia="zh-CN"/>
              </w:rPr>
              <w:t>涟区开发备〔2024〕111号</w:t>
            </w:r>
            <w:r>
              <w:rPr>
                <w:rFonts w:hint="eastAsia"/>
                <w:bCs/>
                <w:color w:val="auto"/>
                <w:sz w:val="24"/>
              </w:rPr>
              <w:t>，</w:t>
            </w:r>
            <w:r>
              <w:rPr>
                <w:color w:val="auto"/>
                <w:sz w:val="24"/>
              </w:rPr>
              <w:t>项目代码：</w:t>
            </w:r>
            <w:r>
              <w:rPr>
                <w:rFonts w:hint="eastAsia"/>
                <w:color w:val="auto"/>
                <w:sz w:val="24"/>
                <w:lang w:eastAsia="zh-CN"/>
              </w:rPr>
              <w:t>2412-320860-89-01-344150。</w:t>
            </w:r>
            <w:r>
              <w:rPr>
                <w:rFonts w:hint="eastAsia"/>
                <w:color w:val="auto"/>
                <w:sz w:val="24"/>
              </w:rPr>
              <w:t>因此，本</w:t>
            </w:r>
            <w:r>
              <w:rPr>
                <w:color w:val="auto"/>
                <w:sz w:val="24"/>
              </w:rPr>
              <w:t>项目</w:t>
            </w:r>
            <w:r>
              <w:rPr>
                <w:rFonts w:hint="eastAsia"/>
                <w:color w:val="auto"/>
                <w:sz w:val="24"/>
              </w:rPr>
              <w:t>的</w:t>
            </w:r>
            <w:r>
              <w:rPr>
                <w:color w:val="auto"/>
                <w:sz w:val="24"/>
              </w:rPr>
              <w:t>建设符合国家和江苏省产业政策</w:t>
            </w:r>
            <w:r>
              <w:rPr>
                <w:rFonts w:hint="eastAsia"/>
                <w:color w:val="auto"/>
                <w:sz w:val="24"/>
              </w:rPr>
              <w:t>要求</w:t>
            </w:r>
            <w:r>
              <w:rPr>
                <w:color w:val="auto"/>
                <w:sz w:val="24"/>
              </w:rPr>
              <w:t>。</w:t>
            </w:r>
          </w:p>
          <w:p w14:paraId="007E8A39">
            <w:pPr>
              <w:keepNext w:val="0"/>
              <w:keepLines w:val="0"/>
              <w:pageBreakBefore w:val="0"/>
              <w:widowControl w:val="0"/>
              <w:tabs>
                <w:tab w:val="center" w:pos="4818"/>
              </w:tabs>
              <w:kinsoku/>
              <w:wordWrap/>
              <w:overflowPunct/>
              <w:topLinePunct w:val="0"/>
              <w:bidi w:val="0"/>
              <w:snapToGrid/>
              <w:spacing w:line="360" w:lineRule="auto"/>
              <w:ind w:left="420" w:leftChars="200"/>
              <w:textAlignment w:val="auto"/>
              <w:rPr>
                <w:b w:val="0"/>
                <w:bCs w:val="0"/>
                <w:color w:val="auto"/>
                <w:sz w:val="24"/>
              </w:rPr>
            </w:pPr>
            <w:r>
              <w:rPr>
                <w:rFonts w:hint="eastAsia"/>
                <w:b w:val="0"/>
                <w:bCs w:val="0"/>
                <w:color w:val="auto"/>
                <w:sz w:val="24"/>
              </w:rPr>
              <w:t>3、与相关法律法规相符性分析</w:t>
            </w:r>
          </w:p>
          <w:p w14:paraId="1998DAE3">
            <w:pPr>
              <w:pStyle w:val="2"/>
              <w:keepNext w:val="0"/>
              <w:keepLines w:val="0"/>
              <w:pageBreakBefore w:val="0"/>
              <w:widowControl w:val="0"/>
              <w:kinsoku/>
              <w:wordWrap/>
              <w:overflowPunct/>
              <w:topLinePunct w:val="0"/>
              <w:bidi w:val="0"/>
              <w:snapToGrid/>
              <w:spacing w:line="360" w:lineRule="auto"/>
              <w:ind w:firstLine="480" w:firstLineChars="200"/>
              <w:jc w:val="both"/>
              <w:textAlignment w:val="auto"/>
              <w:rPr>
                <w:rFonts w:ascii="Times New Roman" w:hAnsi="Times New Roman"/>
                <w:b w:val="0"/>
                <w:bCs w:val="0"/>
                <w:color w:val="auto"/>
              </w:rPr>
            </w:pPr>
            <w:r>
              <w:rPr>
                <w:rFonts w:hint="eastAsia" w:ascii="Times New Roman" w:hAnsi="Times New Roman"/>
                <w:b w:val="0"/>
                <w:bCs w:val="0"/>
                <w:color w:val="auto"/>
              </w:rPr>
              <w:t>项目与江苏省挥发性有机废气规定相符性分析情况见</w:t>
            </w:r>
            <w:r>
              <w:rPr>
                <w:rFonts w:hint="eastAsia" w:ascii="Times New Roman" w:hAnsi="Times New Roman"/>
                <w:b w:val="0"/>
                <w:bCs w:val="0"/>
                <w:color w:val="auto"/>
                <w:lang w:val="en-US" w:eastAsia="zh-CN"/>
              </w:rPr>
              <w:t>下表</w:t>
            </w:r>
            <w:r>
              <w:rPr>
                <w:rFonts w:hint="eastAsia" w:ascii="Times New Roman" w:hAnsi="Times New Roman"/>
                <w:b w:val="0"/>
                <w:bCs w:val="0"/>
                <w:color w:val="auto"/>
              </w:rPr>
              <w:t>。</w:t>
            </w:r>
          </w:p>
          <w:p w14:paraId="2C60D61F">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56597DCF">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364E45B9">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51D30093">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1D59E5E5">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6704545E">
            <w:pPr>
              <w:pStyle w:val="2"/>
              <w:rPr>
                <w:rFonts w:hint="eastAsia"/>
                <w:b/>
                <w:bCs/>
                <w:color w:val="auto"/>
                <w:sz w:val="21"/>
                <w:szCs w:val="21"/>
              </w:rPr>
            </w:pPr>
          </w:p>
          <w:p w14:paraId="44385379">
            <w:pPr>
              <w:pStyle w:val="2"/>
              <w:rPr>
                <w:rFonts w:hint="eastAsia"/>
                <w:b/>
                <w:bCs/>
                <w:color w:val="auto"/>
                <w:sz w:val="21"/>
                <w:szCs w:val="21"/>
              </w:rPr>
            </w:pPr>
          </w:p>
          <w:p w14:paraId="176E2FBB">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49B06291">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4C3A75EA">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auto"/>
                <w:sz w:val="21"/>
                <w:szCs w:val="21"/>
              </w:rPr>
            </w:pPr>
            <w:r>
              <w:rPr>
                <w:rFonts w:hint="eastAsia"/>
                <w:b/>
                <w:bCs/>
                <w:color w:val="auto"/>
                <w:sz w:val="21"/>
                <w:szCs w:val="21"/>
              </w:rPr>
              <w:t>表1-1</w:t>
            </w:r>
            <w:r>
              <w:rPr>
                <w:rFonts w:hint="eastAsia"/>
                <w:b/>
                <w:bCs/>
                <w:color w:val="auto"/>
                <w:sz w:val="21"/>
                <w:szCs w:val="21"/>
                <w:lang w:val="en-US" w:eastAsia="zh-CN"/>
              </w:rPr>
              <w:t xml:space="preserve">1  </w:t>
            </w:r>
            <w:r>
              <w:rPr>
                <w:rFonts w:hint="eastAsia"/>
                <w:b/>
                <w:bCs/>
                <w:color w:val="auto"/>
                <w:sz w:val="21"/>
                <w:szCs w:val="21"/>
              </w:rPr>
              <w:t>建设项目与江苏省挥发性有机废气规定相符性分析</w:t>
            </w:r>
          </w:p>
          <w:tbl>
            <w:tblPr>
              <w:tblStyle w:val="23"/>
              <w:tblW w:w="771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020"/>
              <w:gridCol w:w="3345"/>
              <w:gridCol w:w="2025"/>
              <w:gridCol w:w="884"/>
            </w:tblGrid>
            <w:tr w14:paraId="7D1197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43" w:type="dxa"/>
                  <w:noWrap w:val="0"/>
                  <w:vAlign w:val="center"/>
                </w:tcPr>
                <w:p w14:paraId="2A69D464">
                  <w:pPr>
                    <w:pStyle w:val="2"/>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序号</w:t>
                  </w:r>
                </w:p>
              </w:tc>
              <w:tc>
                <w:tcPr>
                  <w:tcW w:w="1020" w:type="dxa"/>
                  <w:noWrap w:val="0"/>
                  <w:vAlign w:val="center"/>
                </w:tcPr>
                <w:p w14:paraId="61661E57">
                  <w:pPr>
                    <w:pStyle w:val="2"/>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文件名称</w:t>
                  </w:r>
                </w:p>
              </w:tc>
              <w:tc>
                <w:tcPr>
                  <w:tcW w:w="3345" w:type="dxa"/>
                  <w:noWrap w:val="0"/>
                  <w:vAlign w:val="center"/>
                </w:tcPr>
                <w:p w14:paraId="442DF5C6">
                  <w:pPr>
                    <w:pStyle w:val="2"/>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要求</w:t>
                  </w:r>
                </w:p>
              </w:tc>
              <w:tc>
                <w:tcPr>
                  <w:tcW w:w="2025" w:type="dxa"/>
                  <w:noWrap w:val="0"/>
                  <w:vAlign w:val="center"/>
                </w:tcPr>
                <w:p w14:paraId="40C3060F">
                  <w:pPr>
                    <w:pStyle w:val="2"/>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项目情况</w:t>
                  </w:r>
                </w:p>
              </w:tc>
              <w:tc>
                <w:tcPr>
                  <w:tcW w:w="884" w:type="dxa"/>
                  <w:noWrap w:val="0"/>
                  <w:vAlign w:val="center"/>
                </w:tcPr>
                <w:p w14:paraId="474B8525">
                  <w:pPr>
                    <w:pStyle w:val="2"/>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相符性分析</w:t>
                  </w:r>
                </w:p>
              </w:tc>
            </w:tr>
            <w:tr w14:paraId="6BA025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43" w:type="dxa"/>
                  <w:vMerge w:val="restart"/>
                  <w:noWrap w:val="0"/>
                  <w:vAlign w:val="center"/>
                </w:tcPr>
                <w:p w14:paraId="219E4361">
                  <w:pPr>
                    <w:pStyle w:val="2"/>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1</w:t>
                  </w:r>
                </w:p>
              </w:tc>
              <w:tc>
                <w:tcPr>
                  <w:tcW w:w="1020" w:type="dxa"/>
                  <w:vMerge w:val="restart"/>
                  <w:noWrap w:val="0"/>
                  <w:vAlign w:val="center"/>
                </w:tcPr>
                <w:p w14:paraId="37B6DC69">
                  <w:pPr>
                    <w:pStyle w:val="2"/>
                    <w:spacing w:line="280" w:lineRule="exact"/>
                    <w:ind w:left="0" w:leftChars="0" w:firstLine="0" w:firstLineChars="0"/>
                    <w:jc w:val="center"/>
                    <w:rPr>
                      <w:rFonts w:ascii="Times New Roman" w:hAnsi="Times New Roman"/>
                      <w:b w:val="0"/>
                      <w:bCs/>
                      <w:color w:val="auto"/>
                      <w:sz w:val="21"/>
                    </w:rPr>
                  </w:pPr>
                  <w:r>
                    <w:rPr>
                      <w:rFonts w:ascii="Times New Roman" w:hAnsi="Times New Roman"/>
                      <w:b w:val="0"/>
                      <w:bCs/>
                      <w:color w:val="auto"/>
                      <w:sz w:val="21"/>
                    </w:rPr>
                    <w:t>《挥发性有机物无组织排放控制标准》（GB37822-2019）</w:t>
                  </w:r>
                </w:p>
              </w:tc>
              <w:tc>
                <w:tcPr>
                  <w:tcW w:w="3345" w:type="dxa"/>
                  <w:noWrap w:val="0"/>
                  <w:vAlign w:val="center"/>
                </w:tcPr>
                <w:p w14:paraId="21DF04F6">
                  <w:pPr>
                    <w:pStyle w:val="2"/>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企业应考虑生产工艺、操作方式、废气性质、处理方法等，对VOCs废气进行分类收集。</w:t>
                  </w:r>
                </w:p>
              </w:tc>
              <w:tc>
                <w:tcPr>
                  <w:tcW w:w="2025" w:type="dxa"/>
                  <w:noWrap w:val="0"/>
                  <w:vAlign w:val="center"/>
                </w:tcPr>
                <w:p w14:paraId="7299253A">
                  <w:pPr>
                    <w:pStyle w:val="2"/>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项目</w:t>
                  </w:r>
                  <w:r>
                    <w:rPr>
                      <w:rFonts w:hint="eastAsia" w:ascii="Times New Roman" w:hAnsi="Times New Roman"/>
                      <w:b w:val="0"/>
                      <w:bCs/>
                      <w:color w:val="auto"/>
                      <w:sz w:val="21"/>
                      <w:lang w:val="en-US" w:eastAsia="zh-CN"/>
                    </w:rPr>
                    <w:t>灌装合胶、密封、合片、加热</w:t>
                  </w:r>
                  <w:r>
                    <w:rPr>
                      <w:rFonts w:ascii="Times New Roman" w:hAnsi="Times New Roman"/>
                      <w:b w:val="0"/>
                      <w:bCs/>
                      <w:color w:val="auto"/>
                      <w:sz w:val="21"/>
                    </w:rPr>
                    <w:t>工序产生的有机废气</w:t>
                  </w:r>
                  <w:r>
                    <w:rPr>
                      <w:rFonts w:hint="eastAsia" w:ascii="Times New Roman" w:hAnsi="Times New Roman"/>
                      <w:b w:val="0"/>
                      <w:bCs/>
                      <w:color w:val="auto"/>
                      <w:sz w:val="21"/>
                      <w:lang w:val="en-US" w:eastAsia="zh-CN"/>
                    </w:rPr>
                    <w:t>采用集气罩</w:t>
                  </w:r>
                  <w:r>
                    <w:rPr>
                      <w:rFonts w:hint="eastAsia" w:ascii="Times New Roman" w:hAnsi="Times New Roman"/>
                      <w:b w:val="0"/>
                      <w:bCs/>
                      <w:color w:val="auto"/>
                      <w:sz w:val="21"/>
                    </w:rPr>
                    <w:t>收集</w:t>
                  </w:r>
                </w:p>
              </w:tc>
              <w:tc>
                <w:tcPr>
                  <w:tcW w:w="884" w:type="dxa"/>
                  <w:noWrap w:val="0"/>
                  <w:vAlign w:val="center"/>
                </w:tcPr>
                <w:p w14:paraId="1094E473">
                  <w:pPr>
                    <w:pStyle w:val="2"/>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41D60F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43" w:type="dxa"/>
                  <w:vMerge w:val="continue"/>
                  <w:noWrap w:val="0"/>
                  <w:vAlign w:val="center"/>
                </w:tcPr>
                <w:p w14:paraId="69318F54">
                  <w:pPr>
                    <w:pStyle w:val="2"/>
                    <w:spacing w:line="280" w:lineRule="exact"/>
                    <w:jc w:val="center"/>
                    <w:outlineLvl w:val="9"/>
                    <w:rPr>
                      <w:rFonts w:ascii="Times New Roman" w:hAnsi="Times New Roman"/>
                      <w:b w:val="0"/>
                      <w:bCs/>
                      <w:color w:val="auto"/>
                      <w:sz w:val="21"/>
                    </w:rPr>
                  </w:pPr>
                </w:p>
              </w:tc>
              <w:tc>
                <w:tcPr>
                  <w:tcW w:w="1020" w:type="dxa"/>
                  <w:vMerge w:val="continue"/>
                  <w:noWrap w:val="0"/>
                  <w:vAlign w:val="center"/>
                </w:tcPr>
                <w:p w14:paraId="2ED4E42E">
                  <w:pPr>
                    <w:pStyle w:val="2"/>
                    <w:spacing w:line="280" w:lineRule="exact"/>
                    <w:jc w:val="center"/>
                    <w:outlineLvl w:val="9"/>
                    <w:rPr>
                      <w:rFonts w:ascii="Times New Roman" w:hAnsi="Times New Roman"/>
                      <w:b w:val="0"/>
                      <w:bCs/>
                      <w:color w:val="auto"/>
                      <w:sz w:val="21"/>
                    </w:rPr>
                  </w:pPr>
                </w:p>
              </w:tc>
              <w:tc>
                <w:tcPr>
                  <w:tcW w:w="3345" w:type="dxa"/>
                  <w:noWrap w:val="0"/>
                  <w:vAlign w:val="center"/>
                </w:tcPr>
                <w:p w14:paraId="48EE318D">
                  <w:pPr>
                    <w:pStyle w:val="2"/>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废气收集系统的输送管道应密闭。</w:t>
                  </w:r>
                </w:p>
              </w:tc>
              <w:tc>
                <w:tcPr>
                  <w:tcW w:w="2025" w:type="dxa"/>
                  <w:noWrap w:val="0"/>
                  <w:vAlign w:val="center"/>
                </w:tcPr>
                <w:p w14:paraId="3DEEBAE8">
                  <w:pPr>
                    <w:pStyle w:val="2"/>
                    <w:spacing w:line="280" w:lineRule="exact"/>
                    <w:ind w:left="0" w:leftChars="0" w:firstLine="0" w:firstLineChars="0"/>
                    <w:jc w:val="center"/>
                    <w:rPr>
                      <w:rFonts w:ascii="Times New Roman" w:hAnsi="Times New Roman"/>
                      <w:b w:val="0"/>
                      <w:bCs/>
                      <w:color w:val="auto"/>
                      <w:sz w:val="21"/>
                    </w:rPr>
                  </w:pPr>
                  <w:r>
                    <w:rPr>
                      <w:rFonts w:ascii="Times New Roman" w:hAnsi="Times New Roman"/>
                      <w:b w:val="0"/>
                      <w:bCs/>
                      <w:color w:val="auto"/>
                      <w:sz w:val="21"/>
                    </w:rPr>
                    <w:t>项目废气收集系统的输送管道密闭</w:t>
                  </w:r>
                </w:p>
              </w:tc>
              <w:tc>
                <w:tcPr>
                  <w:tcW w:w="884" w:type="dxa"/>
                  <w:noWrap w:val="0"/>
                  <w:vAlign w:val="center"/>
                </w:tcPr>
                <w:p w14:paraId="4F4C045F">
                  <w:pPr>
                    <w:pStyle w:val="2"/>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527E97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43" w:type="dxa"/>
                  <w:vMerge w:val="continue"/>
                  <w:noWrap w:val="0"/>
                  <w:vAlign w:val="center"/>
                </w:tcPr>
                <w:p w14:paraId="026648DD">
                  <w:pPr>
                    <w:pStyle w:val="2"/>
                    <w:spacing w:line="280" w:lineRule="exact"/>
                    <w:jc w:val="center"/>
                    <w:outlineLvl w:val="9"/>
                    <w:rPr>
                      <w:rFonts w:ascii="Times New Roman" w:hAnsi="Times New Roman"/>
                      <w:b w:val="0"/>
                      <w:bCs/>
                      <w:color w:val="auto"/>
                      <w:sz w:val="21"/>
                    </w:rPr>
                  </w:pPr>
                </w:p>
              </w:tc>
              <w:tc>
                <w:tcPr>
                  <w:tcW w:w="1020" w:type="dxa"/>
                  <w:vMerge w:val="continue"/>
                  <w:noWrap w:val="0"/>
                  <w:vAlign w:val="center"/>
                </w:tcPr>
                <w:p w14:paraId="6CFB7137">
                  <w:pPr>
                    <w:pStyle w:val="2"/>
                    <w:spacing w:line="280" w:lineRule="exact"/>
                    <w:jc w:val="center"/>
                    <w:outlineLvl w:val="9"/>
                    <w:rPr>
                      <w:rFonts w:ascii="Times New Roman" w:hAnsi="Times New Roman"/>
                      <w:b w:val="0"/>
                      <w:bCs/>
                      <w:color w:val="auto"/>
                      <w:sz w:val="21"/>
                    </w:rPr>
                  </w:pPr>
                </w:p>
              </w:tc>
              <w:tc>
                <w:tcPr>
                  <w:tcW w:w="3345" w:type="dxa"/>
                  <w:noWrap w:val="0"/>
                  <w:vAlign w:val="center"/>
                </w:tcPr>
                <w:p w14:paraId="1CB5E92A">
                  <w:pPr>
                    <w:pStyle w:val="2"/>
                    <w:spacing w:line="280" w:lineRule="exact"/>
                    <w:ind w:left="0" w:leftChars="0" w:firstLine="0" w:firstLineChars="0"/>
                    <w:jc w:val="both"/>
                    <w:rPr>
                      <w:rFonts w:hint="eastAsia" w:ascii="Times New Roman" w:hAnsi="Times New Roman" w:eastAsia="宋体"/>
                      <w:b w:val="0"/>
                      <w:bCs/>
                      <w:color w:val="auto"/>
                      <w:sz w:val="21"/>
                      <w:lang w:eastAsia="zh-CN"/>
                    </w:rPr>
                  </w:pPr>
                  <w:r>
                    <w:rPr>
                      <w:rFonts w:ascii="Times New Roman" w:hAnsi="Times New Roman"/>
                      <w:b w:val="0"/>
                      <w:bCs/>
                      <w:color w:val="auto"/>
                      <w:sz w:val="21"/>
                    </w:rPr>
                    <w:t>收集的废气中NMHC初始排放速率建设项目位于重点地区，NMHC初始≥3kg/h时，应配置VOCs处理设施，处理效率不应低于80%；对于重点地区，收集的废气NMHC初始排放速率≥2kg/h时，应配置VOCs处理设施，处理效率不应低于80%；采用的原辅材料符合国家有关低VOCs含量产品规定的除外</w:t>
                  </w:r>
                  <w:r>
                    <w:rPr>
                      <w:rFonts w:hint="eastAsia" w:ascii="Times New Roman" w:hAnsi="Times New Roman"/>
                      <w:b w:val="0"/>
                      <w:bCs/>
                      <w:color w:val="auto"/>
                      <w:sz w:val="21"/>
                      <w:lang w:eastAsia="zh-CN"/>
                    </w:rPr>
                    <w:t>。</w:t>
                  </w:r>
                </w:p>
              </w:tc>
              <w:tc>
                <w:tcPr>
                  <w:tcW w:w="2025" w:type="dxa"/>
                  <w:noWrap w:val="0"/>
                  <w:vAlign w:val="center"/>
                </w:tcPr>
                <w:p w14:paraId="21979AF1">
                  <w:pPr>
                    <w:pStyle w:val="2"/>
                    <w:spacing w:line="280" w:lineRule="exact"/>
                    <w:ind w:left="0" w:leftChars="0" w:firstLine="0" w:firstLineChars="0"/>
                    <w:jc w:val="both"/>
                    <w:rPr>
                      <w:rFonts w:hint="eastAsia" w:ascii="Times New Roman" w:hAnsi="Times New Roman" w:eastAsia="宋体"/>
                      <w:b w:val="0"/>
                      <w:bCs/>
                      <w:color w:val="auto"/>
                      <w:sz w:val="21"/>
                      <w:lang w:eastAsia="zh-CN"/>
                    </w:rPr>
                  </w:pPr>
                  <w:r>
                    <w:rPr>
                      <w:rFonts w:ascii="Times New Roman" w:hAnsi="Times New Roman"/>
                      <w:b w:val="0"/>
                      <w:bCs/>
                      <w:color w:val="auto"/>
                      <w:sz w:val="21"/>
                    </w:rPr>
                    <w:t>项目</w:t>
                  </w:r>
                  <w:r>
                    <w:rPr>
                      <w:rFonts w:hint="eastAsia" w:ascii="Times New Roman" w:hAnsi="Times New Roman"/>
                      <w:b w:val="0"/>
                      <w:bCs/>
                      <w:color w:val="auto"/>
                      <w:sz w:val="21"/>
                      <w:lang w:val="en-US" w:eastAsia="zh-CN"/>
                    </w:rPr>
                    <w:t>灌装合胶、密封、合片、加热</w:t>
                  </w:r>
                  <w:r>
                    <w:rPr>
                      <w:rFonts w:ascii="Times New Roman" w:hAnsi="Times New Roman"/>
                      <w:b w:val="0"/>
                      <w:bCs/>
                      <w:color w:val="auto"/>
                      <w:sz w:val="21"/>
                    </w:rPr>
                    <w:t>工序产生的有机废气经</w:t>
                  </w:r>
                  <w:r>
                    <w:rPr>
                      <w:rFonts w:hint="eastAsia" w:ascii="Times New Roman" w:hAnsi="Times New Roman"/>
                      <w:b w:val="0"/>
                      <w:bCs/>
                      <w:color w:val="auto"/>
                      <w:sz w:val="21"/>
                      <w:lang w:val="en-US" w:eastAsia="zh-CN"/>
                    </w:rPr>
                    <w:t>集气罩</w:t>
                  </w:r>
                  <w:r>
                    <w:rPr>
                      <w:rFonts w:ascii="Times New Roman" w:hAnsi="Times New Roman"/>
                      <w:b w:val="0"/>
                      <w:bCs/>
                      <w:color w:val="auto"/>
                      <w:sz w:val="21"/>
                    </w:rPr>
                    <w:t>收集后经二级活性炭</w:t>
                  </w:r>
                  <w:r>
                    <w:rPr>
                      <w:rFonts w:hint="eastAsia" w:ascii="Times New Roman" w:hAnsi="Times New Roman"/>
                      <w:b w:val="0"/>
                      <w:bCs/>
                      <w:color w:val="auto"/>
                      <w:sz w:val="21"/>
                      <w:lang w:val="en-US" w:eastAsia="zh-CN"/>
                    </w:rPr>
                    <w:t>吸附装置</w:t>
                  </w:r>
                  <w:r>
                    <w:rPr>
                      <w:rFonts w:ascii="Times New Roman" w:hAnsi="Times New Roman"/>
                      <w:b w:val="0"/>
                      <w:bCs/>
                      <w:color w:val="auto"/>
                      <w:sz w:val="21"/>
                    </w:rPr>
                    <w:t>吸附处理</w:t>
                  </w:r>
                  <w:r>
                    <w:rPr>
                      <w:rFonts w:hint="eastAsia" w:ascii="Times New Roman" w:hAnsi="Times New Roman"/>
                      <w:b w:val="0"/>
                      <w:bCs/>
                      <w:color w:val="auto"/>
                      <w:sz w:val="21"/>
                    </w:rPr>
                    <w:t>，</w:t>
                  </w:r>
                  <w:r>
                    <w:rPr>
                      <w:rFonts w:ascii="Times New Roman" w:hAnsi="Times New Roman"/>
                      <w:b w:val="0"/>
                      <w:bCs/>
                      <w:color w:val="auto"/>
                      <w:sz w:val="21"/>
                    </w:rPr>
                    <w:t>NMHC初始</w:t>
                  </w:r>
                  <w:r>
                    <w:rPr>
                      <w:rFonts w:hint="eastAsia" w:ascii="Times New Roman" w:hAnsi="Times New Roman"/>
                      <w:b w:val="0"/>
                      <w:bCs/>
                      <w:color w:val="auto"/>
                      <w:sz w:val="21"/>
                      <w:lang w:val="en-US" w:eastAsia="zh-CN"/>
                    </w:rPr>
                    <w:t>＜2</w:t>
                  </w:r>
                  <w:r>
                    <w:rPr>
                      <w:rFonts w:ascii="Times New Roman" w:hAnsi="Times New Roman"/>
                      <w:b w:val="0"/>
                      <w:bCs/>
                      <w:color w:val="auto"/>
                      <w:sz w:val="21"/>
                    </w:rPr>
                    <w:t>kg/h</w:t>
                  </w:r>
                  <w:r>
                    <w:rPr>
                      <w:rFonts w:hint="eastAsia" w:ascii="Times New Roman" w:hAnsi="Times New Roman"/>
                      <w:b w:val="0"/>
                      <w:bCs/>
                      <w:color w:val="auto"/>
                      <w:sz w:val="21"/>
                      <w:lang w:eastAsia="zh-CN"/>
                    </w:rPr>
                    <w:t>，</w:t>
                  </w:r>
                  <w:r>
                    <w:rPr>
                      <w:rFonts w:hint="eastAsia" w:ascii="Times New Roman" w:hAnsi="Times New Roman"/>
                      <w:b w:val="0"/>
                      <w:bCs/>
                      <w:color w:val="auto"/>
                      <w:sz w:val="21"/>
                      <w:lang w:val="en-US" w:eastAsia="zh-CN"/>
                    </w:rPr>
                    <w:t>二级活性炭吸附装置处理效率为90%</w:t>
                  </w:r>
                </w:p>
              </w:tc>
              <w:tc>
                <w:tcPr>
                  <w:tcW w:w="884" w:type="dxa"/>
                  <w:noWrap w:val="0"/>
                  <w:vAlign w:val="center"/>
                </w:tcPr>
                <w:p w14:paraId="07056564">
                  <w:pPr>
                    <w:pStyle w:val="2"/>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1667A5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43" w:type="dxa"/>
                  <w:vMerge w:val="continue"/>
                  <w:noWrap w:val="0"/>
                  <w:vAlign w:val="center"/>
                </w:tcPr>
                <w:p w14:paraId="21BF64DF">
                  <w:pPr>
                    <w:pStyle w:val="2"/>
                    <w:spacing w:line="280" w:lineRule="exact"/>
                    <w:jc w:val="center"/>
                    <w:outlineLvl w:val="9"/>
                    <w:rPr>
                      <w:rFonts w:ascii="Times New Roman" w:hAnsi="Times New Roman"/>
                      <w:b w:val="0"/>
                      <w:bCs/>
                      <w:color w:val="auto"/>
                      <w:sz w:val="21"/>
                    </w:rPr>
                  </w:pPr>
                </w:p>
              </w:tc>
              <w:tc>
                <w:tcPr>
                  <w:tcW w:w="1020" w:type="dxa"/>
                  <w:vMerge w:val="continue"/>
                  <w:noWrap w:val="0"/>
                  <w:vAlign w:val="center"/>
                </w:tcPr>
                <w:p w14:paraId="782EF65A">
                  <w:pPr>
                    <w:pStyle w:val="2"/>
                    <w:spacing w:line="280" w:lineRule="exact"/>
                    <w:jc w:val="center"/>
                    <w:outlineLvl w:val="9"/>
                    <w:rPr>
                      <w:rFonts w:ascii="Times New Roman" w:hAnsi="Times New Roman"/>
                      <w:b w:val="0"/>
                      <w:bCs/>
                      <w:color w:val="auto"/>
                      <w:sz w:val="21"/>
                    </w:rPr>
                  </w:pPr>
                </w:p>
              </w:tc>
              <w:tc>
                <w:tcPr>
                  <w:tcW w:w="3345" w:type="dxa"/>
                  <w:noWrap w:val="0"/>
                  <w:vAlign w:val="center"/>
                </w:tcPr>
                <w:p w14:paraId="6081AC61">
                  <w:pPr>
                    <w:pStyle w:val="2"/>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排气筒高度不低于15m（因安全考虑或有特殊工艺要求的除外），具体高度以及与周围建筑物的相对高度关系应根据环境影响评价文件确定。</w:t>
                  </w:r>
                </w:p>
              </w:tc>
              <w:tc>
                <w:tcPr>
                  <w:tcW w:w="2025" w:type="dxa"/>
                  <w:noWrap w:val="0"/>
                  <w:vAlign w:val="center"/>
                </w:tcPr>
                <w:p w14:paraId="40C2C04A">
                  <w:pPr>
                    <w:pStyle w:val="2"/>
                    <w:spacing w:line="280" w:lineRule="exact"/>
                    <w:ind w:left="0" w:leftChars="0" w:firstLine="0" w:firstLineChars="0"/>
                    <w:jc w:val="center"/>
                    <w:rPr>
                      <w:rFonts w:hint="eastAsia" w:ascii="Times New Roman" w:hAnsi="Times New Roman" w:eastAsia="宋体"/>
                      <w:b w:val="0"/>
                      <w:bCs/>
                      <w:color w:val="auto"/>
                      <w:sz w:val="21"/>
                      <w:lang w:eastAsia="zh-CN"/>
                    </w:rPr>
                  </w:pPr>
                  <w:r>
                    <w:rPr>
                      <w:rFonts w:hint="eastAsia" w:ascii="Times New Roman" w:hAnsi="Times New Roman"/>
                      <w:b w:val="0"/>
                      <w:bCs/>
                      <w:color w:val="auto"/>
                      <w:sz w:val="21"/>
                    </w:rPr>
                    <w:t>本项目排气筒高度为</w:t>
                  </w:r>
                  <w:r>
                    <w:rPr>
                      <w:rFonts w:hint="eastAsia" w:ascii="Times New Roman" w:hAnsi="Times New Roman"/>
                      <w:b w:val="0"/>
                      <w:bCs/>
                      <w:color w:val="auto"/>
                      <w:sz w:val="21"/>
                      <w:lang w:val="en-US" w:eastAsia="zh-CN"/>
                    </w:rPr>
                    <w:t>15</w:t>
                  </w:r>
                  <w:r>
                    <w:rPr>
                      <w:rFonts w:ascii="Times New Roman" w:hAnsi="Times New Roman"/>
                      <w:b w:val="0"/>
                      <w:bCs/>
                      <w:color w:val="auto"/>
                      <w:sz w:val="21"/>
                    </w:rPr>
                    <w:t>m</w:t>
                  </w:r>
                </w:p>
              </w:tc>
              <w:tc>
                <w:tcPr>
                  <w:tcW w:w="884" w:type="dxa"/>
                  <w:noWrap w:val="0"/>
                  <w:vAlign w:val="center"/>
                </w:tcPr>
                <w:p w14:paraId="1EFFCC99">
                  <w:pPr>
                    <w:pStyle w:val="2"/>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4AC4A1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43" w:type="dxa"/>
                  <w:noWrap w:val="0"/>
                  <w:vAlign w:val="center"/>
                </w:tcPr>
                <w:p w14:paraId="01C23842">
                  <w:pPr>
                    <w:pStyle w:val="2"/>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2</w:t>
                  </w:r>
                </w:p>
              </w:tc>
              <w:tc>
                <w:tcPr>
                  <w:tcW w:w="1020" w:type="dxa"/>
                  <w:noWrap w:val="0"/>
                  <w:vAlign w:val="center"/>
                </w:tcPr>
                <w:p w14:paraId="75881F18">
                  <w:pPr>
                    <w:pStyle w:val="2"/>
                    <w:spacing w:line="280" w:lineRule="exact"/>
                    <w:ind w:left="0" w:leftChars="0" w:firstLine="0" w:firstLineChars="0"/>
                    <w:jc w:val="center"/>
                    <w:rPr>
                      <w:rFonts w:hint="eastAsia" w:ascii="Times New Roman" w:hAnsi="Times New Roman" w:eastAsia="宋体"/>
                      <w:b w:val="0"/>
                      <w:bCs/>
                      <w:color w:val="auto"/>
                      <w:sz w:val="21"/>
                      <w:lang w:eastAsia="zh-CN"/>
                    </w:rPr>
                  </w:pPr>
                  <w:r>
                    <w:rPr>
                      <w:rFonts w:ascii="Times New Roman" w:hAnsi="Times New Roman"/>
                      <w:b w:val="0"/>
                      <w:bCs/>
                      <w:color w:val="auto"/>
                      <w:sz w:val="21"/>
                    </w:rPr>
                    <w:t>《江苏省挥发性有机物污染防治管理办法》</w:t>
                  </w:r>
                  <w:r>
                    <w:rPr>
                      <w:rFonts w:hint="eastAsia" w:ascii="Times New Roman" w:hAnsi="Times New Roman"/>
                      <w:b w:val="0"/>
                      <w:bCs/>
                      <w:color w:val="auto"/>
                      <w:sz w:val="21"/>
                      <w:lang w:eastAsia="zh-CN"/>
                    </w:rPr>
                    <w:t>（</w:t>
                  </w:r>
                  <w:r>
                    <w:rPr>
                      <w:rFonts w:ascii="Times New Roman" w:hAnsi="Times New Roman"/>
                      <w:b w:val="0"/>
                      <w:bCs/>
                      <w:color w:val="auto"/>
                      <w:sz w:val="21"/>
                    </w:rPr>
                    <w:t>省政府令119号</w:t>
                  </w:r>
                  <w:r>
                    <w:rPr>
                      <w:rFonts w:hint="eastAsia" w:ascii="Times New Roman" w:hAnsi="Times New Roman"/>
                      <w:b w:val="0"/>
                      <w:bCs/>
                      <w:color w:val="auto"/>
                      <w:sz w:val="21"/>
                      <w:lang w:eastAsia="zh-CN"/>
                    </w:rPr>
                    <w:t>）</w:t>
                  </w:r>
                </w:p>
              </w:tc>
              <w:tc>
                <w:tcPr>
                  <w:tcW w:w="3345" w:type="dxa"/>
                  <w:noWrap w:val="0"/>
                  <w:vAlign w:val="center"/>
                </w:tcPr>
                <w:p w14:paraId="195B5791">
                  <w:pPr>
                    <w:pStyle w:val="2"/>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产生挥发性有机物废气的生产经营活动应当在密闭空间或者密闭设备中进行。生产场所、生产设备应当按照环境保护和安全生产等要求设计、安装和有效运行挥发性有机物回收或净化设施；固体废物、废水、废气处理系统产生的废气应当收集和处理；含有挥发性有机物的物料应当密闭储存、运输、装卸、禁止敞口和露天放置。无法在密闭空间进行的生产经营活动应当采取有效措施，减少挥发性有机物排放量。</w:t>
                  </w:r>
                </w:p>
              </w:tc>
              <w:tc>
                <w:tcPr>
                  <w:tcW w:w="2025" w:type="dxa"/>
                  <w:noWrap w:val="0"/>
                  <w:vAlign w:val="center"/>
                </w:tcPr>
                <w:p w14:paraId="4B800CDD">
                  <w:pPr>
                    <w:pStyle w:val="2"/>
                    <w:spacing w:line="280" w:lineRule="exact"/>
                    <w:ind w:left="0" w:leftChars="0" w:firstLine="0" w:firstLineChars="0"/>
                    <w:jc w:val="both"/>
                    <w:rPr>
                      <w:rFonts w:hint="default" w:ascii="Times New Roman" w:hAnsi="Times New Roman" w:eastAsia="宋体"/>
                      <w:b w:val="0"/>
                      <w:bCs/>
                      <w:color w:val="auto"/>
                      <w:sz w:val="21"/>
                      <w:lang w:val="en-US" w:eastAsia="zh-CN"/>
                    </w:rPr>
                  </w:pPr>
                  <w:r>
                    <w:rPr>
                      <w:rFonts w:hint="eastAsia" w:ascii="Times New Roman" w:hAnsi="Times New Roman"/>
                      <w:b w:val="0"/>
                      <w:bCs/>
                      <w:color w:val="auto"/>
                      <w:sz w:val="21"/>
                      <w:lang w:val="en-US" w:eastAsia="zh-CN"/>
                    </w:rPr>
                    <w:t>本项目灌装合胶、密封、合片、加热</w:t>
                  </w:r>
                  <w:r>
                    <w:rPr>
                      <w:rFonts w:hint="eastAsia" w:ascii="Times New Roman" w:hAnsi="Times New Roman"/>
                      <w:b w:val="0"/>
                      <w:bCs/>
                      <w:color w:val="auto"/>
                      <w:sz w:val="21"/>
                    </w:rPr>
                    <w:t>工序产生的有机废气经</w:t>
                  </w:r>
                  <w:r>
                    <w:rPr>
                      <w:rFonts w:hint="eastAsia" w:ascii="Times New Roman" w:hAnsi="Times New Roman"/>
                      <w:b w:val="0"/>
                      <w:bCs/>
                      <w:color w:val="auto"/>
                      <w:sz w:val="21"/>
                      <w:lang w:val="en-US" w:eastAsia="zh-CN"/>
                    </w:rPr>
                    <w:t>集气罩+</w:t>
                  </w:r>
                  <w:r>
                    <w:rPr>
                      <w:rFonts w:hint="eastAsia" w:ascii="Times New Roman" w:hAnsi="Times New Roman"/>
                      <w:b w:val="0"/>
                      <w:bCs/>
                      <w:color w:val="auto"/>
                      <w:sz w:val="21"/>
                    </w:rPr>
                    <w:t>二级活性炭吸附装置吸附处理，有效削减非甲烷总烃</w:t>
                  </w:r>
                  <w:r>
                    <w:rPr>
                      <w:rFonts w:hint="eastAsia" w:ascii="Times New Roman" w:hAnsi="Times New Roman"/>
                      <w:b w:val="0"/>
                      <w:bCs/>
                      <w:color w:val="auto"/>
                      <w:sz w:val="21"/>
                      <w:lang w:eastAsia="zh-CN"/>
                    </w:rPr>
                    <w:t>，</w:t>
                  </w:r>
                  <w:r>
                    <w:rPr>
                      <w:rFonts w:hint="eastAsia" w:ascii="Times New Roman" w:hAnsi="Times New Roman"/>
                      <w:b w:val="0"/>
                      <w:bCs/>
                      <w:color w:val="auto"/>
                      <w:sz w:val="21"/>
                      <w:lang w:val="en-US" w:eastAsia="zh-CN"/>
                    </w:rPr>
                    <w:t>产生的废活性炭采用密闭包装暂存危废储存间，委托有资质单位处置</w:t>
                  </w:r>
                </w:p>
              </w:tc>
              <w:tc>
                <w:tcPr>
                  <w:tcW w:w="884" w:type="dxa"/>
                  <w:noWrap w:val="0"/>
                  <w:vAlign w:val="center"/>
                </w:tcPr>
                <w:p w14:paraId="63427A33">
                  <w:pPr>
                    <w:pStyle w:val="2"/>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6154CA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43" w:type="dxa"/>
                  <w:noWrap w:val="0"/>
                  <w:vAlign w:val="center"/>
                </w:tcPr>
                <w:p w14:paraId="40087572">
                  <w:pPr>
                    <w:pStyle w:val="2"/>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3</w:t>
                  </w:r>
                </w:p>
              </w:tc>
              <w:tc>
                <w:tcPr>
                  <w:tcW w:w="1020" w:type="dxa"/>
                  <w:noWrap w:val="0"/>
                  <w:vAlign w:val="center"/>
                </w:tcPr>
                <w:p w14:paraId="4C0ADA36">
                  <w:pPr>
                    <w:pStyle w:val="2"/>
                    <w:spacing w:line="280" w:lineRule="exact"/>
                    <w:ind w:left="0" w:leftChars="0" w:firstLine="0" w:firstLineChars="0"/>
                    <w:jc w:val="center"/>
                    <w:rPr>
                      <w:rFonts w:ascii="Times New Roman" w:hAnsi="Times New Roman"/>
                      <w:b w:val="0"/>
                      <w:bCs/>
                      <w:color w:val="auto"/>
                      <w:sz w:val="21"/>
                    </w:rPr>
                  </w:pPr>
                  <w:r>
                    <w:rPr>
                      <w:rFonts w:ascii="Times New Roman" w:hAnsi="Times New Roman"/>
                      <w:b w:val="0"/>
                      <w:bCs/>
                      <w:color w:val="auto"/>
                      <w:sz w:val="21"/>
                    </w:rPr>
                    <w:t>《江苏省大气污染防治条例》</w:t>
                  </w:r>
                </w:p>
              </w:tc>
              <w:tc>
                <w:tcPr>
                  <w:tcW w:w="3345" w:type="dxa"/>
                  <w:noWrap w:val="0"/>
                  <w:vAlign w:val="center"/>
                </w:tcPr>
                <w:p w14:paraId="0991CD5D">
                  <w:pPr>
                    <w:pStyle w:val="2"/>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严格控制新建、改建、扩建钢铁、建材、石化、有色、化工等行业中的大气重污染工业项目。新建、改建、扩建的大气重污染工业项目生产过程中排放烟粉尘、硫化物和氮氧化物等大气污染物的，应当配套建设和使用除尘、脱硫、脱硝等减排装置，或者采取其他控制大气污染物排放的措施。</w:t>
                  </w:r>
                </w:p>
              </w:tc>
              <w:tc>
                <w:tcPr>
                  <w:tcW w:w="2025" w:type="dxa"/>
                  <w:noWrap w:val="0"/>
                  <w:vAlign w:val="center"/>
                </w:tcPr>
                <w:p w14:paraId="1E3BE7E2">
                  <w:pPr>
                    <w:pStyle w:val="2"/>
                    <w:spacing w:line="280" w:lineRule="exact"/>
                    <w:ind w:left="0" w:leftChars="0" w:firstLine="0" w:firstLineChars="0"/>
                    <w:jc w:val="both"/>
                    <w:rPr>
                      <w:rFonts w:ascii="Times New Roman" w:hAnsi="Times New Roman"/>
                      <w:b w:val="0"/>
                      <w:bCs/>
                      <w:color w:val="auto"/>
                      <w:sz w:val="21"/>
                    </w:rPr>
                  </w:pPr>
                  <w:r>
                    <w:rPr>
                      <w:rFonts w:hint="eastAsia" w:ascii="Times New Roman" w:hAnsi="Times New Roman"/>
                      <w:b w:val="0"/>
                      <w:bCs/>
                      <w:color w:val="auto"/>
                      <w:sz w:val="21"/>
                    </w:rPr>
                    <w:t>本项目</w:t>
                  </w:r>
                  <w:r>
                    <w:rPr>
                      <w:rFonts w:hint="eastAsia" w:ascii="Times New Roman" w:hAnsi="Times New Roman"/>
                      <w:b w:val="0"/>
                      <w:bCs/>
                      <w:color w:val="auto"/>
                      <w:sz w:val="21"/>
                      <w:lang w:val="en-US" w:eastAsia="zh-CN"/>
                    </w:rPr>
                    <w:t>为</w:t>
                  </w:r>
                  <w:r>
                    <w:rPr>
                      <w:rFonts w:hint="eastAsia" w:ascii="Times New Roman"/>
                      <w:b w:val="0"/>
                      <w:bCs/>
                      <w:color w:val="auto"/>
                      <w:sz w:val="21"/>
                      <w:szCs w:val="21"/>
                      <w:lang w:val="en-US" w:eastAsia="zh-CN"/>
                    </w:rPr>
                    <w:t>江苏鑫宇建材科技有限公司玻璃加工项目</w:t>
                  </w:r>
                  <w:r>
                    <w:rPr>
                      <w:rFonts w:hint="eastAsia" w:ascii="Times New Roman" w:hAnsi="Times New Roman"/>
                      <w:b w:val="0"/>
                      <w:bCs/>
                      <w:color w:val="auto"/>
                      <w:sz w:val="21"/>
                    </w:rPr>
                    <w:t>，不属于条例中的大气重污染工业项目</w:t>
                  </w:r>
                </w:p>
              </w:tc>
              <w:tc>
                <w:tcPr>
                  <w:tcW w:w="884" w:type="dxa"/>
                  <w:noWrap w:val="0"/>
                  <w:vAlign w:val="center"/>
                </w:tcPr>
                <w:p w14:paraId="39248316">
                  <w:pPr>
                    <w:pStyle w:val="2"/>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3CD685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43" w:type="dxa"/>
                  <w:noWrap w:val="0"/>
                  <w:vAlign w:val="center"/>
                </w:tcPr>
                <w:p w14:paraId="3A1E8509">
                  <w:pPr>
                    <w:pStyle w:val="30"/>
                    <w:bidi w:val="0"/>
                    <w:rPr>
                      <w:rFonts w:hint="default" w:ascii="Times New Roman" w:hAnsi="Times New Roman" w:cs="Times New Roman"/>
                      <w:b w:val="0"/>
                      <w:bCs/>
                      <w:color w:val="auto"/>
                      <w:sz w:val="21"/>
                    </w:rPr>
                  </w:pPr>
                  <w:r>
                    <w:rPr>
                      <w:rFonts w:hint="default" w:ascii="Times New Roman" w:hAnsi="Times New Roman" w:cs="Times New Roman"/>
                      <w:color w:val="auto"/>
                      <w:lang w:val="en-US" w:eastAsia="zh-CN"/>
                    </w:rPr>
                    <w:t>4</w:t>
                  </w:r>
                </w:p>
              </w:tc>
              <w:tc>
                <w:tcPr>
                  <w:tcW w:w="1020" w:type="dxa"/>
                  <w:noWrap w:val="0"/>
                  <w:vAlign w:val="center"/>
                </w:tcPr>
                <w:p w14:paraId="7CBF13F8">
                  <w:pPr>
                    <w:pStyle w:val="30"/>
                    <w:bidi w:val="0"/>
                    <w:rPr>
                      <w:rFonts w:hint="default" w:ascii="Times New Roman" w:hAnsi="Times New Roman" w:cs="Times New Roman"/>
                      <w:b w:val="0"/>
                      <w:bCs/>
                      <w:color w:val="auto"/>
                      <w:sz w:val="21"/>
                    </w:rPr>
                  </w:pPr>
                  <w:r>
                    <w:rPr>
                      <w:rFonts w:hint="default" w:ascii="Times New Roman" w:hAnsi="Times New Roman" w:cs="Times New Roman"/>
                      <w:color w:val="auto"/>
                    </w:rPr>
                    <w:t>《2020年挥发性有机物治理攻坚方案》（环大气</w:t>
                  </w:r>
                  <w:r>
                    <w:rPr>
                      <w:rFonts w:hint="eastAsia" w:ascii="Times New Roman" w:cs="Times New Roman"/>
                      <w:color w:val="auto"/>
                      <w:lang w:eastAsia="zh-CN"/>
                    </w:rPr>
                    <w:t>〔2020〕33号</w:t>
                  </w:r>
                  <w:r>
                    <w:rPr>
                      <w:rFonts w:hint="default" w:ascii="Times New Roman" w:hAnsi="Times New Roman" w:cs="Times New Roman"/>
                      <w:color w:val="auto"/>
                    </w:rPr>
                    <w:t>）</w:t>
                  </w:r>
                </w:p>
              </w:tc>
              <w:tc>
                <w:tcPr>
                  <w:tcW w:w="3345" w:type="dxa"/>
                  <w:noWrap w:val="0"/>
                  <w:vAlign w:val="center"/>
                </w:tcPr>
                <w:p w14:paraId="28E1E361">
                  <w:pPr>
                    <w:pStyle w:val="30"/>
                    <w:bidi w:val="0"/>
                    <w:jc w:val="both"/>
                    <w:rPr>
                      <w:rFonts w:hint="default" w:ascii="Times New Roman" w:hAnsi="Times New Roman" w:cs="Times New Roman"/>
                      <w:b w:val="0"/>
                      <w:bCs/>
                      <w:color w:val="auto"/>
                      <w:sz w:val="21"/>
                    </w:rPr>
                  </w:pPr>
                  <w:r>
                    <w:rPr>
                      <w:rFonts w:hint="default" w:ascii="Times New Roman" w:hAnsi="Times New Roman" w:cs="Times New Roman"/>
                      <w:color w:val="auto"/>
                    </w:rPr>
                    <w:t>按照“应收尽收”的原则提升废气收集率。优先采用密闭设备、在密闭空间中操作或采用全密闭集气罩收集方式；对于采用局部集气罩的，应根据废气排放特点合理选择收集点位，距集气罩开口面最远处的VOCs无组织排放位置，控制风速不低于0.3米/秒</w:t>
                  </w:r>
                  <w:r>
                    <w:rPr>
                      <w:rFonts w:hint="default" w:ascii="Times New Roman" w:hAnsi="Times New Roman" w:cs="Times New Roman"/>
                      <w:color w:val="auto"/>
                      <w:lang w:eastAsia="zh-CN"/>
                    </w:rPr>
                    <w:t>。</w:t>
                  </w:r>
                </w:p>
              </w:tc>
              <w:tc>
                <w:tcPr>
                  <w:tcW w:w="2025" w:type="dxa"/>
                  <w:noWrap w:val="0"/>
                  <w:vAlign w:val="center"/>
                </w:tcPr>
                <w:p w14:paraId="12F67CE2">
                  <w:pPr>
                    <w:pStyle w:val="30"/>
                    <w:bidi w:val="0"/>
                    <w:jc w:val="both"/>
                    <w:rPr>
                      <w:rFonts w:hint="default" w:ascii="Times New Roman" w:hAnsi="Times New Roman" w:cs="Times New Roman"/>
                      <w:b w:val="0"/>
                      <w:bCs/>
                      <w:color w:val="auto"/>
                      <w:sz w:val="21"/>
                      <w:lang w:val="en-US"/>
                    </w:rPr>
                  </w:pPr>
                  <w:r>
                    <w:rPr>
                      <w:rFonts w:hint="eastAsia"/>
                      <w:color w:val="auto"/>
                      <w:lang w:val="en-US" w:eastAsia="zh-CN"/>
                    </w:rPr>
                    <w:t>本项目</w:t>
                  </w:r>
                  <w:r>
                    <w:rPr>
                      <w:rFonts w:hint="eastAsia" w:ascii="Times New Roman" w:hAnsi="Times New Roman"/>
                      <w:b w:val="0"/>
                      <w:bCs/>
                      <w:color w:val="auto"/>
                      <w:sz w:val="21"/>
                      <w:lang w:val="en-US" w:eastAsia="zh-CN"/>
                    </w:rPr>
                    <w:t>灌装合胶、密封、</w:t>
                  </w:r>
                  <w:r>
                    <w:rPr>
                      <w:rFonts w:hint="eastAsia" w:ascii="Times New Roman"/>
                      <w:b w:val="0"/>
                      <w:bCs/>
                      <w:color w:val="auto"/>
                      <w:sz w:val="21"/>
                      <w:lang w:val="en-US" w:eastAsia="zh-CN"/>
                    </w:rPr>
                    <w:t>合片、</w:t>
                  </w:r>
                  <w:r>
                    <w:rPr>
                      <w:rFonts w:hint="eastAsia" w:ascii="Times New Roman" w:hAnsi="Times New Roman"/>
                      <w:b w:val="0"/>
                      <w:bCs/>
                      <w:color w:val="auto"/>
                      <w:sz w:val="21"/>
                      <w:lang w:val="en-US" w:eastAsia="zh-CN"/>
                    </w:rPr>
                    <w:t>加热</w:t>
                  </w:r>
                  <w:r>
                    <w:rPr>
                      <w:rFonts w:hint="eastAsia"/>
                      <w:color w:val="auto"/>
                      <w:lang w:val="en-US" w:eastAsia="zh-CN"/>
                    </w:rPr>
                    <w:t>废气采用集气罩收集，距集气罩开口面最远处的无组织排放位置的控制风速为</w:t>
                  </w:r>
                  <w:r>
                    <w:rPr>
                      <w:rFonts w:hint="eastAsia" w:ascii="Times New Roman" w:hAnsi="Times New Roman"/>
                      <w:color w:val="auto"/>
                      <w:sz w:val="21"/>
                      <w:lang w:val="en-US" w:eastAsia="zh-CN"/>
                    </w:rPr>
                    <w:t>0.3m/s</w:t>
                  </w:r>
                </w:p>
              </w:tc>
              <w:tc>
                <w:tcPr>
                  <w:tcW w:w="884" w:type="dxa"/>
                  <w:noWrap w:val="0"/>
                  <w:vAlign w:val="center"/>
                </w:tcPr>
                <w:p w14:paraId="05A575AF">
                  <w:pPr>
                    <w:pStyle w:val="30"/>
                    <w:bidi w:val="0"/>
                    <w:rPr>
                      <w:rFonts w:hint="eastAsia" w:ascii="Times New Roman" w:hAnsi="Times New Roman"/>
                      <w:b w:val="0"/>
                      <w:bCs/>
                      <w:color w:val="auto"/>
                      <w:sz w:val="21"/>
                    </w:rPr>
                  </w:pPr>
                  <w:r>
                    <w:rPr>
                      <w:rFonts w:hint="eastAsia"/>
                      <w:color w:val="auto"/>
                      <w:lang w:val="en-US" w:eastAsia="zh-CN"/>
                    </w:rPr>
                    <w:t>符合</w:t>
                  </w:r>
                </w:p>
              </w:tc>
            </w:tr>
            <w:tr w14:paraId="65AE1E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43" w:type="dxa"/>
                  <w:vMerge w:val="restart"/>
                  <w:noWrap w:val="0"/>
                  <w:vAlign w:val="center"/>
                </w:tcPr>
                <w:p w14:paraId="5E041452">
                  <w:pPr>
                    <w:pStyle w:val="30"/>
                    <w:bidi w:val="0"/>
                    <w:rPr>
                      <w:rFonts w:hint="default" w:ascii="Times New Roman" w:hAnsi="Times New Roman" w:cs="Times New Roman"/>
                      <w:color w:val="auto"/>
                      <w:lang w:val="en-US" w:eastAsia="zh-CN"/>
                    </w:rPr>
                  </w:pPr>
                  <w:r>
                    <w:rPr>
                      <w:rFonts w:hint="eastAsia" w:ascii="Times New Roman" w:cs="Times New Roman"/>
                      <w:color w:val="auto"/>
                      <w:lang w:val="en-US" w:eastAsia="zh-CN"/>
                    </w:rPr>
                    <w:t>5</w:t>
                  </w:r>
                </w:p>
              </w:tc>
              <w:tc>
                <w:tcPr>
                  <w:tcW w:w="1020" w:type="dxa"/>
                  <w:vMerge w:val="restart"/>
                  <w:noWrap w:val="0"/>
                  <w:vAlign w:val="center"/>
                </w:tcPr>
                <w:p w14:paraId="02873E1C">
                  <w:pPr>
                    <w:pStyle w:val="30"/>
                    <w:bidi w:val="0"/>
                    <w:rPr>
                      <w:rFonts w:hint="default" w:ascii="Times New Roman" w:hAnsi="Times New Roman" w:cs="Times New Roman"/>
                      <w:color w:val="auto"/>
                    </w:rPr>
                  </w:pPr>
                  <w:r>
                    <w:rPr>
                      <w:rFonts w:hint="default" w:ascii="Times New Roman" w:hAnsi="Times New Roman" w:cs="Times New Roman"/>
                      <w:color w:val="auto"/>
                    </w:rPr>
                    <w:t>省大气办关于印发《江苏省挥发性有机物清洁原料替代工作方案》</w:t>
                  </w:r>
                  <w:r>
                    <w:rPr>
                      <w:rFonts w:hint="eastAsia" w:ascii="Times New Roman" w:cs="Times New Roman"/>
                      <w:color w:val="auto"/>
                      <w:lang w:eastAsia="zh-CN"/>
                    </w:rPr>
                    <w:t>的</w:t>
                  </w:r>
                  <w:r>
                    <w:rPr>
                      <w:rFonts w:hint="eastAsia" w:ascii="Times New Roman" w:cs="Times New Roman"/>
                      <w:color w:val="auto"/>
                      <w:lang w:val="en-US" w:eastAsia="zh-CN"/>
                    </w:rPr>
                    <w:t>通知</w:t>
                  </w:r>
                  <w:r>
                    <w:rPr>
                      <w:rFonts w:hint="eastAsia" w:ascii="Times New Roman" w:cs="Times New Roman"/>
                      <w:color w:val="auto"/>
                      <w:lang w:eastAsia="zh-CN"/>
                    </w:rPr>
                    <w:t>（</w:t>
                  </w:r>
                  <w:r>
                    <w:rPr>
                      <w:rFonts w:hint="eastAsia" w:ascii="Times New Roman" w:cs="Times New Roman"/>
                      <w:color w:val="auto"/>
                      <w:lang w:val="en-US" w:eastAsia="zh-CN"/>
                    </w:rPr>
                    <w:t>苏大气办〔2021〕2号</w:t>
                  </w:r>
                  <w:r>
                    <w:rPr>
                      <w:rFonts w:hint="eastAsia" w:ascii="Times New Roman" w:cs="Times New Roman"/>
                      <w:color w:val="auto"/>
                      <w:lang w:eastAsia="zh-CN"/>
                    </w:rPr>
                    <w:t>）</w:t>
                  </w:r>
                  <w:r>
                    <w:rPr>
                      <w:rFonts w:hint="default" w:ascii="Times New Roman" w:hAnsi="Times New Roman" w:cs="Times New Roman"/>
                      <w:color w:val="auto"/>
                    </w:rPr>
                    <w:t xml:space="preserve"> </w:t>
                  </w:r>
                </w:p>
              </w:tc>
              <w:tc>
                <w:tcPr>
                  <w:tcW w:w="3345" w:type="dxa"/>
                  <w:noWrap w:val="0"/>
                  <w:vAlign w:val="center"/>
                </w:tcPr>
                <w:p w14:paraId="30E59501">
                  <w:pPr>
                    <w:pStyle w:val="30"/>
                    <w:bidi w:val="0"/>
                    <w:jc w:val="both"/>
                    <w:rPr>
                      <w:rFonts w:hint="default" w:ascii="Times New Roman" w:hAnsi="Times New Roman" w:cs="Times New Roman"/>
                      <w:color w:val="auto"/>
                    </w:rPr>
                  </w:pPr>
                  <w:r>
                    <w:rPr>
                      <w:rFonts w:hint="eastAsia" w:ascii="Times New Roman" w:cs="Times New Roman"/>
                      <w:color w:val="auto"/>
                      <w:lang w:val="en-US" w:eastAsia="zh-CN"/>
                    </w:rPr>
                    <w:t>1.</w:t>
                  </w:r>
                  <w:r>
                    <w:rPr>
                      <w:rFonts w:hint="default" w:ascii="Times New Roman" w:hAnsi="Times New Roman" w:cs="Times New Roman"/>
                      <w:color w:val="auto"/>
                    </w:rPr>
                    <w:t>明确替代要求。以工业涂装、包装印刷、木材加工、纺织（附件1）等行业为重点，分阶段推进3130家企业（附件2）清洁原料替代工作。实施替代的企业要使用符合《低挥发性有机化合物含量涂料产品技术要求》（GB/T 38597-2020）规定的粉末、水性、无溶剂、辐射固化涂料产品；符合《油墨中可挥发性有机化合物（VOCs）含量的限值》（GB38507-2020）规定的水性油墨和能量固化油墨产品；符合《清洗剂挥发性有机化合物含量限值》（GB 38508-2020）规定的水基、半水基清洗剂产品；符合《</w:t>
                  </w:r>
                  <w:r>
                    <w:rPr>
                      <w:rFonts w:hint="eastAsia" w:ascii="Times New Roman" w:cs="Times New Roman"/>
                      <w:color w:val="auto"/>
                      <w:lang w:eastAsia="zh-CN"/>
                    </w:rPr>
                    <w:t>胶黏剂</w:t>
                  </w:r>
                  <w:r>
                    <w:rPr>
                      <w:rFonts w:hint="default" w:ascii="Times New Roman" w:hAnsi="Times New Roman" w:cs="Times New Roman"/>
                      <w:color w:val="auto"/>
                    </w:rPr>
                    <w:t>挥发性有机化合物限量》（GB 33372-2020）规定的水基型、本体型</w:t>
                  </w:r>
                  <w:r>
                    <w:rPr>
                      <w:rFonts w:hint="eastAsia" w:ascii="Times New Roman" w:cs="Times New Roman"/>
                      <w:color w:val="auto"/>
                      <w:lang w:eastAsia="zh-CN"/>
                    </w:rPr>
                    <w:t>胶黏剂</w:t>
                  </w:r>
                  <w:r>
                    <w:rPr>
                      <w:rFonts w:hint="default" w:ascii="Times New Roman" w:hAnsi="Times New Roman" w:cs="Times New Roman"/>
                      <w:color w:val="auto"/>
                    </w:rPr>
                    <w:t>产品。若确实无法达到上述要求，应提供相应的论证说明，相关涂料、油墨、清洗剂、</w:t>
                  </w:r>
                  <w:r>
                    <w:rPr>
                      <w:rFonts w:hint="eastAsia" w:ascii="Times New Roman" w:cs="Times New Roman"/>
                      <w:color w:val="auto"/>
                      <w:lang w:eastAsia="zh-CN"/>
                    </w:rPr>
                    <w:t>胶黏剂</w:t>
                  </w:r>
                  <w:r>
                    <w:rPr>
                      <w:rFonts w:hint="default" w:ascii="Times New Roman" w:hAnsi="Times New Roman" w:cs="Times New Roman"/>
                      <w:color w:val="auto"/>
                    </w:rPr>
                    <w:t>等产品应符合相关标准中VOCs含量的限值要求。</w:t>
                  </w:r>
                </w:p>
              </w:tc>
              <w:tc>
                <w:tcPr>
                  <w:tcW w:w="2025" w:type="dxa"/>
                  <w:noWrap w:val="0"/>
                  <w:vAlign w:val="center"/>
                </w:tcPr>
                <w:p w14:paraId="5214658C">
                  <w:pPr>
                    <w:pStyle w:val="30"/>
                    <w:bidi w:val="0"/>
                    <w:jc w:val="both"/>
                    <w:rPr>
                      <w:rFonts w:hint="default" w:ascii="Times New Roman" w:hAnsi="Times New Roman" w:cs="Times New Roman"/>
                      <w:color w:val="auto"/>
                      <w:sz w:val="21"/>
                      <w:lang w:val="en-US" w:eastAsia="zh-CN"/>
                    </w:rPr>
                  </w:pPr>
                  <w:r>
                    <w:rPr>
                      <w:rFonts w:hint="eastAsia" w:ascii="Times New Roman" w:hAnsi="Times New Roman"/>
                      <w:color w:val="auto"/>
                      <w:sz w:val="21"/>
                      <w:lang w:val="en-US" w:eastAsia="zh-CN"/>
                    </w:rPr>
                    <w:t>本项目不属于文件中的3130家企业，本次</w:t>
                  </w:r>
                  <w:r>
                    <w:rPr>
                      <w:rFonts w:hint="eastAsia" w:ascii="Times New Roman"/>
                      <w:color w:val="auto"/>
                      <w:sz w:val="21"/>
                      <w:lang w:val="en-US" w:eastAsia="zh-CN"/>
                    </w:rPr>
                    <w:t>迁</w:t>
                  </w:r>
                  <w:r>
                    <w:rPr>
                      <w:rFonts w:hint="eastAsia" w:ascii="Times New Roman" w:hAnsi="Times New Roman"/>
                      <w:color w:val="auto"/>
                      <w:sz w:val="21"/>
                      <w:lang w:val="en-US" w:eastAsia="zh-CN"/>
                    </w:rPr>
                    <w:t>建项目使用的硅酮胶挥发性有机物含量为13.2g/kg，使用的PVB胶片挥发性有机物含量为3.5g/kg</w:t>
                  </w:r>
                  <w:r>
                    <w:rPr>
                      <w:rFonts w:hint="eastAsia" w:ascii="Times New Roman" w:hAnsi="Times New Roman"/>
                      <w:color w:val="auto"/>
                      <w:sz w:val="21"/>
                      <w:lang w:eastAsia="zh-CN"/>
                    </w:rPr>
                    <w:t>，</w:t>
                  </w:r>
                  <w:r>
                    <w:rPr>
                      <w:rFonts w:hint="eastAsia" w:ascii="Times New Roman" w:hAnsi="Times New Roman"/>
                      <w:color w:val="auto"/>
                      <w:sz w:val="21"/>
                      <w:lang w:val="en-US" w:eastAsia="zh-CN"/>
                    </w:rPr>
                    <w:t>符合《</w:t>
                  </w:r>
                  <w:r>
                    <w:rPr>
                      <w:rFonts w:hint="eastAsia" w:ascii="Times New Roman"/>
                      <w:color w:val="auto"/>
                      <w:sz w:val="21"/>
                      <w:lang w:val="en-US" w:eastAsia="zh-CN"/>
                    </w:rPr>
                    <w:t>胶黏剂</w:t>
                  </w:r>
                  <w:r>
                    <w:rPr>
                      <w:rFonts w:hint="eastAsia" w:ascii="Times New Roman" w:hAnsi="Times New Roman"/>
                      <w:color w:val="auto"/>
                      <w:sz w:val="21"/>
                      <w:lang w:val="en-US" w:eastAsia="zh-CN"/>
                    </w:rPr>
                    <w:t>挥发性有机化合物限量》（GB33372-2020）表3中“本体型胶黏剂－建筑－其他-50g/kg”的相关限值要求。</w:t>
                  </w:r>
                </w:p>
              </w:tc>
              <w:tc>
                <w:tcPr>
                  <w:tcW w:w="884" w:type="dxa"/>
                  <w:noWrap w:val="0"/>
                  <w:vAlign w:val="center"/>
                </w:tcPr>
                <w:p w14:paraId="6D56C157">
                  <w:pPr>
                    <w:pStyle w:val="30"/>
                    <w:bidi w:val="0"/>
                    <w:rPr>
                      <w:rFonts w:hint="default"/>
                      <w:color w:val="auto"/>
                      <w:lang w:val="en-US" w:eastAsia="zh-CN"/>
                    </w:rPr>
                  </w:pPr>
                  <w:r>
                    <w:rPr>
                      <w:rFonts w:hint="eastAsia"/>
                      <w:color w:val="auto"/>
                      <w:lang w:val="en-US" w:eastAsia="zh-CN"/>
                    </w:rPr>
                    <w:t>符合</w:t>
                  </w:r>
                </w:p>
              </w:tc>
            </w:tr>
            <w:tr w14:paraId="261ACB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43" w:type="dxa"/>
                  <w:vMerge w:val="continue"/>
                  <w:noWrap w:val="0"/>
                  <w:vAlign w:val="center"/>
                </w:tcPr>
                <w:p w14:paraId="5D8E7149">
                  <w:pPr>
                    <w:pStyle w:val="30"/>
                    <w:bidi w:val="0"/>
                    <w:rPr>
                      <w:rFonts w:hint="default" w:ascii="Times New Roman" w:hAnsi="Times New Roman" w:cs="Times New Roman"/>
                      <w:color w:val="auto"/>
                      <w:lang w:val="en-US" w:eastAsia="zh-CN"/>
                    </w:rPr>
                  </w:pPr>
                </w:p>
              </w:tc>
              <w:tc>
                <w:tcPr>
                  <w:tcW w:w="1020" w:type="dxa"/>
                  <w:vMerge w:val="continue"/>
                  <w:noWrap w:val="0"/>
                  <w:vAlign w:val="center"/>
                </w:tcPr>
                <w:p w14:paraId="7FD800D7">
                  <w:pPr>
                    <w:pStyle w:val="30"/>
                    <w:bidi w:val="0"/>
                    <w:rPr>
                      <w:rFonts w:hint="default" w:ascii="Times New Roman" w:hAnsi="Times New Roman" w:cs="Times New Roman"/>
                      <w:color w:val="auto"/>
                    </w:rPr>
                  </w:pPr>
                </w:p>
              </w:tc>
              <w:tc>
                <w:tcPr>
                  <w:tcW w:w="3345" w:type="dxa"/>
                  <w:noWrap w:val="0"/>
                  <w:vAlign w:val="center"/>
                </w:tcPr>
                <w:p w14:paraId="3CFD3284">
                  <w:pPr>
                    <w:pStyle w:val="30"/>
                    <w:bidi w:val="0"/>
                    <w:jc w:val="both"/>
                    <w:rPr>
                      <w:rFonts w:hint="default" w:ascii="Times New Roman" w:hAnsi="Times New Roman" w:cs="Times New Roman"/>
                      <w:color w:val="auto"/>
                    </w:rPr>
                  </w:pPr>
                  <w:r>
                    <w:rPr>
                      <w:rFonts w:hint="eastAsia" w:ascii="Times New Roman" w:cs="Times New Roman"/>
                      <w:color w:val="auto"/>
                      <w:lang w:val="en-US" w:eastAsia="zh-CN"/>
                    </w:rPr>
                    <w:t>2.</w:t>
                  </w:r>
                  <w:r>
                    <w:rPr>
                      <w:rFonts w:hint="default" w:ascii="Times New Roman" w:hAnsi="Times New Roman" w:cs="Times New Roman"/>
                      <w:color w:val="auto"/>
                    </w:rPr>
                    <w:t>严格准入条件。禁止建设生产和使用高VOCs含量的涂料、油墨、胶黏剂等项目。2021年起，全省工业涂装、包装印刷、纺织、木材加工等行业以及涂料、油墨等生产企业的新（改、扩）建项目需满足低（无）VOCs含量限值要求。省内市场上流通的水性涂料等低挥发性有机物含量涂料产品，执行国家《低挥发性有机化合物含量涂料产品技术要求》（GB/T 38597-2020）。</w:t>
                  </w:r>
                </w:p>
              </w:tc>
              <w:tc>
                <w:tcPr>
                  <w:tcW w:w="2025" w:type="dxa"/>
                  <w:noWrap w:val="0"/>
                  <w:vAlign w:val="center"/>
                </w:tcPr>
                <w:p w14:paraId="0E835778">
                  <w:pPr>
                    <w:pStyle w:val="30"/>
                    <w:bidi w:val="0"/>
                    <w:jc w:val="both"/>
                    <w:rPr>
                      <w:rFonts w:hint="default" w:ascii="Times New Roman" w:hAnsi="Times New Roman" w:cs="Times New Roman"/>
                      <w:color w:val="auto"/>
                      <w:sz w:val="21"/>
                      <w:lang w:val="en-US" w:eastAsia="zh-CN"/>
                    </w:rPr>
                  </w:pPr>
                  <w:r>
                    <w:rPr>
                      <w:rFonts w:hint="eastAsia" w:ascii="Times New Roman" w:hAnsi="Times New Roman"/>
                      <w:color w:val="auto"/>
                      <w:sz w:val="21"/>
                      <w:lang w:val="en-US" w:eastAsia="zh-CN"/>
                    </w:rPr>
                    <w:t>项目使用的硅酮胶挥发性有机物含量为13.2g/kg，使用的PVB胶片挥发性有机物含量为3.5g/kg，符合《</w:t>
                  </w:r>
                  <w:r>
                    <w:rPr>
                      <w:rFonts w:hint="eastAsia" w:ascii="Times New Roman"/>
                      <w:color w:val="auto"/>
                      <w:sz w:val="21"/>
                      <w:lang w:val="en-US" w:eastAsia="zh-CN"/>
                    </w:rPr>
                    <w:t>胶黏剂</w:t>
                  </w:r>
                  <w:r>
                    <w:rPr>
                      <w:rFonts w:hint="eastAsia" w:ascii="Times New Roman" w:hAnsi="Times New Roman"/>
                      <w:color w:val="auto"/>
                      <w:sz w:val="21"/>
                      <w:lang w:val="en-US" w:eastAsia="zh-CN"/>
                    </w:rPr>
                    <w:t>挥发性有机化合物限量》（GB33372-2020）表3中“本体型胶黏剂建筑－其他-50g/kg”的相关限值要求。</w:t>
                  </w:r>
                </w:p>
              </w:tc>
              <w:tc>
                <w:tcPr>
                  <w:tcW w:w="884" w:type="dxa"/>
                  <w:noWrap w:val="0"/>
                  <w:vAlign w:val="center"/>
                </w:tcPr>
                <w:p w14:paraId="274A40EB">
                  <w:pPr>
                    <w:pStyle w:val="30"/>
                    <w:bidi w:val="0"/>
                    <w:rPr>
                      <w:rFonts w:hint="default"/>
                      <w:color w:val="auto"/>
                      <w:lang w:val="en-US" w:eastAsia="zh-CN"/>
                    </w:rPr>
                  </w:pPr>
                  <w:r>
                    <w:rPr>
                      <w:rFonts w:hint="eastAsia"/>
                      <w:color w:val="auto"/>
                      <w:lang w:val="en-US" w:eastAsia="zh-CN"/>
                    </w:rPr>
                    <w:t>符合</w:t>
                  </w:r>
                </w:p>
              </w:tc>
            </w:tr>
            <w:tr w14:paraId="775D87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43" w:type="dxa"/>
                  <w:vMerge w:val="continue"/>
                  <w:noWrap w:val="0"/>
                  <w:vAlign w:val="center"/>
                </w:tcPr>
                <w:p w14:paraId="74FB7B99">
                  <w:pPr>
                    <w:pStyle w:val="30"/>
                    <w:bidi w:val="0"/>
                    <w:rPr>
                      <w:rFonts w:hint="default" w:ascii="Times New Roman" w:hAnsi="Times New Roman" w:cs="Times New Roman"/>
                      <w:color w:val="auto"/>
                      <w:lang w:val="en-US" w:eastAsia="zh-CN"/>
                    </w:rPr>
                  </w:pPr>
                </w:p>
              </w:tc>
              <w:tc>
                <w:tcPr>
                  <w:tcW w:w="1020" w:type="dxa"/>
                  <w:vMerge w:val="continue"/>
                  <w:noWrap w:val="0"/>
                  <w:vAlign w:val="center"/>
                </w:tcPr>
                <w:p w14:paraId="2DE675BB">
                  <w:pPr>
                    <w:pStyle w:val="30"/>
                    <w:bidi w:val="0"/>
                    <w:rPr>
                      <w:rFonts w:hint="default" w:ascii="Times New Roman" w:hAnsi="Times New Roman" w:cs="Times New Roman"/>
                      <w:color w:val="auto"/>
                    </w:rPr>
                  </w:pPr>
                </w:p>
              </w:tc>
              <w:tc>
                <w:tcPr>
                  <w:tcW w:w="3345" w:type="dxa"/>
                  <w:noWrap w:val="0"/>
                  <w:vAlign w:val="center"/>
                </w:tcPr>
                <w:p w14:paraId="7DDC15C1">
                  <w:pPr>
                    <w:pStyle w:val="30"/>
                    <w:bidi w:val="0"/>
                    <w:jc w:val="both"/>
                    <w:rPr>
                      <w:rFonts w:hint="default" w:ascii="Times New Roman" w:hAnsi="Times New Roman" w:cs="Times New Roman"/>
                      <w:color w:val="auto"/>
                    </w:rPr>
                  </w:pPr>
                  <w:r>
                    <w:rPr>
                      <w:rFonts w:hint="eastAsia" w:ascii="Times New Roman" w:cs="Times New Roman"/>
                      <w:color w:val="auto"/>
                      <w:lang w:val="en-US" w:eastAsia="zh-CN"/>
                    </w:rPr>
                    <w:t>3.</w:t>
                  </w:r>
                  <w:r>
                    <w:rPr>
                      <w:rFonts w:hint="default" w:ascii="Times New Roman" w:hAnsi="Times New Roman" w:cs="Times New Roman"/>
                      <w:color w:val="auto"/>
                    </w:rPr>
                    <w:t>强化排查整治。各地在推动3130家企业实施源头替代的基础上，举一反三，对工业涂装、包装印刷、木材加工、纺织等涉VOCs重点行业进行再排查、再梳理，督促企业建立涂料等原辅材料购销台账，如实记录使用情况。对具备替代条件的，要列入治理清单，推动企业实施清洁原料替代；对替代技术尚不成熟的，要开展论证核实，并加强现场监管，确保VOCs无组织排放得到有效控制，废气排气口达到国家及地方VOCs排放控制标准要求。</w:t>
                  </w:r>
                </w:p>
              </w:tc>
              <w:tc>
                <w:tcPr>
                  <w:tcW w:w="2025" w:type="dxa"/>
                  <w:noWrap w:val="0"/>
                  <w:vAlign w:val="center"/>
                </w:tcPr>
                <w:p w14:paraId="69BC88DA">
                  <w:pPr>
                    <w:pStyle w:val="30"/>
                    <w:bidi w:val="0"/>
                    <w:jc w:val="both"/>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企业应建立台账，记录原辅料购销台账，如实记录使用情况。</w:t>
                  </w:r>
                </w:p>
              </w:tc>
              <w:tc>
                <w:tcPr>
                  <w:tcW w:w="884" w:type="dxa"/>
                  <w:noWrap w:val="0"/>
                  <w:vAlign w:val="center"/>
                </w:tcPr>
                <w:p w14:paraId="08F6D5BE">
                  <w:pPr>
                    <w:pStyle w:val="30"/>
                    <w:bidi w:val="0"/>
                    <w:rPr>
                      <w:rFonts w:hint="default"/>
                      <w:color w:val="auto"/>
                      <w:lang w:val="en-US" w:eastAsia="zh-CN"/>
                    </w:rPr>
                  </w:pPr>
                  <w:r>
                    <w:rPr>
                      <w:rFonts w:hint="eastAsia"/>
                      <w:color w:val="auto"/>
                      <w:lang w:val="en-US" w:eastAsia="zh-CN"/>
                    </w:rPr>
                    <w:t>符合</w:t>
                  </w:r>
                </w:p>
              </w:tc>
            </w:tr>
          </w:tbl>
          <w:p w14:paraId="78E06BC0">
            <w:pPr>
              <w:keepNext w:val="0"/>
              <w:keepLines w:val="0"/>
              <w:pageBreakBefore w:val="0"/>
              <w:tabs>
                <w:tab w:val="center" w:pos="4818"/>
              </w:tabs>
              <w:kinsoku/>
              <w:wordWrap/>
              <w:overflowPunct/>
              <w:topLinePunct w:val="0"/>
              <w:bidi w:val="0"/>
              <w:spacing w:line="360" w:lineRule="auto"/>
              <w:ind w:firstLine="480" w:firstLineChars="200"/>
              <w:textAlignment w:val="auto"/>
              <w:rPr>
                <w:b/>
                <w:bCs/>
                <w:color w:val="auto"/>
                <w:sz w:val="24"/>
              </w:rPr>
            </w:pPr>
            <w:r>
              <w:rPr>
                <w:rFonts w:hint="eastAsia"/>
                <w:b w:val="0"/>
                <w:bCs w:val="0"/>
                <w:color w:val="auto"/>
                <w:sz w:val="24"/>
              </w:rPr>
              <w:t>4</w:t>
            </w:r>
            <w:r>
              <w:rPr>
                <w:b w:val="0"/>
                <w:bCs w:val="0"/>
                <w:color w:val="auto"/>
                <w:sz w:val="24"/>
              </w:rPr>
              <w:t>、</w:t>
            </w:r>
            <w:r>
              <w:rPr>
                <w:rFonts w:hint="eastAsia"/>
                <w:b w:val="0"/>
                <w:bCs w:val="0"/>
                <w:color w:val="auto"/>
                <w:sz w:val="24"/>
              </w:rPr>
              <w:t>项目</w:t>
            </w:r>
            <w:r>
              <w:rPr>
                <w:b w:val="0"/>
                <w:bCs w:val="0"/>
                <w:color w:val="auto"/>
                <w:sz w:val="24"/>
              </w:rPr>
              <w:t>选址</w:t>
            </w:r>
            <w:r>
              <w:rPr>
                <w:rFonts w:hint="eastAsia"/>
                <w:b w:val="0"/>
                <w:bCs w:val="0"/>
                <w:color w:val="auto"/>
                <w:sz w:val="24"/>
              </w:rPr>
              <w:t>合理性</w:t>
            </w:r>
            <w:r>
              <w:rPr>
                <w:b w:val="0"/>
                <w:bCs w:val="0"/>
                <w:color w:val="auto"/>
                <w:sz w:val="24"/>
              </w:rPr>
              <w:t>分析</w:t>
            </w:r>
          </w:p>
          <w:p w14:paraId="316CA12E">
            <w:pPr>
              <w:keepNext w:val="0"/>
              <w:keepLines w:val="0"/>
              <w:pageBreakBefore w:val="0"/>
              <w:widowControl/>
              <w:kinsoku/>
              <w:wordWrap/>
              <w:overflowPunct/>
              <w:topLinePunct w:val="0"/>
              <w:bidi w:val="0"/>
              <w:spacing w:line="360" w:lineRule="auto"/>
              <w:ind w:firstLine="480" w:firstLineChars="200"/>
              <w:jc w:val="left"/>
              <w:textAlignment w:val="auto"/>
              <w:rPr>
                <w:color w:val="auto"/>
                <w:sz w:val="24"/>
              </w:rPr>
            </w:pPr>
            <w:r>
              <w:rPr>
                <w:rFonts w:hint="eastAsia"/>
                <w:color w:val="auto"/>
                <w:sz w:val="24"/>
              </w:rPr>
              <w:t>本</w:t>
            </w:r>
            <w:r>
              <w:rPr>
                <w:color w:val="auto"/>
                <w:sz w:val="24"/>
              </w:rPr>
              <w:t>项目位于</w:t>
            </w:r>
            <w:r>
              <w:rPr>
                <w:rFonts w:hint="eastAsia"/>
                <w:color w:val="auto"/>
                <w:sz w:val="24"/>
              </w:rPr>
              <w:t>淮安市涟水县</w:t>
            </w:r>
            <w:r>
              <w:rPr>
                <w:rFonts w:hint="eastAsia"/>
                <w:color w:val="auto"/>
                <w:sz w:val="24"/>
                <w:lang w:val="en-US" w:eastAsia="zh-CN"/>
              </w:rPr>
              <w:t>经济开发区淮浦北路东侧、兴隆路南侧</w:t>
            </w:r>
            <w:r>
              <w:rPr>
                <w:color w:val="auto"/>
                <w:sz w:val="24"/>
              </w:rPr>
              <w:t>，为</w:t>
            </w:r>
            <w:r>
              <w:rPr>
                <w:rFonts w:hint="eastAsia"/>
                <w:color w:val="auto"/>
                <w:sz w:val="24"/>
                <w:lang w:val="en-US" w:eastAsia="zh-CN"/>
              </w:rPr>
              <w:t>江苏鑫宇建材科技有限公司玻璃加工项目</w:t>
            </w:r>
            <w:r>
              <w:rPr>
                <w:color w:val="auto"/>
                <w:sz w:val="24"/>
              </w:rPr>
              <w:t>，</w:t>
            </w:r>
            <w:r>
              <w:rPr>
                <w:rFonts w:hint="eastAsia"/>
                <w:color w:val="auto"/>
                <w:sz w:val="24"/>
              </w:rPr>
              <w:t>本</w:t>
            </w:r>
            <w:r>
              <w:rPr>
                <w:color w:val="auto"/>
                <w:sz w:val="24"/>
              </w:rPr>
              <w:t>项目用地属于</w:t>
            </w:r>
            <w:r>
              <w:rPr>
                <w:rFonts w:hint="eastAsia"/>
                <w:color w:val="auto"/>
                <w:sz w:val="24"/>
                <w:lang w:val="en-US" w:eastAsia="zh-CN"/>
              </w:rPr>
              <w:t>工业</w:t>
            </w:r>
            <w:r>
              <w:rPr>
                <w:color w:val="auto"/>
                <w:sz w:val="24"/>
              </w:rPr>
              <w:t>用地，</w:t>
            </w:r>
            <w:r>
              <w:rPr>
                <w:rFonts w:hint="eastAsia"/>
                <w:color w:val="auto"/>
                <w:sz w:val="24"/>
              </w:rPr>
              <w:t>对照国家《自然资源要素支撑产业高质量发展指导目录（2024年本）》及《江苏省限制用地项目目录（2013年本）》和《江苏省禁止用地项目目录（2013年本）</w:t>
            </w:r>
            <w:r>
              <w:rPr>
                <w:rFonts w:hint="eastAsia"/>
                <w:color w:val="auto"/>
                <w:sz w:val="24"/>
                <w:lang w:eastAsia="zh-CN"/>
              </w:rPr>
              <w:t>》等</w:t>
            </w:r>
            <w:r>
              <w:rPr>
                <w:rFonts w:hint="eastAsia"/>
                <w:color w:val="auto"/>
                <w:sz w:val="24"/>
              </w:rPr>
              <w:t>相关名录</w:t>
            </w:r>
            <w:r>
              <w:rPr>
                <w:color w:val="auto"/>
                <w:sz w:val="24"/>
              </w:rPr>
              <w:t>，本项目不属于其规定的限制用地和禁止用地项目范畴。</w:t>
            </w:r>
          </w:p>
          <w:p w14:paraId="747FCA58">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cs="宋体"/>
                <w:color w:val="auto"/>
                <w:kern w:val="0"/>
                <w:sz w:val="24"/>
                <w:szCs w:val="21"/>
              </w:rPr>
            </w:pPr>
            <w:r>
              <w:rPr>
                <w:rFonts w:hint="eastAsia"/>
                <w:color w:val="auto"/>
                <w:sz w:val="24"/>
              </w:rPr>
              <w:t>综上所述</w:t>
            </w:r>
            <w:r>
              <w:rPr>
                <w:color w:val="auto"/>
                <w:sz w:val="24"/>
              </w:rPr>
              <w:t>，</w:t>
            </w:r>
            <w:r>
              <w:rPr>
                <w:rFonts w:hint="eastAsia"/>
                <w:color w:val="auto"/>
                <w:sz w:val="24"/>
              </w:rPr>
              <w:t>本</w:t>
            </w:r>
            <w:r>
              <w:rPr>
                <w:color w:val="auto"/>
                <w:sz w:val="24"/>
              </w:rPr>
              <w:t>项目选址</w:t>
            </w:r>
            <w:r>
              <w:rPr>
                <w:rFonts w:hint="eastAsia"/>
                <w:color w:val="auto"/>
                <w:sz w:val="24"/>
              </w:rPr>
              <w:t>基本合理</w:t>
            </w:r>
            <w:r>
              <w:rPr>
                <w:color w:val="auto"/>
                <w:sz w:val="24"/>
              </w:rPr>
              <w:t>。</w:t>
            </w:r>
          </w:p>
        </w:tc>
      </w:tr>
    </w:tbl>
    <w:p w14:paraId="37C15807">
      <w:pPr>
        <w:spacing w:line="360" w:lineRule="auto"/>
        <w:outlineLvl w:val="0"/>
        <w:rPr>
          <w:rFonts w:eastAsia="黑体"/>
          <w:color w:val="auto"/>
          <w:sz w:val="30"/>
        </w:rPr>
        <w:sectPr>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074CE811">
      <w:pPr>
        <w:pStyle w:val="20"/>
        <w:spacing w:line="500" w:lineRule="exact"/>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14:paraId="6B446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07" w:hRule="atLeast"/>
          <w:jc w:val="center"/>
        </w:trPr>
        <w:tc>
          <w:tcPr>
            <w:tcW w:w="823" w:type="dxa"/>
            <w:noWrap w:val="0"/>
            <w:vAlign w:val="center"/>
          </w:tcPr>
          <w:p w14:paraId="409D07DD">
            <w:pPr>
              <w:pStyle w:val="20"/>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建设内容</w:t>
            </w:r>
          </w:p>
        </w:tc>
        <w:tc>
          <w:tcPr>
            <w:tcW w:w="8161" w:type="dxa"/>
            <w:noWrap w:val="0"/>
            <w:vAlign w:val="top"/>
          </w:tcPr>
          <w:p w14:paraId="6255AD81">
            <w:pPr>
              <w:keepNext w:val="0"/>
              <w:keepLines w:val="0"/>
              <w:pageBreakBefore w:val="0"/>
              <w:widowControl w:val="0"/>
              <w:numPr>
                <w:ilvl w:val="0"/>
                <w:numId w:val="2"/>
              </w:numPr>
              <w:kinsoku/>
              <w:wordWrap/>
              <w:overflowPunct/>
              <w:topLinePunct w:val="0"/>
              <w:bidi w:val="0"/>
              <w:adjustRightInd w:val="0"/>
              <w:snapToGrid w:val="0"/>
              <w:spacing w:line="360" w:lineRule="auto"/>
              <w:ind w:firstLine="482" w:firstLineChars="200"/>
              <w:textAlignment w:val="auto"/>
              <w:rPr>
                <w:b/>
                <w:bCs/>
                <w:color w:val="auto"/>
                <w:sz w:val="24"/>
              </w:rPr>
            </w:pPr>
            <w:r>
              <w:rPr>
                <w:rFonts w:hint="eastAsia"/>
                <w:b/>
                <w:bCs/>
                <w:color w:val="auto"/>
                <w:sz w:val="24"/>
              </w:rPr>
              <w:t>项目由来</w:t>
            </w:r>
          </w:p>
          <w:p w14:paraId="1425A59E">
            <w:pPr>
              <w:pStyle w:val="2"/>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Times New Roman" w:hAnsi="Times New Roman"/>
                <w:b w:val="0"/>
                <w:bCs w:val="0"/>
                <w:color w:val="auto"/>
                <w:sz w:val="24"/>
                <w:lang w:val="en-US" w:eastAsia="zh-CN"/>
              </w:rPr>
            </w:pPr>
            <w:r>
              <w:rPr>
                <w:rFonts w:hint="eastAsia" w:ascii="Times New Roman" w:hAnsi="Times New Roman"/>
                <w:b w:val="0"/>
                <w:bCs w:val="0"/>
                <w:color w:val="auto"/>
                <w:sz w:val="24"/>
                <w:lang w:val="en-US" w:eastAsia="zh-CN"/>
              </w:rPr>
              <w:t>江苏鑫宇建材科技有限公司成立于2021年6月03日，注册地位于淮安市涟水县朱码街道清源路北侧3# 4#厂房，《江苏鑫宇建材科技有限公司中空玻璃及钢化玻璃加工项目环境影响报告表》于2021年11月19日取得淮安市涟水生态环境局批复（淮（涟）环表复〔2021〕92号），2023年3月23日取得淮安市生态环境局颁发的排污许可证，证书编号：91320826MA2670YR1B001Q，2023年4月17日取得突发环境事件应急预案备案表，并于2023年3月组织了竣工环境保护验收。</w:t>
            </w:r>
          </w:p>
          <w:p w14:paraId="7E845182">
            <w:pPr>
              <w:pStyle w:val="2"/>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Times New Roman" w:hAnsi="Times New Roman"/>
                <w:b w:val="0"/>
                <w:bCs w:val="0"/>
                <w:color w:val="auto"/>
                <w:sz w:val="24"/>
                <w:lang w:val="en-US" w:eastAsia="zh-CN"/>
              </w:rPr>
            </w:pPr>
            <w:r>
              <w:rPr>
                <w:rFonts w:hint="eastAsia" w:ascii="Times New Roman" w:hAnsi="Times New Roman"/>
                <w:b w:val="0"/>
                <w:bCs w:val="0"/>
                <w:color w:val="auto"/>
                <w:sz w:val="24"/>
                <w:lang w:val="en-US" w:eastAsia="zh-CN"/>
              </w:rPr>
              <w:t>江苏鑫宇建材科技有限公司结合长远发展规划，拟将生产线搬迁至涟水县经济开发区淮浦北路东侧、兴隆路南侧，租赁江苏友丰机械制造有限公司厂区内3#厂房占地面积7000</w:t>
            </w:r>
            <w:r>
              <w:rPr>
                <w:rFonts w:hint="eastAsia" w:ascii="Times New Roman" w:hAnsi="Times New Roman"/>
                <w:b w:val="0"/>
                <w:bCs w:val="0"/>
                <w:color w:val="auto"/>
                <w:sz w:val="24"/>
              </w:rPr>
              <w:t>m</w:t>
            </w:r>
            <w:r>
              <w:rPr>
                <w:rFonts w:hint="eastAsia" w:ascii="Times New Roman" w:hAnsi="Times New Roman"/>
                <w:b w:val="0"/>
                <w:bCs w:val="0"/>
                <w:color w:val="auto"/>
                <w:sz w:val="24"/>
                <w:vertAlign w:val="superscript"/>
              </w:rPr>
              <w:t>2</w:t>
            </w:r>
            <w:r>
              <w:rPr>
                <w:rFonts w:hint="eastAsia" w:ascii="Times New Roman" w:hAnsi="Times New Roman"/>
                <w:b w:val="0"/>
                <w:bCs w:val="0"/>
                <w:color w:val="auto"/>
                <w:sz w:val="24"/>
                <w:lang w:val="en-US" w:eastAsia="zh-CN"/>
              </w:rPr>
              <w:t>，租赁生产厂房建筑面积共6451m</w:t>
            </w:r>
            <w:r>
              <w:rPr>
                <w:rFonts w:hint="eastAsia" w:ascii="Times New Roman" w:hAnsi="Times New Roman"/>
                <w:b w:val="0"/>
                <w:bCs w:val="0"/>
                <w:color w:val="auto"/>
                <w:sz w:val="24"/>
                <w:vertAlign w:val="superscript"/>
                <w:lang w:val="en-US" w:eastAsia="zh-CN"/>
              </w:rPr>
              <w:t>2</w:t>
            </w:r>
            <w:r>
              <w:rPr>
                <w:rFonts w:hint="eastAsia" w:ascii="Times New Roman" w:hAnsi="Times New Roman"/>
                <w:b w:val="0"/>
                <w:bCs w:val="0"/>
                <w:color w:val="auto"/>
                <w:sz w:val="24"/>
                <w:lang w:val="en-US" w:eastAsia="zh-CN"/>
              </w:rPr>
              <w:t>，项目投产后可形成年加工钢化玻璃20万平方米、中空玻璃4万平方米和夹胶玻璃2万平方米的生产能力。</w:t>
            </w:r>
            <w:r>
              <w:rPr>
                <w:rFonts w:hint="eastAsia" w:ascii="Times New Roman" w:hAnsi="Times New Roman"/>
                <w:b w:val="0"/>
                <w:bCs/>
                <w:color w:val="auto"/>
                <w:sz w:val="24"/>
              </w:rPr>
              <w:t>本项目于202</w:t>
            </w:r>
            <w:r>
              <w:rPr>
                <w:rFonts w:hint="eastAsia" w:ascii="Times New Roman" w:hAnsi="Times New Roman"/>
                <w:b w:val="0"/>
                <w:bCs/>
                <w:color w:val="auto"/>
                <w:sz w:val="24"/>
                <w:lang w:val="en-US" w:eastAsia="zh-CN"/>
              </w:rPr>
              <w:t>4</w:t>
            </w:r>
            <w:r>
              <w:rPr>
                <w:rFonts w:hint="eastAsia" w:ascii="Times New Roman" w:hAnsi="Times New Roman"/>
                <w:b w:val="0"/>
                <w:bCs/>
                <w:color w:val="auto"/>
                <w:sz w:val="24"/>
              </w:rPr>
              <w:t>年</w:t>
            </w:r>
            <w:r>
              <w:rPr>
                <w:rFonts w:hint="eastAsia" w:ascii="Times New Roman" w:hAnsi="Times New Roman"/>
                <w:b w:val="0"/>
                <w:bCs/>
                <w:color w:val="auto"/>
                <w:sz w:val="24"/>
                <w:lang w:eastAsia="zh-CN"/>
              </w:rPr>
              <w:t>12月12日</w:t>
            </w:r>
            <w:r>
              <w:rPr>
                <w:rFonts w:hint="eastAsia" w:ascii="Times New Roman" w:hAnsi="Times New Roman"/>
                <w:b w:val="0"/>
                <w:bCs/>
                <w:color w:val="auto"/>
                <w:sz w:val="24"/>
              </w:rPr>
              <w:t>取得</w:t>
            </w:r>
            <w:r>
              <w:rPr>
                <w:rFonts w:hint="eastAsia" w:ascii="Times New Roman" w:hAnsi="Times New Roman"/>
                <w:b w:val="0"/>
                <w:bCs w:val="0"/>
                <w:color w:val="auto"/>
                <w:sz w:val="24"/>
                <w:lang w:val="en-US" w:eastAsia="zh-CN"/>
              </w:rPr>
              <w:t>江苏</w:t>
            </w:r>
            <w:r>
              <w:rPr>
                <w:rFonts w:hint="eastAsia" w:ascii="Times New Roman" w:hAnsi="Times New Roman"/>
                <w:b w:val="0"/>
                <w:bCs w:val="0"/>
                <w:color w:val="auto"/>
                <w:sz w:val="24"/>
              </w:rPr>
              <w:t>涟水</w:t>
            </w:r>
            <w:r>
              <w:rPr>
                <w:rFonts w:hint="eastAsia" w:ascii="Times New Roman" w:hAnsi="Times New Roman"/>
                <w:b w:val="0"/>
                <w:bCs w:val="0"/>
                <w:color w:val="auto"/>
                <w:sz w:val="24"/>
                <w:lang w:val="en-US" w:eastAsia="zh-CN"/>
              </w:rPr>
              <w:t>经济开发区管理委员会</w:t>
            </w:r>
            <w:r>
              <w:rPr>
                <w:rFonts w:hint="eastAsia" w:ascii="Times New Roman" w:hAnsi="Times New Roman" w:eastAsia="宋体"/>
                <w:b w:val="0"/>
                <w:bCs w:val="0"/>
                <w:color w:val="auto"/>
                <w:sz w:val="24"/>
                <w:lang w:val="en-US" w:eastAsia="zh-CN"/>
              </w:rPr>
              <w:t>对该项目的备案（备案证号：</w:t>
            </w:r>
            <w:r>
              <w:rPr>
                <w:rFonts w:hint="eastAsia" w:ascii="Times New Roman" w:hAnsi="Times New Roman"/>
                <w:b w:val="0"/>
                <w:bCs w:val="0"/>
                <w:color w:val="auto"/>
                <w:sz w:val="24"/>
                <w:lang w:val="en-US" w:eastAsia="zh-CN"/>
              </w:rPr>
              <w:t>涟区开发备〔2024〕111号）</w:t>
            </w:r>
            <w:r>
              <w:rPr>
                <w:rFonts w:hint="eastAsia" w:ascii="Times New Roman" w:hAnsi="Times New Roman" w:eastAsia="宋体"/>
                <w:b w:val="0"/>
                <w:bCs w:val="0"/>
                <w:color w:val="auto"/>
                <w:sz w:val="24"/>
                <w:lang w:val="en-US" w:eastAsia="zh-CN"/>
              </w:rPr>
              <w:t>，</w:t>
            </w:r>
            <w:r>
              <w:rPr>
                <w:rFonts w:hint="eastAsia" w:ascii="Times New Roman" w:hAnsi="Times New Roman"/>
                <w:b w:val="0"/>
                <w:bCs w:val="0"/>
                <w:color w:val="auto"/>
                <w:sz w:val="24"/>
                <w:lang w:val="en-US" w:eastAsia="zh-CN"/>
              </w:rPr>
              <w:t>项目代码：2412-320860-89-01-344150。</w:t>
            </w:r>
          </w:p>
          <w:p w14:paraId="45A93FA2">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olor w:val="auto"/>
                <w:sz w:val="24"/>
              </w:rPr>
            </w:pPr>
            <w:r>
              <w:rPr>
                <w:rFonts w:hint="default" w:ascii="Times New Roman" w:hAnsi="Times New Roman"/>
                <w:color w:val="auto"/>
                <w:sz w:val="24"/>
              </w:rPr>
              <w:t>根据《中华人民共和国环境保护法》《建设项目环境保护管理条例》，建设过程中或者建成投产后可能对环境产生影响的新建、扩建、改建、迁建、技术改造项目及区域开发建设项目，必须进行环境影响评价。根据《建设项目环境影响评价分类管理名录》（2021版），本项目为玻璃加工</w:t>
            </w:r>
            <w:r>
              <w:rPr>
                <w:rFonts w:hint="eastAsia"/>
                <w:color w:val="auto"/>
                <w:sz w:val="24"/>
                <w:lang w:val="en-US" w:eastAsia="zh-CN"/>
              </w:rPr>
              <w:t>迁建</w:t>
            </w:r>
            <w:r>
              <w:rPr>
                <w:rFonts w:hint="default" w:ascii="Times New Roman" w:hAnsi="Times New Roman"/>
                <w:color w:val="auto"/>
                <w:sz w:val="24"/>
              </w:rPr>
              <w:t>项目，属于“二十七、非金属矿物制品业”中“57. 玻璃制造 304”中“特种玻璃制造”，该类别下需编制环境影响报告表。</w:t>
            </w:r>
          </w:p>
          <w:p w14:paraId="4C59B249">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eastAsia="宋体"/>
                <w:b/>
                <w:bCs/>
                <w:color w:val="auto"/>
                <w:lang w:val="en-US" w:eastAsia="zh-CN"/>
              </w:rPr>
            </w:pPr>
            <w:r>
              <w:rPr>
                <w:rFonts w:hint="eastAsia"/>
                <w:color w:val="auto"/>
              </w:rPr>
              <w:t>据此，建设单位委托淮安新皓源环境科技有限公司对该项目进行环境影响评价报告表的编制工作。我公司接受委托后，立即开展了详细的现场调查、资料收集工作，并对该项目的有关文件进行研究，在此基础上，我公司依照《建设项目环境影响报告表编制技术指南》（污染影响类）（试行）中的相关要求编制完成了该项目的环境影响评价报告表，呈报当地生态环境主管部门。</w:t>
            </w:r>
            <w:r>
              <w:rPr>
                <w:rFonts w:hint="eastAsia"/>
                <w:color w:val="auto"/>
                <w:lang w:val="en-US" w:eastAsia="zh-CN"/>
              </w:rPr>
              <w:t xml:space="preserve"> </w:t>
            </w:r>
          </w:p>
          <w:p w14:paraId="5249FEFF">
            <w:pPr>
              <w:pStyle w:val="6"/>
              <w:keepNext w:val="0"/>
              <w:keepLines w:val="0"/>
              <w:pageBreakBefore w:val="0"/>
              <w:widowControl w:val="0"/>
              <w:numPr>
                <w:ilvl w:val="0"/>
                <w:numId w:val="2"/>
              </w:numPr>
              <w:kinsoku/>
              <w:wordWrap/>
              <w:overflowPunct/>
              <w:topLinePunct w:val="0"/>
              <w:bidi w:val="0"/>
              <w:spacing w:after="0" w:line="360" w:lineRule="auto"/>
              <w:ind w:left="0" w:leftChars="0" w:firstLine="482"/>
              <w:textAlignment w:val="auto"/>
              <w:rPr>
                <w:b/>
                <w:bCs/>
                <w:color w:val="auto"/>
              </w:rPr>
            </w:pPr>
            <w:r>
              <w:rPr>
                <w:rFonts w:hint="eastAsia"/>
                <w:b/>
                <w:bCs/>
                <w:color w:val="auto"/>
              </w:rPr>
              <w:t>工程内容及规模</w:t>
            </w:r>
          </w:p>
          <w:p w14:paraId="58F65871">
            <w:pPr>
              <w:pStyle w:val="6"/>
              <w:keepNext w:val="0"/>
              <w:keepLines w:val="0"/>
              <w:pageBreakBefore w:val="0"/>
              <w:widowControl w:val="0"/>
              <w:kinsoku/>
              <w:wordWrap/>
              <w:overflowPunct/>
              <w:topLinePunct w:val="0"/>
              <w:bidi w:val="0"/>
              <w:spacing w:after="0" w:line="360" w:lineRule="auto"/>
              <w:ind w:left="0" w:leftChars="0" w:firstLine="480"/>
              <w:textAlignment w:val="auto"/>
              <w:rPr>
                <w:rFonts w:hint="default" w:eastAsia="宋体"/>
                <w:color w:val="auto"/>
                <w:lang w:val="en-US" w:eastAsia="zh-CN"/>
              </w:rPr>
            </w:pPr>
            <w:r>
              <w:rPr>
                <w:rFonts w:hint="eastAsia"/>
                <w:color w:val="auto"/>
              </w:rPr>
              <w:t>1、项目名称：</w:t>
            </w:r>
            <w:r>
              <w:rPr>
                <w:rFonts w:hint="eastAsia"/>
                <w:color w:val="auto"/>
                <w:lang w:val="en-US" w:eastAsia="zh-CN"/>
              </w:rPr>
              <w:t>江苏鑫宇建材科技有限公司玻璃加工项目</w:t>
            </w:r>
          </w:p>
          <w:p w14:paraId="6E26B634">
            <w:pPr>
              <w:pStyle w:val="6"/>
              <w:keepNext w:val="0"/>
              <w:keepLines w:val="0"/>
              <w:pageBreakBefore w:val="0"/>
              <w:widowControl w:val="0"/>
              <w:kinsoku/>
              <w:wordWrap/>
              <w:overflowPunct/>
              <w:topLinePunct w:val="0"/>
              <w:bidi w:val="0"/>
              <w:spacing w:after="0" w:line="360" w:lineRule="auto"/>
              <w:ind w:left="0" w:leftChars="0" w:firstLine="480"/>
              <w:textAlignment w:val="auto"/>
              <w:rPr>
                <w:rFonts w:hint="eastAsia" w:eastAsia="宋体"/>
                <w:color w:val="auto"/>
                <w:lang w:eastAsia="zh-CN"/>
              </w:rPr>
            </w:pPr>
            <w:r>
              <w:rPr>
                <w:rFonts w:hint="eastAsia"/>
                <w:color w:val="auto"/>
              </w:rPr>
              <w:t>2、建设单位：</w:t>
            </w:r>
            <w:r>
              <w:rPr>
                <w:rFonts w:hint="eastAsia"/>
                <w:color w:val="auto"/>
                <w:lang w:val="en-US" w:eastAsia="zh-CN"/>
              </w:rPr>
              <w:t>江苏鑫宇建材科技有限公司</w:t>
            </w:r>
          </w:p>
          <w:p w14:paraId="51EDB8ED">
            <w:pPr>
              <w:pStyle w:val="6"/>
              <w:keepNext w:val="0"/>
              <w:keepLines w:val="0"/>
              <w:pageBreakBefore w:val="0"/>
              <w:widowControl w:val="0"/>
              <w:kinsoku/>
              <w:wordWrap/>
              <w:overflowPunct/>
              <w:topLinePunct w:val="0"/>
              <w:bidi w:val="0"/>
              <w:spacing w:after="0" w:line="360" w:lineRule="auto"/>
              <w:ind w:left="0" w:leftChars="0" w:firstLine="480"/>
              <w:textAlignment w:val="auto"/>
              <w:rPr>
                <w:rFonts w:hint="eastAsia" w:eastAsia="宋体"/>
                <w:color w:val="auto"/>
                <w:lang w:val="en-US" w:eastAsia="zh-CN"/>
              </w:rPr>
            </w:pPr>
            <w:r>
              <w:rPr>
                <w:rFonts w:hint="eastAsia"/>
                <w:color w:val="auto"/>
              </w:rPr>
              <w:t>3、行业类别：</w:t>
            </w:r>
            <w:r>
              <w:rPr>
                <w:rFonts w:hint="eastAsia"/>
                <w:color w:val="auto"/>
                <w:lang w:eastAsia="zh-CN"/>
              </w:rPr>
              <w:t>C3042 特种玻璃制造</w:t>
            </w:r>
          </w:p>
          <w:p w14:paraId="484C54FD">
            <w:pPr>
              <w:pStyle w:val="6"/>
              <w:keepNext w:val="0"/>
              <w:keepLines w:val="0"/>
              <w:pageBreakBefore w:val="0"/>
              <w:widowControl w:val="0"/>
              <w:kinsoku/>
              <w:wordWrap/>
              <w:overflowPunct/>
              <w:topLinePunct w:val="0"/>
              <w:bidi w:val="0"/>
              <w:spacing w:after="0" w:line="360" w:lineRule="auto"/>
              <w:ind w:left="0" w:leftChars="0" w:firstLine="480"/>
              <w:textAlignment w:val="auto"/>
              <w:rPr>
                <w:color w:val="auto"/>
              </w:rPr>
            </w:pPr>
            <w:r>
              <w:rPr>
                <w:rFonts w:hint="eastAsia"/>
                <w:color w:val="auto"/>
              </w:rPr>
              <w:t>4、建设地点：本项目选址位于涟水县</w:t>
            </w:r>
            <w:r>
              <w:rPr>
                <w:rFonts w:hint="eastAsia"/>
                <w:color w:val="auto"/>
                <w:lang w:val="en-US" w:eastAsia="zh-CN"/>
              </w:rPr>
              <w:t>经济开发区淮浦北路东侧、兴隆路南侧</w:t>
            </w:r>
            <w:r>
              <w:rPr>
                <w:rFonts w:hint="eastAsia"/>
                <w:color w:val="auto"/>
              </w:rPr>
              <w:t>，厂区中心坐标为：北纬33°4</w:t>
            </w:r>
            <w:r>
              <w:rPr>
                <w:rFonts w:hint="eastAsia"/>
                <w:color w:val="auto"/>
                <w:lang w:val="en-US" w:eastAsia="zh-CN"/>
              </w:rPr>
              <w:t>8</w:t>
            </w:r>
            <w:r>
              <w:rPr>
                <w:rFonts w:hint="eastAsia"/>
                <w:color w:val="auto"/>
              </w:rPr>
              <w:t>′</w:t>
            </w:r>
            <w:r>
              <w:rPr>
                <w:rFonts w:hint="eastAsia"/>
                <w:color w:val="auto"/>
                <w:lang w:val="en-US" w:eastAsia="zh-CN"/>
              </w:rPr>
              <w:t>20.744</w:t>
            </w:r>
            <w:r>
              <w:rPr>
                <w:rFonts w:hint="eastAsia"/>
                <w:color w:val="auto"/>
              </w:rPr>
              <w:t>″，东经119°1</w:t>
            </w:r>
            <w:r>
              <w:rPr>
                <w:rFonts w:hint="eastAsia"/>
                <w:color w:val="auto"/>
                <w:lang w:val="en-US" w:eastAsia="zh-CN"/>
              </w:rPr>
              <w:t>4</w:t>
            </w:r>
            <w:r>
              <w:rPr>
                <w:rFonts w:hint="eastAsia"/>
                <w:color w:val="auto"/>
              </w:rPr>
              <w:t>′</w:t>
            </w:r>
            <w:r>
              <w:rPr>
                <w:rFonts w:hint="eastAsia"/>
                <w:color w:val="auto"/>
                <w:lang w:val="en-US" w:eastAsia="zh-CN"/>
              </w:rPr>
              <w:t>19.730</w:t>
            </w:r>
            <w:r>
              <w:rPr>
                <w:rFonts w:hint="eastAsia"/>
                <w:color w:val="auto"/>
              </w:rPr>
              <w:t>″，本项目地理位置见附图1。</w:t>
            </w:r>
          </w:p>
          <w:p w14:paraId="530F4F1A">
            <w:pPr>
              <w:pStyle w:val="6"/>
              <w:keepNext w:val="0"/>
              <w:keepLines w:val="0"/>
              <w:pageBreakBefore w:val="0"/>
              <w:widowControl w:val="0"/>
              <w:kinsoku/>
              <w:wordWrap/>
              <w:overflowPunct/>
              <w:topLinePunct w:val="0"/>
              <w:bidi w:val="0"/>
              <w:spacing w:after="0" w:line="360" w:lineRule="auto"/>
              <w:ind w:left="0" w:leftChars="0" w:firstLine="480"/>
              <w:textAlignment w:val="auto"/>
              <w:rPr>
                <w:color w:val="auto"/>
              </w:rPr>
            </w:pPr>
            <w:r>
              <w:rPr>
                <w:rFonts w:hint="eastAsia"/>
                <w:color w:val="auto"/>
              </w:rPr>
              <w:t>5、项目总投资及环保投资</w:t>
            </w:r>
          </w:p>
          <w:p w14:paraId="18E5A521">
            <w:pPr>
              <w:pStyle w:val="6"/>
              <w:keepNext w:val="0"/>
              <w:keepLines w:val="0"/>
              <w:pageBreakBefore w:val="0"/>
              <w:widowControl w:val="0"/>
              <w:kinsoku/>
              <w:wordWrap/>
              <w:overflowPunct/>
              <w:topLinePunct w:val="0"/>
              <w:bidi w:val="0"/>
              <w:spacing w:after="0" w:line="360" w:lineRule="auto"/>
              <w:ind w:left="0" w:leftChars="0" w:firstLine="480"/>
              <w:textAlignment w:val="auto"/>
              <w:rPr>
                <w:rFonts w:hint="eastAsia" w:ascii="Times New Roman" w:hAnsi="Times New Roman" w:cs="Times New Roman"/>
                <w:color w:val="auto"/>
              </w:rPr>
            </w:pPr>
            <w:r>
              <w:rPr>
                <w:rFonts w:hint="eastAsia"/>
                <w:color w:val="auto"/>
              </w:rPr>
              <w:t>项目工程总投资为</w:t>
            </w:r>
            <w:r>
              <w:rPr>
                <w:rFonts w:hint="eastAsia"/>
                <w:color w:val="auto"/>
                <w:lang w:val="en-US" w:eastAsia="zh-CN"/>
              </w:rPr>
              <w:t>2000</w:t>
            </w:r>
            <w:r>
              <w:rPr>
                <w:rFonts w:hint="eastAsia"/>
                <w:color w:val="auto"/>
              </w:rPr>
              <w:t>万元，</w:t>
            </w:r>
            <w:r>
              <w:rPr>
                <w:rFonts w:hint="eastAsia" w:ascii="Times New Roman" w:hAnsi="Times New Roman" w:cs="Times New Roman"/>
                <w:color w:val="auto"/>
              </w:rPr>
              <w:t>其中环保投资为</w:t>
            </w:r>
            <w:r>
              <w:rPr>
                <w:rFonts w:hint="eastAsia" w:cs="Times New Roman"/>
                <w:color w:val="auto"/>
                <w:lang w:val="en-US" w:eastAsia="zh-CN"/>
              </w:rPr>
              <w:t>31</w:t>
            </w:r>
            <w:r>
              <w:rPr>
                <w:rFonts w:hint="eastAsia" w:ascii="Times New Roman" w:hAnsi="Times New Roman" w:cs="Times New Roman"/>
                <w:color w:val="auto"/>
              </w:rPr>
              <w:t>万元，占总投资的</w:t>
            </w:r>
            <w:r>
              <w:rPr>
                <w:rFonts w:hint="eastAsia" w:cs="Times New Roman"/>
                <w:color w:val="auto"/>
                <w:lang w:val="en-US" w:eastAsia="zh-CN"/>
              </w:rPr>
              <w:t>1.55</w:t>
            </w:r>
            <w:r>
              <w:rPr>
                <w:rFonts w:hint="eastAsia" w:ascii="Times New Roman" w:hAnsi="Times New Roman" w:cs="Times New Roman"/>
                <w:color w:val="auto"/>
              </w:rPr>
              <w:t>%。</w:t>
            </w:r>
          </w:p>
          <w:p w14:paraId="6FAD2BC1">
            <w:pPr>
              <w:pStyle w:val="6"/>
              <w:keepNext w:val="0"/>
              <w:keepLines w:val="0"/>
              <w:pageBreakBefore w:val="0"/>
              <w:widowControl w:val="0"/>
              <w:kinsoku/>
              <w:wordWrap/>
              <w:overflowPunct/>
              <w:topLinePunct w:val="0"/>
              <w:bidi w:val="0"/>
              <w:spacing w:after="0" w:line="360" w:lineRule="auto"/>
              <w:ind w:left="0" w:leftChars="0" w:firstLine="480"/>
              <w:textAlignment w:val="auto"/>
              <w:rPr>
                <w:color w:val="auto"/>
              </w:rPr>
            </w:pPr>
            <w:r>
              <w:rPr>
                <w:rFonts w:hint="eastAsia"/>
                <w:color w:val="auto"/>
              </w:rPr>
              <w:t>6、产品方案</w:t>
            </w:r>
          </w:p>
          <w:p w14:paraId="4D3E0C92">
            <w:pPr>
              <w:pStyle w:val="6"/>
              <w:keepNext w:val="0"/>
              <w:keepLines w:val="0"/>
              <w:pageBreakBefore w:val="0"/>
              <w:widowControl w:val="0"/>
              <w:kinsoku/>
              <w:wordWrap/>
              <w:overflowPunct/>
              <w:topLinePunct w:val="0"/>
              <w:bidi w:val="0"/>
              <w:spacing w:after="0" w:line="360" w:lineRule="auto"/>
              <w:ind w:left="0" w:leftChars="0" w:firstLine="480"/>
              <w:textAlignment w:val="auto"/>
              <w:rPr>
                <w:color w:val="auto"/>
              </w:rPr>
            </w:pPr>
            <w:r>
              <w:rPr>
                <w:rFonts w:hint="eastAsia"/>
                <w:color w:val="auto"/>
              </w:rPr>
              <w:t>本项目详细产品方案见表2-1。</w:t>
            </w:r>
          </w:p>
          <w:p w14:paraId="0502B04A">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auto"/>
                <w:sz w:val="21"/>
                <w:szCs w:val="21"/>
              </w:rPr>
            </w:pPr>
            <w:r>
              <w:rPr>
                <w:rFonts w:hint="eastAsia"/>
                <w:b/>
                <w:bCs/>
                <w:color w:val="auto"/>
                <w:sz w:val="21"/>
                <w:szCs w:val="21"/>
              </w:rPr>
              <w:t>表2-1</w:t>
            </w:r>
            <w:r>
              <w:rPr>
                <w:rFonts w:hint="eastAsia"/>
                <w:b/>
                <w:bCs/>
                <w:color w:val="auto"/>
                <w:sz w:val="21"/>
                <w:szCs w:val="21"/>
                <w:lang w:val="en-US" w:eastAsia="zh-CN"/>
              </w:rPr>
              <w:t xml:space="preserve">  </w:t>
            </w:r>
            <w:r>
              <w:rPr>
                <w:rFonts w:hint="eastAsia"/>
                <w:b/>
                <w:bCs/>
                <w:color w:val="auto"/>
                <w:sz w:val="21"/>
                <w:szCs w:val="21"/>
              </w:rPr>
              <w:t>项目产品方案一览表</w:t>
            </w:r>
          </w:p>
          <w:tbl>
            <w:tblPr>
              <w:tblStyle w:val="22"/>
              <w:tblW w:w="797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65"/>
              <w:gridCol w:w="1425"/>
              <w:gridCol w:w="1155"/>
              <w:gridCol w:w="1560"/>
              <w:gridCol w:w="1440"/>
              <w:gridCol w:w="1632"/>
            </w:tblGrid>
            <w:tr w14:paraId="2BAA109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765" w:type="dxa"/>
                  <w:vMerge w:val="restart"/>
                  <w:noWrap w:val="0"/>
                  <w:vAlign w:val="center"/>
                </w:tcPr>
                <w:p w14:paraId="2EDD2F0F">
                  <w:pPr>
                    <w:spacing w:line="280" w:lineRule="exact"/>
                    <w:jc w:val="center"/>
                    <w:rPr>
                      <w:color w:val="auto"/>
                      <w:szCs w:val="21"/>
                    </w:rPr>
                  </w:pPr>
                  <w:r>
                    <w:rPr>
                      <w:rFonts w:hint="eastAsia"/>
                      <w:color w:val="auto"/>
                      <w:szCs w:val="21"/>
                    </w:rPr>
                    <w:t>序号</w:t>
                  </w:r>
                </w:p>
              </w:tc>
              <w:tc>
                <w:tcPr>
                  <w:tcW w:w="1425" w:type="dxa"/>
                  <w:vMerge w:val="restart"/>
                  <w:noWrap w:val="0"/>
                  <w:vAlign w:val="center"/>
                </w:tcPr>
                <w:p w14:paraId="66C47C46">
                  <w:pPr>
                    <w:spacing w:line="280" w:lineRule="exact"/>
                    <w:jc w:val="center"/>
                    <w:rPr>
                      <w:color w:val="auto"/>
                      <w:szCs w:val="21"/>
                    </w:rPr>
                  </w:pPr>
                  <w:r>
                    <w:rPr>
                      <w:color w:val="auto"/>
                      <w:szCs w:val="21"/>
                    </w:rPr>
                    <w:t>产品</w:t>
                  </w:r>
                </w:p>
              </w:tc>
              <w:tc>
                <w:tcPr>
                  <w:tcW w:w="1155" w:type="dxa"/>
                  <w:vMerge w:val="restart"/>
                  <w:noWrap w:val="0"/>
                  <w:vAlign w:val="center"/>
                </w:tcPr>
                <w:p w14:paraId="33FAC2BF">
                  <w:pPr>
                    <w:spacing w:line="280" w:lineRule="exact"/>
                    <w:jc w:val="center"/>
                    <w:rPr>
                      <w:color w:val="auto"/>
                      <w:szCs w:val="21"/>
                    </w:rPr>
                  </w:pPr>
                  <w:r>
                    <w:rPr>
                      <w:rFonts w:hint="eastAsia"/>
                      <w:color w:val="auto"/>
                      <w:szCs w:val="21"/>
                    </w:rPr>
                    <w:t>规格型号</w:t>
                  </w:r>
                </w:p>
              </w:tc>
              <w:tc>
                <w:tcPr>
                  <w:tcW w:w="3000" w:type="dxa"/>
                  <w:gridSpan w:val="2"/>
                  <w:noWrap w:val="0"/>
                  <w:vAlign w:val="center"/>
                </w:tcPr>
                <w:p w14:paraId="752507D7">
                  <w:pPr>
                    <w:spacing w:line="280" w:lineRule="exact"/>
                    <w:jc w:val="center"/>
                    <w:rPr>
                      <w:rFonts w:hint="eastAsia"/>
                      <w:color w:val="auto"/>
                      <w:szCs w:val="21"/>
                    </w:rPr>
                  </w:pPr>
                  <w:r>
                    <w:rPr>
                      <w:rFonts w:hint="eastAsia"/>
                      <w:color w:val="auto"/>
                      <w:szCs w:val="21"/>
                    </w:rPr>
                    <w:t>年产量</w:t>
                  </w:r>
                </w:p>
              </w:tc>
              <w:tc>
                <w:tcPr>
                  <w:tcW w:w="1632" w:type="dxa"/>
                  <w:vMerge w:val="restart"/>
                  <w:noWrap w:val="0"/>
                  <w:vAlign w:val="center"/>
                </w:tcPr>
                <w:p w14:paraId="657AB8C8">
                  <w:pPr>
                    <w:spacing w:line="280" w:lineRule="exact"/>
                    <w:jc w:val="center"/>
                    <w:rPr>
                      <w:rFonts w:hint="eastAsia" w:eastAsia="宋体"/>
                      <w:color w:val="auto"/>
                      <w:szCs w:val="21"/>
                      <w:lang w:eastAsia="zh-CN"/>
                    </w:rPr>
                  </w:pPr>
                  <w:r>
                    <w:rPr>
                      <w:rFonts w:hint="eastAsia"/>
                      <w:color w:val="auto"/>
                      <w:szCs w:val="21"/>
                      <w:lang w:val="en-US" w:eastAsia="zh-CN"/>
                    </w:rPr>
                    <w:t>变化情况</w:t>
                  </w:r>
                </w:p>
              </w:tc>
            </w:tr>
            <w:tr w14:paraId="31533C6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765" w:type="dxa"/>
                  <w:vMerge w:val="continue"/>
                  <w:noWrap w:val="0"/>
                  <w:vAlign w:val="center"/>
                </w:tcPr>
                <w:p w14:paraId="75745F0D">
                  <w:pPr>
                    <w:spacing w:line="280" w:lineRule="exact"/>
                    <w:jc w:val="center"/>
                    <w:rPr>
                      <w:rFonts w:hint="eastAsia"/>
                      <w:color w:val="auto"/>
                      <w:szCs w:val="21"/>
                    </w:rPr>
                  </w:pPr>
                </w:p>
              </w:tc>
              <w:tc>
                <w:tcPr>
                  <w:tcW w:w="1425" w:type="dxa"/>
                  <w:vMerge w:val="continue"/>
                  <w:noWrap w:val="0"/>
                  <w:vAlign w:val="center"/>
                </w:tcPr>
                <w:p w14:paraId="4C1AF7CB">
                  <w:pPr>
                    <w:spacing w:line="280" w:lineRule="exact"/>
                    <w:jc w:val="center"/>
                    <w:rPr>
                      <w:color w:val="auto"/>
                      <w:szCs w:val="21"/>
                    </w:rPr>
                  </w:pPr>
                </w:p>
              </w:tc>
              <w:tc>
                <w:tcPr>
                  <w:tcW w:w="1155" w:type="dxa"/>
                  <w:vMerge w:val="continue"/>
                  <w:noWrap w:val="0"/>
                  <w:vAlign w:val="center"/>
                </w:tcPr>
                <w:p w14:paraId="1622C9C8">
                  <w:pPr>
                    <w:spacing w:line="280" w:lineRule="exact"/>
                    <w:jc w:val="center"/>
                    <w:rPr>
                      <w:rFonts w:hint="eastAsia"/>
                      <w:color w:val="auto"/>
                      <w:szCs w:val="21"/>
                    </w:rPr>
                  </w:pPr>
                </w:p>
              </w:tc>
              <w:tc>
                <w:tcPr>
                  <w:tcW w:w="1560" w:type="dxa"/>
                  <w:noWrap w:val="0"/>
                  <w:vAlign w:val="center"/>
                </w:tcPr>
                <w:p w14:paraId="3B710FAA">
                  <w:pPr>
                    <w:spacing w:line="280" w:lineRule="exact"/>
                    <w:jc w:val="center"/>
                    <w:rPr>
                      <w:rFonts w:hint="eastAsia" w:eastAsia="宋体"/>
                      <w:color w:val="auto"/>
                      <w:szCs w:val="21"/>
                      <w:lang w:val="en-US" w:eastAsia="zh-CN"/>
                    </w:rPr>
                  </w:pPr>
                  <w:r>
                    <w:rPr>
                      <w:rFonts w:hint="eastAsia"/>
                      <w:color w:val="auto"/>
                      <w:szCs w:val="21"/>
                      <w:lang w:val="en-US" w:eastAsia="zh-CN"/>
                    </w:rPr>
                    <w:t>迁建前</w:t>
                  </w:r>
                </w:p>
              </w:tc>
              <w:tc>
                <w:tcPr>
                  <w:tcW w:w="1440" w:type="dxa"/>
                  <w:noWrap w:val="0"/>
                  <w:vAlign w:val="center"/>
                </w:tcPr>
                <w:p w14:paraId="6A692411">
                  <w:pPr>
                    <w:spacing w:line="280" w:lineRule="exact"/>
                    <w:jc w:val="center"/>
                    <w:rPr>
                      <w:rFonts w:hint="eastAsia" w:eastAsia="宋体"/>
                      <w:color w:val="auto"/>
                      <w:szCs w:val="21"/>
                      <w:lang w:val="en-US" w:eastAsia="zh-CN"/>
                    </w:rPr>
                  </w:pPr>
                  <w:r>
                    <w:rPr>
                      <w:rFonts w:hint="eastAsia"/>
                      <w:color w:val="auto"/>
                      <w:szCs w:val="21"/>
                      <w:lang w:val="en-US" w:eastAsia="zh-CN"/>
                    </w:rPr>
                    <w:t>迁建后</w:t>
                  </w:r>
                </w:p>
              </w:tc>
              <w:tc>
                <w:tcPr>
                  <w:tcW w:w="1632" w:type="dxa"/>
                  <w:vMerge w:val="continue"/>
                  <w:noWrap w:val="0"/>
                  <w:vAlign w:val="center"/>
                </w:tcPr>
                <w:p w14:paraId="0E27E3F5">
                  <w:pPr>
                    <w:spacing w:line="280" w:lineRule="exact"/>
                    <w:jc w:val="center"/>
                    <w:rPr>
                      <w:rFonts w:hint="eastAsia"/>
                      <w:color w:val="auto"/>
                      <w:szCs w:val="21"/>
                    </w:rPr>
                  </w:pPr>
                </w:p>
              </w:tc>
            </w:tr>
            <w:tr w14:paraId="46F295F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25" w:hRule="exact"/>
                <w:jc w:val="center"/>
              </w:trPr>
              <w:tc>
                <w:tcPr>
                  <w:tcW w:w="765" w:type="dxa"/>
                  <w:noWrap w:val="0"/>
                  <w:vAlign w:val="center"/>
                </w:tcPr>
                <w:p w14:paraId="4A8676FC">
                  <w:pPr>
                    <w:spacing w:line="280" w:lineRule="exact"/>
                    <w:jc w:val="center"/>
                    <w:rPr>
                      <w:rFonts w:hint="eastAsia" w:eastAsia="宋体"/>
                      <w:color w:val="auto"/>
                      <w:szCs w:val="21"/>
                      <w:lang w:val="en-US" w:eastAsia="zh-CN"/>
                    </w:rPr>
                  </w:pPr>
                  <w:r>
                    <w:rPr>
                      <w:rFonts w:hint="eastAsia"/>
                      <w:color w:val="auto"/>
                      <w:szCs w:val="21"/>
                      <w:lang w:val="en-US" w:eastAsia="zh-CN"/>
                    </w:rPr>
                    <w:t>1</w:t>
                  </w:r>
                </w:p>
              </w:tc>
              <w:tc>
                <w:tcPr>
                  <w:tcW w:w="1425" w:type="dxa"/>
                  <w:noWrap w:val="0"/>
                  <w:vAlign w:val="center"/>
                </w:tcPr>
                <w:p w14:paraId="066D6628">
                  <w:pPr>
                    <w:pStyle w:val="54"/>
                    <w:jc w:val="center"/>
                    <w:rPr>
                      <w:rFonts w:hint="default"/>
                      <w:color w:val="auto"/>
                      <w:szCs w:val="21"/>
                      <w:lang w:val="en-US" w:eastAsia="zh-CN"/>
                    </w:rPr>
                  </w:pPr>
                  <w:r>
                    <w:rPr>
                      <w:rFonts w:ascii="Times New Roman" w:hAnsi="Times New Roman"/>
                      <w:color w:val="auto"/>
                      <w:sz w:val="21"/>
                      <w:szCs w:val="21"/>
                      <w:lang w:eastAsia="zh-CN"/>
                    </w:rPr>
                    <w:t>钢化玻璃</w:t>
                  </w:r>
                </w:p>
              </w:tc>
              <w:tc>
                <w:tcPr>
                  <w:tcW w:w="1155" w:type="dxa"/>
                  <w:noWrap w:val="0"/>
                  <w:vAlign w:val="center"/>
                </w:tcPr>
                <w:p w14:paraId="62E63343">
                  <w:pPr>
                    <w:spacing w:line="280" w:lineRule="exact"/>
                    <w:jc w:val="center"/>
                    <w:rPr>
                      <w:rFonts w:hint="default"/>
                      <w:color w:val="auto"/>
                      <w:szCs w:val="21"/>
                      <w:lang w:val="en-US" w:eastAsia="zh-CN"/>
                    </w:rPr>
                  </w:pPr>
                  <w:r>
                    <w:rPr>
                      <w:rFonts w:hint="eastAsia"/>
                      <w:color w:val="auto"/>
                      <w:szCs w:val="21"/>
                      <w:lang w:val="en-US" w:eastAsia="zh-CN"/>
                    </w:rPr>
                    <w:t>定制</w:t>
                  </w:r>
                </w:p>
              </w:tc>
              <w:tc>
                <w:tcPr>
                  <w:tcW w:w="1560" w:type="dxa"/>
                  <w:noWrap w:val="0"/>
                  <w:vAlign w:val="center"/>
                </w:tcPr>
                <w:p w14:paraId="3C4BCBDD">
                  <w:pPr>
                    <w:spacing w:line="280" w:lineRule="exact"/>
                    <w:jc w:val="center"/>
                    <w:rPr>
                      <w:rFonts w:hint="default"/>
                      <w:color w:val="auto"/>
                      <w:szCs w:val="21"/>
                      <w:lang w:val="en-US" w:eastAsia="zh-CN"/>
                    </w:rPr>
                  </w:pPr>
                  <w:r>
                    <w:rPr>
                      <w:rFonts w:hint="eastAsia"/>
                      <w:color w:val="auto"/>
                      <w:szCs w:val="21"/>
                      <w:lang w:val="en-US" w:eastAsia="zh-CN"/>
                    </w:rPr>
                    <w:t>5万平方米</w:t>
                  </w:r>
                </w:p>
              </w:tc>
              <w:tc>
                <w:tcPr>
                  <w:tcW w:w="1440" w:type="dxa"/>
                  <w:noWrap w:val="0"/>
                  <w:vAlign w:val="center"/>
                </w:tcPr>
                <w:p w14:paraId="551301A4">
                  <w:pPr>
                    <w:spacing w:line="280" w:lineRule="exact"/>
                    <w:jc w:val="center"/>
                    <w:rPr>
                      <w:rFonts w:hint="eastAsia"/>
                      <w:color w:val="auto"/>
                      <w:szCs w:val="21"/>
                      <w:lang w:val="en-US" w:eastAsia="zh-CN"/>
                    </w:rPr>
                  </w:pPr>
                  <w:r>
                    <w:rPr>
                      <w:rFonts w:hint="eastAsia"/>
                      <w:color w:val="auto"/>
                      <w:szCs w:val="21"/>
                      <w:lang w:val="en-US" w:eastAsia="zh-CN"/>
                    </w:rPr>
                    <w:t>20万平方米</w:t>
                  </w:r>
                </w:p>
              </w:tc>
              <w:tc>
                <w:tcPr>
                  <w:tcW w:w="1632" w:type="dxa"/>
                  <w:noWrap w:val="0"/>
                  <w:vAlign w:val="center"/>
                </w:tcPr>
                <w:p w14:paraId="70C97F77">
                  <w:pPr>
                    <w:spacing w:line="280" w:lineRule="exact"/>
                    <w:jc w:val="center"/>
                    <w:rPr>
                      <w:rFonts w:hint="default" w:eastAsia="宋体"/>
                      <w:color w:val="auto"/>
                      <w:szCs w:val="21"/>
                      <w:lang w:val="en-US" w:eastAsia="zh-CN"/>
                    </w:rPr>
                  </w:pPr>
                  <w:r>
                    <w:rPr>
                      <w:rFonts w:hint="eastAsia"/>
                      <w:color w:val="auto"/>
                      <w:szCs w:val="21"/>
                      <w:lang w:val="en-US" w:eastAsia="zh-CN"/>
                    </w:rPr>
                    <w:t>+15万平方米</w:t>
                  </w:r>
                </w:p>
              </w:tc>
            </w:tr>
            <w:tr w14:paraId="3D557D5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40" w:hRule="exact"/>
                <w:jc w:val="center"/>
              </w:trPr>
              <w:tc>
                <w:tcPr>
                  <w:tcW w:w="765" w:type="dxa"/>
                  <w:noWrap w:val="0"/>
                  <w:vAlign w:val="center"/>
                </w:tcPr>
                <w:p w14:paraId="516B213B">
                  <w:pPr>
                    <w:spacing w:line="280" w:lineRule="exact"/>
                    <w:jc w:val="center"/>
                    <w:rPr>
                      <w:rFonts w:hint="default"/>
                      <w:color w:val="auto"/>
                      <w:szCs w:val="21"/>
                      <w:lang w:val="en-US" w:eastAsia="zh-CN"/>
                    </w:rPr>
                  </w:pPr>
                  <w:r>
                    <w:rPr>
                      <w:rFonts w:hint="eastAsia"/>
                      <w:color w:val="auto"/>
                      <w:szCs w:val="21"/>
                      <w:lang w:val="en-US" w:eastAsia="zh-CN"/>
                    </w:rPr>
                    <w:t>2</w:t>
                  </w:r>
                </w:p>
              </w:tc>
              <w:tc>
                <w:tcPr>
                  <w:tcW w:w="1425" w:type="dxa"/>
                  <w:noWrap w:val="0"/>
                  <w:vAlign w:val="center"/>
                </w:tcPr>
                <w:p w14:paraId="46C4556A">
                  <w:pPr>
                    <w:pStyle w:val="54"/>
                    <w:jc w:val="center"/>
                    <w:rPr>
                      <w:rFonts w:hint="default"/>
                      <w:color w:val="auto"/>
                      <w:szCs w:val="21"/>
                      <w:lang w:val="en-US" w:eastAsia="zh-CN"/>
                    </w:rPr>
                  </w:pPr>
                  <w:r>
                    <w:rPr>
                      <w:rFonts w:ascii="Times New Roman" w:hAnsi="Times New Roman"/>
                      <w:color w:val="auto"/>
                      <w:sz w:val="21"/>
                      <w:szCs w:val="21"/>
                      <w:lang w:eastAsia="zh-CN"/>
                    </w:rPr>
                    <w:t>中空玻璃</w:t>
                  </w:r>
                </w:p>
              </w:tc>
              <w:tc>
                <w:tcPr>
                  <w:tcW w:w="1155" w:type="dxa"/>
                  <w:noWrap w:val="0"/>
                  <w:vAlign w:val="center"/>
                </w:tcPr>
                <w:p w14:paraId="09D08D96">
                  <w:pPr>
                    <w:spacing w:line="280" w:lineRule="exact"/>
                    <w:jc w:val="center"/>
                    <w:rPr>
                      <w:rFonts w:hint="default"/>
                      <w:color w:val="auto"/>
                      <w:szCs w:val="21"/>
                      <w:lang w:val="en-US" w:eastAsia="zh-CN"/>
                    </w:rPr>
                  </w:pPr>
                  <w:r>
                    <w:rPr>
                      <w:rFonts w:hint="eastAsia"/>
                      <w:color w:val="auto"/>
                      <w:szCs w:val="21"/>
                      <w:lang w:val="en-US" w:eastAsia="zh-CN"/>
                    </w:rPr>
                    <w:t>定制</w:t>
                  </w:r>
                </w:p>
              </w:tc>
              <w:tc>
                <w:tcPr>
                  <w:tcW w:w="1560" w:type="dxa"/>
                  <w:noWrap w:val="0"/>
                  <w:vAlign w:val="center"/>
                </w:tcPr>
                <w:p w14:paraId="7CA82AB7">
                  <w:pPr>
                    <w:spacing w:line="280" w:lineRule="exact"/>
                    <w:jc w:val="center"/>
                    <w:rPr>
                      <w:rFonts w:hint="default"/>
                      <w:color w:val="auto"/>
                      <w:szCs w:val="21"/>
                      <w:lang w:val="en-US" w:eastAsia="zh-CN"/>
                    </w:rPr>
                  </w:pPr>
                  <w:r>
                    <w:rPr>
                      <w:rFonts w:hint="eastAsia"/>
                      <w:color w:val="auto"/>
                      <w:szCs w:val="21"/>
                      <w:lang w:val="en-US" w:eastAsia="zh-CN"/>
                    </w:rPr>
                    <w:t>2万平方米</w:t>
                  </w:r>
                </w:p>
              </w:tc>
              <w:tc>
                <w:tcPr>
                  <w:tcW w:w="1440" w:type="dxa"/>
                  <w:noWrap w:val="0"/>
                  <w:vAlign w:val="center"/>
                </w:tcPr>
                <w:p w14:paraId="589C7CAB">
                  <w:pPr>
                    <w:spacing w:line="280" w:lineRule="exact"/>
                    <w:jc w:val="center"/>
                    <w:rPr>
                      <w:rFonts w:hint="eastAsia"/>
                      <w:color w:val="auto"/>
                      <w:szCs w:val="21"/>
                      <w:lang w:val="en-US" w:eastAsia="zh-CN"/>
                    </w:rPr>
                  </w:pPr>
                  <w:r>
                    <w:rPr>
                      <w:rFonts w:hint="eastAsia"/>
                      <w:color w:val="auto"/>
                      <w:szCs w:val="21"/>
                      <w:lang w:val="en-US" w:eastAsia="zh-CN"/>
                    </w:rPr>
                    <w:t>4万平方米</w:t>
                  </w:r>
                </w:p>
              </w:tc>
              <w:tc>
                <w:tcPr>
                  <w:tcW w:w="1632" w:type="dxa"/>
                  <w:noWrap w:val="0"/>
                  <w:vAlign w:val="center"/>
                </w:tcPr>
                <w:p w14:paraId="7FD660FF">
                  <w:pPr>
                    <w:spacing w:line="280" w:lineRule="exact"/>
                    <w:jc w:val="center"/>
                    <w:rPr>
                      <w:rFonts w:hint="default"/>
                      <w:color w:val="auto"/>
                      <w:szCs w:val="21"/>
                      <w:lang w:val="en-US" w:eastAsia="zh-CN"/>
                    </w:rPr>
                  </w:pPr>
                  <w:r>
                    <w:rPr>
                      <w:rFonts w:hint="eastAsia"/>
                      <w:color w:val="auto"/>
                      <w:szCs w:val="21"/>
                      <w:lang w:val="en-US" w:eastAsia="zh-CN"/>
                    </w:rPr>
                    <w:t>+2万平方米</w:t>
                  </w:r>
                </w:p>
              </w:tc>
            </w:tr>
            <w:tr w14:paraId="35E8FAD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40" w:hRule="exact"/>
                <w:jc w:val="center"/>
              </w:trPr>
              <w:tc>
                <w:tcPr>
                  <w:tcW w:w="765" w:type="dxa"/>
                  <w:noWrap w:val="0"/>
                  <w:vAlign w:val="center"/>
                </w:tcPr>
                <w:p w14:paraId="4AF586B5">
                  <w:pPr>
                    <w:spacing w:line="280" w:lineRule="exact"/>
                    <w:jc w:val="center"/>
                    <w:rPr>
                      <w:rFonts w:hint="default"/>
                      <w:color w:val="auto"/>
                      <w:szCs w:val="21"/>
                      <w:lang w:val="en-US" w:eastAsia="zh-CN"/>
                    </w:rPr>
                  </w:pPr>
                  <w:r>
                    <w:rPr>
                      <w:rFonts w:hint="eastAsia"/>
                      <w:color w:val="auto"/>
                      <w:szCs w:val="21"/>
                      <w:lang w:val="en-US" w:eastAsia="zh-CN"/>
                    </w:rPr>
                    <w:t>3</w:t>
                  </w:r>
                </w:p>
              </w:tc>
              <w:tc>
                <w:tcPr>
                  <w:tcW w:w="1425" w:type="dxa"/>
                  <w:noWrap w:val="0"/>
                  <w:vAlign w:val="center"/>
                </w:tcPr>
                <w:p w14:paraId="761DBD80">
                  <w:pPr>
                    <w:pStyle w:val="54"/>
                    <w:jc w:val="center"/>
                    <w:rPr>
                      <w:rFonts w:hint="eastAsia"/>
                      <w:color w:val="auto"/>
                      <w:szCs w:val="21"/>
                      <w:lang w:val="en-US" w:eastAsia="zh-CN"/>
                    </w:rPr>
                  </w:pPr>
                  <w:r>
                    <w:rPr>
                      <w:rFonts w:ascii="Times New Roman" w:hAnsi="Times New Roman"/>
                      <w:color w:val="auto"/>
                      <w:sz w:val="21"/>
                      <w:szCs w:val="21"/>
                      <w:lang w:eastAsia="zh-CN"/>
                    </w:rPr>
                    <w:t>夹胶玻璃</w:t>
                  </w:r>
                </w:p>
              </w:tc>
              <w:tc>
                <w:tcPr>
                  <w:tcW w:w="1155" w:type="dxa"/>
                  <w:noWrap w:val="0"/>
                  <w:vAlign w:val="center"/>
                </w:tcPr>
                <w:p w14:paraId="7141CF79">
                  <w:pPr>
                    <w:spacing w:line="280" w:lineRule="exact"/>
                    <w:jc w:val="center"/>
                    <w:rPr>
                      <w:rFonts w:hint="eastAsia"/>
                      <w:color w:val="auto"/>
                      <w:szCs w:val="21"/>
                      <w:lang w:val="en-US" w:eastAsia="zh-CN"/>
                    </w:rPr>
                  </w:pPr>
                  <w:r>
                    <w:rPr>
                      <w:rFonts w:hint="eastAsia"/>
                      <w:color w:val="auto"/>
                      <w:szCs w:val="21"/>
                      <w:lang w:val="en-US" w:eastAsia="zh-CN"/>
                    </w:rPr>
                    <w:t>定制</w:t>
                  </w:r>
                </w:p>
              </w:tc>
              <w:tc>
                <w:tcPr>
                  <w:tcW w:w="1560" w:type="dxa"/>
                  <w:noWrap w:val="0"/>
                  <w:vAlign w:val="center"/>
                </w:tcPr>
                <w:p w14:paraId="0DF64CDF">
                  <w:pPr>
                    <w:spacing w:line="280" w:lineRule="exact"/>
                    <w:jc w:val="center"/>
                    <w:rPr>
                      <w:rFonts w:hint="default"/>
                      <w:color w:val="auto"/>
                      <w:szCs w:val="21"/>
                      <w:lang w:val="en-US" w:eastAsia="zh-CN"/>
                    </w:rPr>
                  </w:pPr>
                  <w:r>
                    <w:rPr>
                      <w:rFonts w:hint="eastAsia"/>
                      <w:color w:val="auto"/>
                      <w:szCs w:val="21"/>
                      <w:lang w:val="en-US" w:eastAsia="zh-CN"/>
                    </w:rPr>
                    <w:t>1万平方米</w:t>
                  </w:r>
                </w:p>
              </w:tc>
              <w:tc>
                <w:tcPr>
                  <w:tcW w:w="1440" w:type="dxa"/>
                  <w:noWrap w:val="0"/>
                  <w:vAlign w:val="center"/>
                </w:tcPr>
                <w:p w14:paraId="66278EFF">
                  <w:pPr>
                    <w:spacing w:line="280" w:lineRule="exact"/>
                    <w:jc w:val="center"/>
                    <w:rPr>
                      <w:rFonts w:hint="eastAsia"/>
                      <w:color w:val="auto"/>
                      <w:szCs w:val="21"/>
                      <w:lang w:val="en-US" w:eastAsia="zh-CN"/>
                    </w:rPr>
                  </w:pPr>
                  <w:r>
                    <w:rPr>
                      <w:rFonts w:hint="eastAsia"/>
                      <w:color w:val="auto"/>
                      <w:szCs w:val="21"/>
                      <w:lang w:val="en-US" w:eastAsia="zh-CN"/>
                    </w:rPr>
                    <w:t>2万平方米</w:t>
                  </w:r>
                </w:p>
              </w:tc>
              <w:tc>
                <w:tcPr>
                  <w:tcW w:w="1632" w:type="dxa"/>
                  <w:noWrap w:val="0"/>
                  <w:vAlign w:val="center"/>
                </w:tcPr>
                <w:p w14:paraId="1CAF9304">
                  <w:pPr>
                    <w:spacing w:line="280" w:lineRule="exact"/>
                    <w:jc w:val="center"/>
                    <w:rPr>
                      <w:rFonts w:hint="default"/>
                      <w:color w:val="auto"/>
                      <w:szCs w:val="21"/>
                      <w:lang w:val="en-US" w:eastAsia="zh-CN"/>
                    </w:rPr>
                  </w:pPr>
                  <w:r>
                    <w:rPr>
                      <w:rFonts w:hint="eastAsia"/>
                      <w:color w:val="auto"/>
                      <w:szCs w:val="21"/>
                      <w:lang w:val="en-US" w:eastAsia="zh-CN"/>
                    </w:rPr>
                    <w:t>+1万平方米</w:t>
                  </w:r>
                </w:p>
              </w:tc>
            </w:tr>
          </w:tbl>
          <w:p w14:paraId="26E99503">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7、占地面积与建筑面积</w:t>
            </w:r>
          </w:p>
          <w:p w14:paraId="3CC1F6CD">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本项目总占地面积</w:t>
            </w:r>
            <w:r>
              <w:rPr>
                <w:rFonts w:hint="eastAsia"/>
                <w:color w:val="auto"/>
                <w:lang w:val="en-US" w:eastAsia="zh-CN"/>
              </w:rPr>
              <w:t>7000</w:t>
            </w:r>
            <w:r>
              <w:rPr>
                <w:color w:val="auto"/>
              </w:rPr>
              <w:t>m</w:t>
            </w:r>
            <w:r>
              <w:rPr>
                <w:color w:val="auto"/>
                <w:vertAlign w:val="superscript"/>
              </w:rPr>
              <w:t>2</w:t>
            </w:r>
            <w:r>
              <w:rPr>
                <w:rFonts w:hint="eastAsia"/>
                <w:color w:val="auto"/>
              </w:rPr>
              <w:t>，</w:t>
            </w:r>
            <w:r>
              <w:rPr>
                <w:rFonts w:hint="eastAsia"/>
                <w:color w:val="auto"/>
                <w:lang w:val="en-US" w:eastAsia="zh-CN"/>
              </w:rPr>
              <w:t>租赁生产厂房总</w:t>
            </w:r>
            <w:r>
              <w:rPr>
                <w:rFonts w:hint="eastAsia"/>
                <w:color w:val="auto"/>
              </w:rPr>
              <w:t>建筑面积</w:t>
            </w:r>
            <w:r>
              <w:rPr>
                <w:rFonts w:hint="eastAsia"/>
                <w:color w:val="auto"/>
                <w:lang w:val="en-US" w:eastAsia="zh-CN"/>
              </w:rPr>
              <w:t>约6451</w:t>
            </w:r>
            <w:r>
              <w:rPr>
                <w:color w:val="auto"/>
              </w:rPr>
              <w:t>m</w:t>
            </w:r>
            <w:r>
              <w:rPr>
                <w:color w:val="auto"/>
                <w:vertAlign w:val="superscript"/>
              </w:rPr>
              <w:t>2</w:t>
            </w:r>
            <w:r>
              <w:rPr>
                <w:rFonts w:hint="eastAsia"/>
                <w:color w:val="auto"/>
              </w:rPr>
              <w:t>。</w:t>
            </w:r>
          </w:p>
          <w:p w14:paraId="3D08A89D">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8、工程内容</w:t>
            </w:r>
          </w:p>
          <w:p w14:paraId="261906C9">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auto"/>
              </w:rPr>
            </w:pPr>
            <w:r>
              <w:rPr>
                <w:rFonts w:hint="eastAsia"/>
                <w:color w:val="auto"/>
              </w:rPr>
              <w:t>本项目工程内容主要包括主体工程、辅助工程、储运工程、公用工程及环保工程等，具体内容见表2-2。</w:t>
            </w:r>
          </w:p>
          <w:p w14:paraId="134CDDB4">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3C43385C">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16F4A0D6">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1F58B239">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68204E9C">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030E4B4B">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12D01AC4">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1C193AE9">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2571E7BF">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08142C7D">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62A0F65B">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4C907498">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r>
              <w:rPr>
                <w:rFonts w:hint="eastAsia"/>
                <w:b/>
                <w:bCs/>
                <w:color w:val="auto"/>
                <w:sz w:val="21"/>
                <w:szCs w:val="21"/>
              </w:rPr>
              <w:t>表2-2</w:t>
            </w:r>
            <w:r>
              <w:rPr>
                <w:rFonts w:hint="eastAsia"/>
                <w:b/>
                <w:bCs/>
                <w:color w:val="auto"/>
                <w:sz w:val="21"/>
                <w:szCs w:val="21"/>
                <w:lang w:val="en-US" w:eastAsia="zh-CN"/>
              </w:rPr>
              <w:t xml:space="preserve">  </w:t>
            </w:r>
            <w:r>
              <w:rPr>
                <w:rFonts w:hint="eastAsia"/>
                <w:b/>
                <w:bCs/>
                <w:color w:val="auto"/>
                <w:sz w:val="21"/>
                <w:szCs w:val="21"/>
              </w:rPr>
              <w:t>项目主体工程及公用、辅助工程一览表</w:t>
            </w:r>
          </w:p>
          <w:tbl>
            <w:tblPr>
              <w:tblStyle w:val="23"/>
              <w:tblW w:w="79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543"/>
              <w:gridCol w:w="544"/>
              <w:gridCol w:w="1705"/>
              <w:gridCol w:w="2729"/>
              <w:gridCol w:w="2457"/>
            </w:tblGrid>
            <w:tr w14:paraId="166A77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3" w:hRule="atLeast"/>
                <w:jc w:val="center"/>
              </w:trPr>
              <w:tc>
                <w:tcPr>
                  <w:tcW w:w="1087" w:type="dxa"/>
                  <w:gridSpan w:val="2"/>
                  <w:noWrap w:val="0"/>
                  <w:vAlign w:val="center"/>
                </w:tcPr>
                <w:p w14:paraId="09FEED05">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工程名称</w:t>
                  </w:r>
                </w:p>
              </w:tc>
              <w:tc>
                <w:tcPr>
                  <w:tcW w:w="1705" w:type="dxa"/>
                  <w:noWrap w:val="0"/>
                  <w:vAlign w:val="center"/>
                </w:tcPr>
                <w:p w14:paraId="42AB22D7">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建设名称</w:t>
                  </w:r>
                </w:p>
              </w:tc>
              <w:tc>
                <w:tcPr>
                  <w:tcW w:w="2729" w:type="dxa"/>
                  <w:noWrap w:val="0"/>
                  <w:vAlign w:val="center"/>
                </w:tcPr>
                <w:p w14:paraId="4ED7217E">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设计能力</w:t>
                  </w:r>
                </w:p>
              </w:tc>
              <w:tc>
                <w:tcPr>
                  <w:tcW w:w="2457" w:type="dxa"/>
                  <w:noWrap w:val="0"/>
                  <w:vAlign w:val="center"/>
                </w:tcPr>
                <w:p w14:paraId="23379AC3">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备注</w:t>
                  </w:r>
                </w:p>
              </w:tc>
            </w:tr>
            <w:tr w14:paraId="79F706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1087" w:type="dxa"/>
                  <w:gridSpan w:val="2"/>
                  <w:noWrap w:val="0"/>
                  <w:vAlign w:val="center"/>
                </w:tcPr>
                <w:p w14:paraId="03A42631">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主体工程</w:t>
                  </w:r>
                </w:p>
              </w:tc>
              <w:tc>
                <w:tcPr>
                  <w:tcW w:w="1705" w:type="dxa"/>
                  <w:noWrap w:val="0"/>
                  <w:vAlign w:val="center"/>
                </w:tcPr>
                <w:p w14:paraId="046EFDF8">
                  <w:pPr>
                    <w:adjustRightInd w:val="0"/>
                    <w:snapToGrid w:val="0"/>
                    <w:spacing w:line="240" w:lineRule="auto"/>
                    <w:ind w:firstLine="0" w:firstLineChars="0"/>
                    <w:jc w:val="center"/>
                    <w:rPr>
                      <w:rFonts w:hint="default"/>
                      <w:color w:val="auto"/>
                      <w:sz w:val="21"/>
                      <w:lang w:val="en-US" w:eastAsia="zh-CN"/>
                    </w:rPr>
                  </w:pPr>
                  <w:r>
                    <w:rPr>
                      <w:rFonts w:hint="eastAsia"/>
                      <w:color w:val="auto"/>
                      <w:sz w:val="21"/>
                      <w:szCs w:val="21"/>
                      <w:lang w:val="en-US" w:eastAsia="zh-CN"/>
                    </w:rPr>
                    <w:t>厂房</w:t>
                  </w:r>
                </w:p>
              </w:tc>
              <w:tc>
                <w:tcPr>
                  <w:tcW w:w="2729" w:type="dxa"/>
                  <w:noWrap w:val="0"/>
                  <w:vAlign w:val="center"/>
                </w:tcPr>
                <w:p w14:paraId="6ACFA697">
                  <w:pPr>
                    <w:adjustRightInd w:val="0"/>
                    <w:snapToGrid w:val="0"/>
                    <w:spacing w:line="240" w:lineRule="auto"/>
                    <w:ind w:firstLine="0" w:firstLineChars="0"/>
                    <w:jc w:val="center"/>
                    <w:rPr>
                      <w:rFonts w:hint="default" w:cs="Times New Roman"/>
                      <w:color w:val="auto"/>
                      <w:sz w:val="21"/>
                      <w:szCs w:val="21"/>
                      <w:lang w:val="en-US" w:eastAsia="zh-CN"/>
                    </w:rPr>
                  </w:pPr>
                  <w:r>
                    <w:rPr>
                      <w:rFonts w:hint="eastAsia"/>
                      <w:color w:val="auto"/>
                      <w:sz w:val="21"/>
                      <w:szCs w:val="21"/>
                      <w:lang w:val="en-US" w:eastAsia="zh-CN"/>
                    </w:rPr>
                    <w:t>共1层，</w:t>
                  </w:r>
                  <w:r>
                    <w:rPr>
                      <w:rFonts w:hint="eastAsia"/>
                      <w:color w:val="auto"/>
                      <w:sz w:val="21"/>
                      <w:szCs w:val="21"/>
                    </w:rPr>
                    <w:t>建筑面积</w:t>
                  </w:r>
                  <w:r>
                    <w:rPr>
                      <w:rFonts w:hint="eastAsia"/>
                      <w:color w:val="auto"/>
                      <w:sz w:val="21"/>
                      <w:szCs w:val="21"/>
                      <w:lang w:val="en-US" w:eastAsia="zh-CN"/>
                    </w:rPr>
                    <w:t>6451</w:t>
                  </w:r>
                  <w:r>
                    <w:rPr>
                      <w:rFonts w:hint="eastAsia"/>
                      <w:color w:val="auto"/>
                      <w:sz w:val="21"/>
                      <w:szCs w:val="21"/>
                    </w:rPr>
                    <w:t>m</w:t>
                  </w:r>
                  <w:r>
                    <w:rPr>
                      <w:rFonts w:hint="eastAsia"/>
                      <w:color w:val="auto"/>
                      <w:sz w:val="21"/>
                      <w:szCs w:val="21"/>
                      <w:vertAlign w:val="superscript"/>
                    </w:rPr>
                    <w:t>2</w:t>
                  </w:r>
                </w:p>
              </w:tc>
              <w:tc>
                <w:tcPr>
                  <w:tcW w:w="2457" w:type="dxa"/>
                  <w:noWrap w:val="0"/>
                  <w:vAlign w:val="center"/>
                </w:tcPr>
                <w:p w14:paraId="3E9D9293">
                  <w:pPr>
                    <w:adjustRightInd w:val="0"/>
                    <w:snapToGrid w:val="0"/>
                    <w:spacing w:line="240" w:lineRule="auto"/>
                    <w:ind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从西向东分别设置生产区、原料区，最东侧从南向北分别设置成品区、组装区、办公区</w:t>
                  </w:r>
                </w:p>
              </w:tc>
            </w:tr>
            <w:tr w14:paraId="6BAB92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1087" w:type="dxa"/>
                  <w:gridSpan w:val="2"/>
                  <w:noWrap w:val="0"/>
                  <w:vAlign w:val="center"/>
                </w:tcPr>
                <w:p w14:paraId="5833C433">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辅助工程</w:t>
                  </w:r>
                </w:p>
              </w:tc>
              <w:tc>
                <w:tcPr>
                  <w:tcW w:w="1705" w:type="dxa"/>
                  <w:noWrap w:val="0"/>
                  <w:vAlign w:val="center"/>
                </w:tcPr>
                <w:p w14:paraId="6A75615F">
                  <w:pPr>
                    <w:adjustRightInd w:val="0"/>
                    <w:snapToGrid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办公区</w:t>
                  </w:r>
                </w:p>
              </w:tc>
              <w:tc>
                <w:tcPr>
                  <w:tcW w:w="2729" w:type="dxa"/>
                  <w:noWrap w:val="0"/>
                  <w:vAlign w:val="center"/>
                </w:tcPr>
                <w:p w14:paraId="48D9563B">
                  <w:pPr>
                    <w:adjustRightInd w:val="0"/>
                    <w:snapToGrid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建筑面积约480</w:t>
                  </w:r>
                  <w:r>
                    <w:rPr>
                      <w:rFonts w:hint="eastAsia"/>
                      <w:color w:val="auto"/>
                      <w:sz w:val="21"/>
                      <w:szCs w:val="21"/>
                    </w:rPr>
                    <w:t>m</w:t>
                  </w:r>
                  <w:r>
                    <w:rPr>
                      <w:rFonts w:hint="eastAsia"/>
                      <w:color w:val="auto"/>
                      <w:sz w:val="21"/>
                      <w:szCs w:val="21"/>
                      <w:vertAlign w:val="superscript"/>
                    </w:rPr>
                    <w:t>2</w:t>
                  </w:r>
                </w:p>
              </w:tc>
              <w:tc>
                <w:tcPr>
                  <w:tcW w:w="2457" w:type="dxa"/>
                  <w:noWrap w:val="0"/>
                  <w:vAlign w:val="center"/>
                </w:tcPr>
                <w:p w14:paraId="5B02CDA2">
                  <w:pPr>
                    <w:adjustRightInd w:val="0"/>
                    <w:snapToGrid w:val="0"/>
                    <w:spacing w:line="240" w:lineRule="auto"/>
                    <w:ind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位于厂房东北侧</w:t>
                  </w:r>
                </w:p>
              </w:tc>
            </w:tr>
            <w:tr w14:paraId="031205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93" w:hRule="atLeast"/>
                <w:jc w:val="center"/>
              </w:trPr>
              <w:tc>
                <w:tcPr>
                  <w:tcW w:w="1087" w:type="dxa"/>
                  <w:gridSpan w:val="2"/>
                  <w:vMerge w:val="restart"/>
                  <w:noWrap w:val="0"/>
                  <w:vAlign w:val="center"/>
                </w:tcPr>
                <w:p w14:paraId="36AC4A33">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储运工程</w:t>
                  </w:r>
                </w:p>
              </w:tc>
              <w:tc>
                <w:tcPr>
                  <w:tcW w:w="1705" w:type="dxa"/>
                  <w:noWrap w:val="0"/>
                  <w:vAlign w:val="center"/>
                </w:tcPr>
                <w:p w14:paraId="7A494F6B">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s="Times New Roman"/>
                      <w:color w:val="auto"/>
                      <w:sz w:val="21"/>
                      <w:lang w:val="en-US" w:eastAsia="zh-CN"/>
                    </w:rPr>
                    <w:t>原料区</w:t>
                  </w:r>
                </w:p>
              </w:tc>
              <w:tc>
                <w:tcPr>
                  <w:tcW w:w="2729" w:type="dxa"/>
                  <w:noWrap w:val="0"/>
                  <w:vAlign w:val="center"/>
                </w:tcPr>
                <w:p w14:paraId="7E5930FE">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建筑面积约1600m</w:t>
                  </w:r>
                  <w:r>
                    <w:rPr>
                      <w:rFonts w:hint="eastAsia" w:cs="Times New Roman"/>
                      <w:color w:val="auto"/>
                      <w:sz w:val="21"/>
                      <w:szCs w:val="21"/>
                      <w:vertAlign w:val="superscript"/>
                      <w:lang w:val="en-US" w:eastAsia="zh-CN"/>
                    </w:rPr>
                    <w:t>2</w:t>
                  </w:r>
                </w:p>
              </w:tc>
              <w:tc>
                <w:tcPr>
                  <w:tcW w:w="2457" w:type="dxa"/>
                  <w:noWrap w:val="0"/>
                  <w:vAlign w:val="center"/>
                </w:tcPr>
                <w:p w14:paraId="72FCE906">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位于厂房北侧</w:t>
                  </w:r>
                </w:p>
              </w:tc>
            </w:tr>
            <w:tr w14:paraId="7C337A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93" w:hRule="atLeast"/>
                <w:jc w:val="center"/>
              </w:trPr>
              <w:tc>
                <w:tcPr>
                  <w:tcW w:w="1087" w:type="dxa"/>
                  <w:gridSpan w:val="2"/>
                  <w:vMerge w:val="continue"/>
                  <w:noWrap w:val="0"/>
                  <w:vAlign w:val="center"/>
                </w:tcPr>
                <w:p w14:paraId="57A9AA8F">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lang w:val="en-US" w:eastAsia="zh-CN"/>
                    </w:rPr>
                  </w:pPr>
                </w:p>
              </w:tc>
              <w:tc>
                <w:tcPr>
                  <w:tcW w:w="1705" w:type="dxa"/>
                  <w:noWrap w:val="0"/>
                  <w:vAlign w:val="center"/>
                </w:tcPr>
                <w:p w14:paraId="01C6A615">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s="Times New Roman"/>
                      <w:color w:val="auto"/>
                      <w:sz w:val="21"/>
                      <w:lang w:val="en-US" w:eastAsia="zh-CN"/>
                    </w:rPr>
                  </w:pPr>
                  <w:r>
                    <w:rPr>
                      <w:rFonts w:hint="eastAsia" w:cs="Times New Roman"/>
                      <w:color w:val="auto"/>
                      <w:sz w:val="21"/>
                      <w:lang w:val="en-US" w:eastAsia="zh-CN"/>
                    </w:rPr>
                    <w:t>成品区</w:t>
                  </w:r>
                </w:p>
              </w:tc>
              <w:tc>
                <w:tcPr>
                  <w:tcW w:w="2729" w:type="dxa"/>
                  <w:noWrap w:val="0"/>
                  <w:vAlign w:val="center"/>
                </w:tcPr>
                <w:p w14:paraId="0987C7E1">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建筑面积约1100m</w:t>
                  </w:r>
                  <w:r>
                    <w:rPr>
                      <w:rFonts w:hint="eastAsia" w:cs="Times New Roman"/>
                      <w:color w:val="auto"/>
                      <w:sz w:val="21"/>
                      <w:szCs w:val="21"/>
                      <w:vertAlign w:val="superscript"/>
                      <w:lang w:val="en-US" w:eastAsia="zh-CN"/>
                    </w:rPr>
                    <w:t>2</w:t>
                  </w:r>
                </w:p>
              </w:tc>
              <w:tc>
                <w:tcPr>
                  <w:tcW w:w="2457" w:type="dxa"/>
                  <w:noWrap w:val="0"/>
                  <w:vAlign w:val="center"/>
                </w:tcPr>
                <w:p w14:paraId="3476C1EF">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位于厂房东侧</w:t>
                  </w:r>
                </w:p>
              </w:tc>
            </w:tr>
            <w:tr w14:paraId="6203BE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087" w:type="dxa"/>
                  <w:gridSpan w:val="2"/>
                  <w:vMerge w:val="restart"/>
                  <w:noWrap w:val="0"/>
                  <w:vAlign w:val="center"/>
                </w:tcPr>
                <w:p w14:paraId="0B0F2D9E">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公用工程</w:t>
                  </w:r>
                </w:p>
              </w:tc>
              <w:tc>
                <w:tcPr>
                  <w:tcW w:w="1705" w:type="dxa"/>
                  <w:noWrap w:val="0"/>
                  <w:vAlign w:val="center"/>
                </w:tcPr>
                <w:p w14:paraId="3A02A70A">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给水系统</w:t>
                  </w:r>
                </w:p>
              </w:tc>
              <w:tc>
                <w:tcPr>
                  <w:tcW w:w="2729" w:type="dxa"/>
                  <w:noWrap w:val="0"/>
                  <w:vAlign w:val="center"/>
                </w:tcPr>
                <w:p w14:paraId="5F37D848">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ascii="Times New Roman" w:hAnsi="Times New Roman" w:eastAsia="宋体" w:cs="Times New Roman"/>
                      <w:color w:val="auto"/>
                      <w:sz w:val="21"/>
                      <w:szCs w:val="21"/>
                    </w:rPr>
                    <w:t>用水量</w:t>
                  </w:r>
                  <w:r>
                    <w:rPr>
                      <w:rFonts w:hint="eastAsia" w:cs="Times New Roman"/>
                      <w:color w:val="auto"/>
                      <w:sz w:val="21"/>
                      <w:szCs w:val="21"/>
                      <w:lang w:val="en-US" w:eastAsia="zh-CN"/>
                    </w:rPr>
                    <w:t>634.2</w:t>
                  </w:r>
                  <w:r>
                    <w:rPr>
                      <w:rFonts w:hint="eastAsia" w:ascii="Times New Roman" w:hAnsi="Times New Roman" w:eastAsia="宋体" w:cs="Times New Roman"/>
                      <w:color w:val="auto"/>
                      <w:sz w:val="21"/>
                      <w:szCs w:val="21"/>
                    </w:rPr>
                    <w:t>m</w:t>
                  </w:r>
                  <w:r>
                    <w:rPr>
                      <w:rFonts w:hint="eastAsia"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rPr>
                    <w:t>/a</w:t>
                  </w:r>
                </w:p>
              </w:tc>
              <w:tc>
                <w:tcPr>
                  <w:tcW w:w="2457" w:type="dxa"/>
                  <w:noWrap w:val="0"/>
                  <w:vAlign w:val="center"/>
                </w:tcPr>
                <w:p w14:paraId="3BC89FD4">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市政自来水管网供给</w:t>
                  </w:r>
                </w:p>
              </w:tc>
            </w:tr>
            <w:tr w14:paraId="6BBC09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1087" w:type="dxa"/>
                  <w:gridSpan w:val="2"/>
                  <w:vMerge w:val="continue"/>
                  <w:noWrap w:val="0"/>
                  <w:vAlign w:val="center"/>
                </w:tcPr>
                <w:p w14:paraId="7820F486">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05" w:type="dxa"/>
                  <w:noWrap w:val="0"/>
                  <w:vAlign w:val="center"/>
                </w:tcPr>
                <w:p w14:paraId="2A3DA933">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排水系统</w:t>
                  </w:r>
                </w:p>
              </w:tc>
              <w:tc>
                <w:tcPr>
                  <w:tcW w:w="2729" w:type="dxa"/>
                  <w:noWrap w:val="0"/>
                  <w:vAlign w:val="center"/>
                </w:tcPr>
                <w:p w14:paraId="0891DD20">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s="Times New Roman"/>
                      <w:color w:val="auto"/>
                      <w:sz w:val="21"/>
                      <w:szCs w:val="21"/>
                      <w:lang w:val="en-US" w:eastAsia="zh-CN"/>
                    </w:rPr>
                    <w:t>处理能力360</w:t>
                  </w:r>
                  <w:r>
                    <w:rPr>
                      <w:rFonts w:hint="eastAsia" w:ascii="Times New Roman" w:hAnsi="Times New Roman" w:eastAsia="宋体" w:cs="Times New Roman"/>
                      <w:color w:val="auto"/>
                      <w:sz w:val="21"/>
                      <w:szCs w:val="21"/>
                    </w:rPr>
                    <w:t>m</w:t>
                  </w:r>
                  <w:r>
                    <w:rPr>
                      <w:rFonts w:hint="eastAsia"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rPr>
                    <w:t>/a</w:t>
                  </w:r>
                </w:p>
              </w:tc>
              <w:tc>
                <w:tcPr>
                  <w:tcW w:w="2457" w:type="dxa"/>
                  <w:noWrap w:val="0"/>
                  <w:vAlign w:val="center"/>
                </w:tcPr>
                <w:p w14:paraId="288D0D3A">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s="Times New Roman"/>
                      <w:color w:val="auto"/>
                      <w:sz w:val="21"/>
                      <w:szCs w:val="21"/>
                      <w:lang w:val="en-US" w:eastAsia="zh-CN"/>
                    </w:rPr>
                    <w:t>生活污水经化粪池处理接管至涟水经济开发区西区污水处理厂</w:t>
                  </w:r>
                </w:p>
              </w:tc>
            </w:tr>
            <w:tr w14:paraId="332C7F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1087" w:type="dxa"/>
                  <w:gridSpan w:val="2"/>
                  <w:vMerge w:val="continue"/>
                  <w:noWrap w:val="0"/>
                  <w:vAlign w:val="center"/>
                </w:tcPr>
                <w:p w14:paraId="52A0DA8A">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05" w:type="dxa"/>
                  <w:noWrap w:val="0"/>
                  <w:vAlign w:val="center"/>
                </w:tcPr>
                <w:p w14:paraId="4965F89A">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供电系统</w:t>
                  </w:r>
                </w:p>
              </w:tc>
              <w:tc>
                <w:tcPr>
                  <w:tcW w:w="2729" w:type="dxa"/>
                  <w:noWrap w:val="0"/>
                  <w:vAlign w:val="center"/>
                </w:tcPr>
                <w:p w14:paraId="4DDB7A6A">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用电量</w:t>
                  </w:r>
                  <w:r>
                    <w:rPr>
                      <w:rFonts w:hint="eastAsia" w:cs="Times New Roman"/>
                      <w:color w:val="auto"/>
                      <w:sz w:val="21"/>
                      <w:szCs w:val="21"/>
                      <w:lang w:val="en-US" w:eastAsia="zh-CN"/>
                    </w:rPr>
                    <w:t>40</w:t>
                  </w:r>
                  <w:r>
                    <w:rPr>
                      <w:rFonts w:hint="eastAsia"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rPr>
                    <w:t>万k·Wh/a</w:t>
                  </w:r>
                </w:p>
              </w:tc>
              <w:tc>
                <w:tcPr>
                  <w:tcW w:w="2457" w:type="dxa"/>
                  <w:noWrap w:val="0"/>
                  <w:vAlign w:val="center"/>
                </w:tcPr>
                <w:p w14:paraId="241C6646">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市政电网供给</w:t>
                  </w:r>
                </w:p>
              </w:tc>
            </w:tr>
            <w:tr w14:paraId="6E8A3F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43" w:type="dxa"/>
                  <w:vMerge w:val="restart"/>
                  <w:noWrap w:val="0"/>
                  <w:vAlign w:val="center"/>
                </w:tcPr>
                <w:p w14:paraId="2BC5ADEA">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环保工程</w:t>
                  </w:r>
                </w:p>
              </w:tc>
              <w:tc>
                <w:tcPr>
                  <w:tcW w:w="544" w:type="dxa"/>
                  <w:vMerge w:val="restart"/>
                  <w:noWrap w:val="0"/>
                  <w:vAlign w:val="center"/>
                </w:tcPr>
                <w:p w14:paraId="17BC4B61">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废气处理</w:t>
                  </w:r>
                </w:p>
              </w:tc>
              <w:tc>
                <w:tcPr>
                  <w:tcW w:w="1705" w:type="dxa"/>
                  <w:noWrap w:val="0"/>
                  <w:vAlign w:val="center"/>
                </w:tcPr>
                <w:p w14:paraId="03D41170">
                  <w:pPr>
                    <w:adjustRightInd w:val="0"/>
                    <w:snapToGrid w:val="0"/>
                    <w:spacing w:line="240" w:lineRule="auto"/>
                    <w:ind w:firstLine="0" w:firstLineChars="0"/>
                    <w:jc w:val="center"/>
                    <w:rPr>
                      <w:rFonts w:hint="default"/>
                      <w:color w:val="auto"/>
                      <w:kern w:val="0"/>
                      <w:sz w:val="21"/>
                      <w:szCs w:val="20"/>
                      <w:lang w:val="en-US" w:eastAsia="zh-CN" w:bidi="ar-SA"/>
                    </w:rPr>
                  </w:pPr>
                  <w:r>
                    <w:rPr>
                      <w:rFonts w:hint="eastAsia"/>
                      <w:color w:val="auto"/>
                      <w:sz w:val="21"/>
                      <w:szCs w:val="21"/>
                      <w:lang w:val="en-US" w:eastAsia="zh-CN"/>
                    </w:rPr>
                    <w:t>灌装合胶、密封、合片、加热废气</w:t>
                  </w:r>
                </w:p>
              </w:tc>
              <w:tc>
                <w:tcPr>
                  <w:tcW w:w="2729" w:type="dxa"/>
                  <w:noWrap w:val="0"/>
                  <w:vAlign w:val="center"/>
                </w:tcPr>
                <w:p w14:paraId="3ED1A540">
                  <w:pPr>
                    <w:autoSpaceDE w:val="0"/>
                    <w:autoSpaceDN w:val="0"/>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color w:val="auto"/>
                      <w:sz w:val="21"/>
                      <w:szCs w:val="21"/>
                    </w:rPr>
                    <w:t>集气罩收集</w:t>
                  </w:r>
                  <w:r>
                    <w:rPr>
                      <w:color w:val="auto"/>
                      <w:sz w:val="21"/>
                      <w:szCs w:val="21"/>
                    </w:rPr>
                    <w:t>+</w:t>
                  </w:r>
                  <w:r>
                    <w:rPr>
                      <w:rFonts w:hint="eastAsia"/>
                      <w:color w:val="auto"/>
                      <w:sz w:val="21"/>
                      <w:szCs w:val="21"/>
                    </w:rPr>
                    <w:t>二级</w:t>
                  </w:r>
                  <w:r>
                    <w:rPr>
                      <w:color w:val="auto"/>
                      <w:sz w:val="21"/>
                      <w:szCs w:val="21"/>
                    </w:rPr>
                    <w:t>活性炭吸附装置+</w:t>
                  </w:r>
                  <w:r>
                    <w:rPr>
                      <w:rFonts w:hint="eastAsia"/>
                      <w:color w:val="auto"/>
                      <w:sz w:val="21"/>
                      <w:szCs w:val="21"/>
                    </w:rPr>
                    <w:t>15m高</w:t>
                  </w:r>
                  <w:r>
                    <w:rPr>
                      <w:color w:val="auto"/>
                      <w:sz w:val="21"/>
                      <w:szCs w:val="21"/>
                    </w:rPr>
                    <w:t>排气筒</w:t>
                  </w:r>
                  <w:r>
                    <w:rPr>
                      <w:rFonts w:hint="eastAsia"/>
                      <w:color w:val="auto"/>
                      <w:sz w:val="21"/>
                      <w:szCs w:val="21"/>
                    </w:rPr>
                    <w:t>DA00</w:t>
                  </w:r>
                  <w:r>
                    <w:rPr>
                      <w:rFonts w:hint="eastAsia"/>
                      <w:color w:val="auto"/>
                      <w:sz w:val="21"/>
                      <w:szCs w:val="21"/>
                      <w:lang w:val="en-US" w:eastAsia="zh-CN"/>
                    </w:rPr>
                    <w:t>1</w:t>
                  </w:r>
                </w:p>
              </w:tc>
              <w:tc>
                <w:tcPr>
                  <w:tcW w:w="2457" w:type="dxa"/>
                  <w:vMerge w:val="restart"/>
                  <w:noWrap w:val="0"/>
                  <w:vAlign w:val="center"/>
                </w:tcPr>
                <w:p w14:paraId="52AFF406">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达标排放</w:t>
                  </w:r>
                </w:p>
              </w:tc>
            </w:tr>
            <w:tr w14:paraId="56A8F1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43" w:type="dxa"/>
                  <w:vMerge w:val="continue"/>
                  <w:noWrap w:val="0"/>
                  <w:vAlign w:val="center"/>
                </w:tcPr>
                <w:p w14:paraId="3DD5ACBD">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4" w:type="dxa"/>
                  <w:vMerge w:val="continue"/>
                  <w:noWrap w:val="0"/>
                  <w:vAlign w:val="center"/>
                </w:tcPr>
                <w:p w14:paraId="34B5142F">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05" w:type="dxa"/>
                  <w:noWrap w:val="0"/>
                  <w:vAlign w:val="center"/>
                </w:tcPr>
                <w:p w14:paraId="3CF9630D">
                  <w:pPr>
                    <w:adjustRightInd w:val="0"/>
                    <w:snapToGrid w:val="0"/>
                    <w:spacing w:line="240" w:lineRule="auto"/>
                    <w:ind w:firstLine="0" w:firstLineChars="0"/>
                    <w:jc w:val="center"/>
                    <w:rPr>
                      <w:color w:val="auto"/>
                      <w:sz w:val="21"/>
                    </w:rPr>
                  </w:pPr>
                  <w:r>
                    <w:rPr>
                      <w:color w:val="auto"/>
                      <w:sz w:val="21"/>
                      <w:szCs w:val="21"/>
                    </w:rPr>
                    <w:t>车间无组织废气</w:t>
                  </w:r>
                </w:p>
              </w:tc>
              <w:tc>
                <w:tcPr>
                  <w:tcW w:w="2729" w:type="dxa"/>
                  <w:noWrap w:val="0"/>
                  <w:vAlign w:val="center"/>
                </w:tcPr>
                <w:p w14:paraId="52231F27">
                  <w:pPr>
                    <w:adjustRightInd w:val="0"/>
                    <w:snapToGrid w:val="0"/>
                    <w:spacing w:line="240" w:lineRule="auto"/>
                    <w:ind w:firstLine="0" w:firstLineChars="0"/>
                    <w:jc w:val="center"/>
                    <w:rPr>
                      <w:rFonts w:hint="default"/>
                      <w:b/>
                      <w:bCs w:val="0"/>
                      <w:color w:val="auto"/>
                      <w:lang w:val="en-US" w:eastAsia="zh-CN"/>
                    </w:rPr>
                  </w:pPr>
                  <w:r>
                    <w:rPr>
                      <w:rFonts w:hint="eastAsia"/>
                      <w:color w:val="auto"/>
                      <w:sz w:val="21"/>
                    </w:rPr>
                    <w:t>加强有组织收集效果，</w:t>
                  </w:r>
                  <w:r>
                    <w:rPr>
                      <w:color w:val="auto"/>
                      <w:sz w:val="21"/>
                    </w:rPr>
                    <w:t>车间强制排风系统</w:t>
                  </w:r>
                  <w:r>
                    <w:rPr>
                      <w:rFonts w:hint="eastAsia"/>
                      <w:color w:val="auto"/>
                      <w:sz w:val="21"/>
                    </w:rPr>
                    <w:t>、厂区加强绿化</w:t>
                  </w:r>
                </w:p>
              </w:tc>
              <w:tc>
                <w:tcPr>
                  <w:tcW w:w="2457" w:type="dxa"/>
                  <w:vMerge w:val="continue"/>
                  <w:noWrap w:val="0"/>
                  <w:vAlign w:val="center"/>
                </w:tcPr>
                <w:p w14:paraId="15C5C551">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r>
            <w:tr w14:paraId="5ECC76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820" w:hRule="atLeast"/>
                <w:jc w:val="center"/>
              </w:trPr>
              <w:tc>
                <w:tcPr>
                  <w:tcW w:w="543" w:type="dxa"/>
                  <w:vMerge w:val="continue"/>
                  <w:noWrap w:val="0"/>
                  <w:vAlign w:val="center"/>
                </w:tcPr>
                <w:p w14:paraId="14D7E123">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4" w:type="dxa"/>
                  <w:noWrap w:val="0"/>
                  <w:vAlign w:val="center"/>
                </w:tcPr>
                <w:p w14:paraId="0C5E4EF8">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废水处理</w:t>
                  </w:r>
                </w:p>
              </w:tc>
              <w:tc>
                <w:tcPr>
                  <w:tcW w:w="1705" w:type="dxa"/>
                  <w:noWrap w:val="0"/>
                  <w:vAlign w:val="center"/>
                </w:tcPr>
                <w:p w14:paraId="7F6ADE5C">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废水处理</w:t>
                  </w:r>
                </w:p>
              </w:tc>
              <w:tc>
                <w:tcPr>
                  <w:tcW w:w="2729" w:type="dxa"/>
                  <w:noWrap w:val="0"/>
                  <w:vAlign w:val="center"/>
                </w:tcPr>
                <w:p w14:paraId="14CB593D">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化粪池</w:t>
                  </w:r>
                </w:p>
              </w:tc>
              <w:tc>
                <w:tcPr>
                  <w:tcW w:w="2457" w:type="dxa"/>
                  <w:noWrap w:val="0"/>
                  <w:vAlign w:val="center"/>
                </w:tcPr>
                <w:p w14:paraId="03510F5C">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lang w:val="en-US"/>
                    </w:rPr>
                  </w:pPr>
                  <w:r>
                    <w:rPr>
                      <w:rFonts w:hint="eastAsia" w:cs="Times New Roman"/>
                      <w:color w:val="auto"/>
                      <w:sz w:val="21"/>
                      <w:szCs w:val="21"/>
                      <w:lang w:val="en-US" w:eastAsia="zh-CN"/>
                    </w:rPr>
                    <w:t>接管至涟水经济开发区西区污水处理厂</w:t>
                  </w:r>
                </w:p>
              </w:tc>
            </w:tr>
            <w:tr w14:paraId="54A160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43" w:type="dxa"/>
                  <w:vMerge w:val="continue"/>
                  <w:noWrap w:val="0"/>
                  <w:vAlign w:val="center"/>
                </w:tcPr>
                <w:p w14:paraId="6F424F74">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4" w:type="dxa"/>
                  <w:noWrap w:val="0"/>
                  <w:vAlign w:val="center"/>
                </w:tcPr>
                <w:p w14:paraId="7B1024E1">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噪声处理</w:t>
                  </w:r>
                </w:p>
              </w:tc>
              <w:tc>
                <w:tcPr>
                  <w:tcW w:w="4434" w:type="dxa"/>
                  <w:gridSpan w:val="2"/>
                  <w:noWrap w:val="0"/>
                  <w:vAlign w:val="center"/>
                </w:tcPr>
                <w:p w14:paraId="00014396">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rPr>
                  </w:pPr>
                  <w:r>
                    <w:rPr>
                      <w:rFonts w:hint="eastAsia"/>
                      <w:color w:val="auto"/>
                      <w:sz w:val="21"/>
                    </w:rPr>
                    <w:t>采用低噪设备、吸声罩、减震垫、隔声门窗等消声、降噪措施</w:t>
                  </w:r>
                </w:p>
              </w:tc>
              <w:tc>
                <w:tcPr>
                  <w:tcW w:w="2457" w:type="dxa"/>
                  <w:noWrap w:val="0"/>
                  <w:vAlign w:val="center"/>
                </w:tcPr>
                <w:p w14:paraId="46B34AC9">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厂界达标</w:t>
                  </w:r>
                </w:p>
              </w:tc>
            </w:tr>
            <w:tr w14:paraId="242A1D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43" w:type="dxa"/>
                  <w:vMerge w:val="continue"/>
                  <w:noWrap w:val="0"/>
                  <w:vAlign w:val="center"/>
                </w:tcPr>
                <w:p w14:paraId="484BEAD7">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4" w:type="dxa"/>
                  <w:vMerge w:val="restart"/>
                  <w:noWrap w:val="0"/>
                  <w:vAlign w:val="center"/>
                </w:tcPr>
                <w:p w14:paraId="03362BDC">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固废处理</w:t>
                  </w:r>
                </w:p>
              </w:tc>
              <w:tc>
                <w:tcPr>
                  <w:tcW w:w="1705" w:type="dxa"/>
                  <w:noWrap w:val="0"/>
                  <w:vAlign w:val="center"/>
                </w:tcPr>
                <w:p w14:paraId="4C714825">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eastAsia="zh-CN"/>
                    </w:rPr>
                  </w:pPr>
                  <w:r>
                    <w:rPr>
                      <w:rFonts w:hint="eastAsia"/>
                      <w:color w:val="auto"/>
                      <w:sz w:val="21"/>
                      <w:lang w:val="en-US" w:eastAsia="zh-CN"/>
                    </w:rPr>
                    <w:t>一般固废库</w:t>
                  </w:r>
                </w:p>
              </w:tc>
              <w:tc>
                <w:tcPr>
                  <w:tcW w:w="2729" w:type="dxa"/>
                  <w:noWrap w:val="0"/>
                  <w:vAlign w:val="center"/>
                </w:tcPr>
                <w:p w14:paraId="5B7D0D8C">
                  <w:pPr>
                    <w:adjustRightInd w:val="0"/>
                    <w:snapToGrid w:val="0"/>
                    <w:spacing w:line="240" w:lineRule="auto"/>
                    <w:ind w:firstLine="0" w:firstLineChars="0"/>
                    <w:jc w:val="center"/>
                    <w:rPr>
                      <w:rFonts w:hint="eastAsia" w:ascii="Times New Roman" w:hAnsi="Times New Roman" w:eastAsia="宋体" w:cs="Times New Roman"/>
                      <w:color w:val="auto"/>
                      <w:sz w:val="21"/>
                    </w:rPr>
                  </w:pPr>
                  <w:r>
                    <w:rPr>
                      <w:rFonts w:hint="eastAsia"/>
                      <w:color w:val="auto"/>
                      <w:sz w:val="21"/>
                      <w:szCs w:val="21"/>
                      <w:lang w:val="en-US" w:eastAsia="zh-CN"/>
                    </w:rPr>
                    <w:t>成品区西北侧</w:t>
                  </w:r>
                  <w:r>
                    <w:rPr>
                      <w:color w:val="auto"/>
                      <w:sz w:val="21"/>
                      <w:szCs w:val="21"/>
                    </w:rPr>
                    <w:t>设置</w:t>
                  </w:r>
                  <w:r>
                    <w:rPr>
                      <w:rFonts w:hint="eastAsia"/>
                      <w:color w:val="auto"/>
                      <w:sz w:val="21"/>
                      <w:szCs w:val="21"/>
                    </w:rPr>
                    <w:t>一般固废仓库</w:t>
                  </w:r>
                  <w:r>
                    <w:rPr>
                      <w:color w:val="auto"/>
                      <w:sz w:val="21"/>
                      <w:szCs w:val="21"/>
                    </w:rPr>
                    <w:t>，面积约</w:t>
                  </w:r>
                  <w:r>
                    <w:rPr>
                      <w:rFonts w:hint="eastAsia"/>
                      <w:color w:val="auto"/>
                      <w:sz w:val="21"/>
                      <w:szCs w:val="21"/>
                      <w:lang w:val="en-US" w:eastAsia="zh-CN"/>
                    </w:rPr>
                    <w:t>60</w:t>
                  </w:r>
                  <w:r>
                    <w:rPr>
                      <w:color w:val="auto"/>
                      <w:sz w:val="21"/>
                      <w:szCs w:val="21"/>
                    </w:rPr>
                    <w:t>m</w:t>
                  </w:r>
                  <w:r>
                    <w:rPr>
                      <w:color w:val="auto"/>
                      <w:sz w:val="21"/>
                      <w:szCs w:val="21"/>
                      <w:vertAlign w:val="superscript"/>
                    </w:rPr>
                    <w:t>2</w:t>
                  </w:r>
                </w:p>
              </w:tc>
              <w:tc>
                <w:tcPr>
                  <w:tcW w:w="2457" w:type="dxa"/>
                  <w:vMerge w:val="restart"/>
                  <w:noWrap w:val="0"/>
                  <w:vAlign w:val="center"/>
                </w:tcPr>
                <w:p w14:paraId="42B0EF02">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零排放</w:t>
                  </w:r>
                </w:p>
              </w:tc>
            </w:tr>
            <w:tr w14:paraId="2B8B39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43" w:type="dxa"/>
                  <w:vMerge w:val="continue"/>
                  <w:noWrap w:val="0"/>
                  <w:vAlign w:val="center"/>
                </w:tcPr>
                <w:p w14:paraId="5EE83690">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4" w:type="dxa"/>
                  <w:vMerge w:val="continue"/>
                  <w:noWrap w:val="0"/>
                  <w:vAlign w:val="center"/>
                </w:tcPr>
                <w:p w14:paraId="44560D9E">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05" w:type="dxa"/>
                  <w:noWrap w:val="0"/>
                  <w:vAlign w:val="center"/>
                </w:tcPr>
                <w:p w14:paraId="7CBDC274">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危废暂存间</w:t>
                  </w:r>
                </w:p>
              </w:tc>
              <w:tc>
                <w:tcPr>
                  <w:tcW w:w="2729" w:type="dxa"/>
                  <w:noWrap w:val="0"/>
                  <w:vAlign w:val="center"/>
                </w:tcPr>
                <w:p w14:paraId="70340200">
                  <w:pPr>
                    <w:adjustRightInd w:val="0"/>
                    <w:snapToGrid w:val="0"/>
                    <w:spacing w:line="240" w:lineRule="auto"/>
                    <w:ind w:firstLine="0" w:firstLineChars="0"/>
                    <w:jc w:val="center"/>
                    <w:rPr>
                      <w:rFonts w:hint="eastAsia" w:eastAsia="宋体"/>
                      <w:color w:val="auto"/>
                      <w:lang w:val="en-US" w:eastAsia="zh-CN"/>
                    </w:rPr>
                  </w:pPr>
                  <w:r>
                    <w:rPr>
                      <w:rFonts w:hint="eastAsia"/>
                      <w:color w:val="auto"/>
                      <w:sz w:val="21"/>
                      <w:szCs w:val="21"/>
                      <w:lang w:val="en-US" w:eastAsia="zh-CN"/>
                    </w:rPr>
                    <w:t>成品区东南侧</w:t>
                  </w:r>
                  <w:r>
                    <w:rPr>
                      <w:color w:val="auto"/>
                      <w:sz w:val="21"/>
                      <w:szCs w:val="21"/>
                    </w:rPr>
                    <w:t>设置</w:t>
                  </w:r>
                  <w:r>
                    <w:rPr>
                      <w:rFonts w:hint="eastAsia"/>
                      <w:color w:val="auto"/>
                      <w:sz w:val="21"/>
                      <w:szCs w:val="21"/>
                      <w:lang w:eastAsia="zh-CN"/>
                    </w:rPr>
                    <w:t>危废暂存间</w:t>
                  </w:r>
                  <w:r>
                    <w:rPr>
                      <w:color w:val="auto"/>
                      <w:sz w:val="21"/>
                      <w:szCs w:val="21"/>
                    </w:rPr>
                    <w:t>，面积约</w:t>
                  </w:r>
                  <w:r>
                    <w:rPr>
                      <w:rFonts w:hint="eastAsia"/>
                      <w:color w:val="auto"/>
                      <w:sz w:val="21"/>
                      <w:szCs w:val="21"/>
                      <w:lang w:val="en-US" w:eastAsia="zh-CN"/>
                    </w:rPr>
                    <w:t>20</w:t>
                  </w:r>
                  <w:r>
                    <w:rPr>
                      <w:color w:val="auto"/>
                      <w:sz w:val="21"/>
                      <w:szCs w:val="21"/>
                    </w:rPr>
                    <w:t>m</w:t>
                  </w:r>
                  <w:r>
                    <w:rPr>
                      <w:color w:val="auto"/>
                      <w:sz w:val="21"/>
                      <w:szCs w:val="21"/>
                      <w:vertAlign w:val="superscript"/>
                    </w:rPr>
                    <w:t>2</w:t>
                  </w:r>
                </w:p>
              </w:tc>
              <w:tc>
                <w:tcPr>
                  <w:tcW w:w="2457" w:type="dxa"/>
                  <w:vMerge w:val="continue"/>
                  <w:noWrap w:val="0"/>
                  <w:vAlign w:val="top"/>
                </w:tcPr>
                <w:p w14:paraId="34D0B5F0">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r>
            <w:tr w14:paraId="5A5697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43" w:type="dxa"/>
                  <w:vMerge w:val="continue"/>
                  <w:noWrap w:val="0"/>
                  <w:vAlign w:val="center"/>
                </w:tcPr>
                <w:p w14:paraId="4D8093D0">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4" w:type="dxa"/>
                  <w:vMerge w:val="continue"/>
                  <w:noWrap w:val="0"/>
                  <w:vAlign w:val="center"/>
                </w:tcPr>
                <w:p w14:paraId="7990C394">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05" w:type="dxa"/>
                  <w:noWrap w:val="0"/>
                  <w:vAlign w:val="center"/>
                </w:tcPr>
                <w:p w14:paraId="581F4CCF">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生活垃圾等</w:t>
                  </w:r>
                </w:p>
              </w:tc>
              <w:tc>
                <w:tcPr>
                  <w:tcW w:w="2729" w:type="dxa"/>
                  <w:noWrap w:val="0"/>
                  <w:vAlign w:val="center"/>
                </w:tcPr>
                <w:p w14:paraId="7057D4D5">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lang w:eastAsia="zh-CN"/>
                    </w:rPr>
                  </w:pPr>
                  <w:r>
                    <w:rPr>
                      <w:rFonts w:hint="eastAsia" w:ascii="Times New Roman" w:hAnsi="Times New Roman" w:eastAsia="宋体" w:cs="Times New Roman"/>
                      <w:color w:val="auto"/>
                      <w:sz w:val="21"/>
                    </w:rPr>
                    <w:t>生活垃圾</w:t>
                  </w:r>
                  <w:r>
                    <w:rPr>
                      <w:rFonts w:hint="eastAsia" w:cs="Times New Roman"/>
                      <w:color w:val="auto"/>
                      <w:sz w:val="21"/>
                      <w:lang w:val="en-US" w:eastAsia="zh-CN"/>
                    </w:rPr>
                    <w:t>收集桶</w:t>
                  </w:r>
                </w:p>
              </w:tc>
              <w:tc>
                <w:tcPr>
                  <w:tcW w:w="2457" w:type="dxa"/>
                  <w:vMerge w:val="continue"/>
                  <w:noWrap w:val="0"/>
                  <w:vAlign w:val="top"/>
                </w:tcPr>
                <w:p w14:paraId="0131F633">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r>
          </w:tbl>
          <w:p w14:paraId="33A884E4">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9、项目平面布置及周边关系</w:t>
            </w:r>
          </w:p>
          <w:p w14:paraId="0056BA4D">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color w:val="auto"/>
              </w:rPr>
              <w:t>平面布置：本项目</w:t>
            </w:r>
            <w:r>
              <w:rPr>
                <w:rFonts w:hint="eastAsia"/>
                <w:color w:val="auto"/>
              </w:rPr>
              <w:t>拟</w:t>
            </w:r>
            <w:r>
              <w:rPr>
                <w:rFonts w:hint="eastAsia"/>
                <w:color w:val="auto"/>
                <w:lang w:val="en-US" w:eastAsia="zh-CN"/>
              </w:rPr>
              <w:t>租赁</w:t>
            </w:r>
            <w:r>
              <w:rPr>
                <w:color w:val="auto"/>
              </w:rPr>
              <w:t>涟水县</w:t>
            </w:r>
            <w:r>
              <w:rPr>
                <w:rFonts w:hint="eastAsia"/>
                <w:color w:val="auto"/>
                <w:lang w:val="en-US" w:eastAsia="zh-CN"/>
              </w:rPr>
              <w:t>经济开发区淮浦北路东侧、兴隆路南侧空置厂房，建筑面积约6451m</w:t>
            </w:r>
            <w:r>
              <w:rPr>
                <w:rFonts w:hint="eastAsia"/>
                <w:color w:val="auto"/>
                <w:vertAlign w:val="superscript"/>
                <w:lang w:val="en-US" w:eastAsia="zh-CN"/>
              </w:rPr>
              <w:t>2</w:t>
            </w:r>
            <w:r>
              <w:rPr>
                <w:rFonts w:hint="eastAsia"/>
                <w:color w:val="auto"/>
                <w:lang w:val="en-US" w:eastAsia="zh-CN"/>
              </w:rPr>
              <w:t>，</w:t>
            </w:r>
            <w:r>
              <w:rPr>
                <w:rFonts w:hint="eastAsia"/>
                <w:color w:val="auto"/>
              </w:rPr>
              <w:t>占地面积为</w:t>
            </w:r>
            <w:r>
              <w:rPr>
                <w:rFonts w:hint="eastAsia"/>
                <w:color w:val="auto"/>
                <w:lang w:val="en-US" w:eastAsia="zh-CN"/>
              </w:rPr>
              <w:t>7000</w:t>
            </w:r>
            <w:r>
              <w:rPr>
                <w:rFonts w:hint="eastAsia"/>
                <w:color w:val="auto"/>
              </w:rPr>
              <w:t>m</w:t>
            </w:r>
            <w:r>
              <w:rPr>
                <w:rFonts w:hint="eastAsia"/>
                <w:color w:val="auto"/>
                <w:vertAlign w:val="superscript"/>
              </w:rPr>
              <w:t>2</w:t>
            </w:r>
            <w:r>
              <w:rPr>
                <w:rFonts w:hint="eastAsia"/>
                <w:color w:val="auto"/>
                <w:lang w:eastAsia="zh-CN"/>
              </w:rPr>
              <w:t>。</w:t>
            </w:r>
            <w:r>
              <w:rPr>
                <w:rFonts w:hint="eastAsia"/>
                <w:color w:val="auto"/>
                <w:lang w:val="en-US" w:eastAsia="zh-CN"/>
              </w:rPr>
              <w:t>厂房从西向东分别设置为生产区、原料区，最东侧从南向北分别设置成品区、组装区、办公区，一般固废库设置在成品区西北侧、危废暂存间设置在成品区东南侧，均单独设置。</w:t>
            </w:r>
            <w:r>
              <w:rPr>
                <w:color w:val="auto"/>
              </w:rPr>
              <w:t>本项目平面布置图详见附图</w:t>
            </w:r>
            <w:r>
              <w:rPr>
                <w:rFonts w:hint="eastAsia"/>
                <w:color w:val="auto"/>
                <w:lang w:val="en-US" w:eastAsia="zh-CN"/>
              </w:rPr>
              <w:t>5</w:t>
            </w:r>
            <w:r>
              <w:rPr>
                <w:color w:val="auto"/>
              </w:rPr>
              <w:t>。</w:t>
            </w:r>
          </w:p>
          <w:p w14:paraId="15EA7DC7">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color w:val="auto"/>
              </w:rPr>
              <w:t>周边关系：</w:t>
            </w:r>
            <w:r>
              <w:rPr>
                <w:rFonts w:hint="eastAsia"/>
                <w:color w:val="auto"/>
              </w:rPr>
              <w:t>本</w:t>
            </w:r>
            <w:r>
              <w:rPr>
                <w:color w:val="auto"/>
              </w:rPr>
              <w:t>项目东侧</w:t>
            </w:r>
            <w:r>
              <w:rPr>
                <w:rFonts w:hint="eastAsia"/>
                <w:color w:val="auto"/>
              </w:rPr>
              <w:t>为</w:t>
            </w:r>
            <w:r>
              <w:rPr>
                <w:rFonts w:hint="eastAsia"/>
                <w:color w:val="auto"/>
                <w:lang w:val="en-US" w:eastAsia="zh-CN"/>
              </w:rPr>
              <w:t>江苏森博换热设备有限公司</w:t>
            </w:r>
            <w:r>
              <w:rPr>
                <w:rFonts w:hint="eastAsia"/>
                <w:color w:val="auto"/>
              </w:rPr>
              <w:t>；</w:t>
            </w:r>
            <w:r>
              <w:rPr>
                <w:rFonts w:hint="eastAsia" w:ascii="Times New Roman" w:hAnsi="Times New Roman" w:eastAsia="宋体" w:cs="Times New Roman"/>
                <w:color w:val="auto"/>
              </w:rPr>
              <w:t>西侧为</w:t>
            </w:r>
            <w:r>
              <w:rPr>
                <w:rFonts w:hint="eastAsia" w:cs="Times New Roman"/>
                <w:color w:val="auto"/>
                <w:lang w:val="en-US" w:eastAsia="zh-CN"/>
              </w:rPr>
              <w:t>淮浦北路</w:t>
            </w:r>
            <w:r>
              <w:rPr>
                <w:rFonts w:hint="eastAsia" w:ascii="Times New Roman" w:hAnsi="Times New Roman" w:eastAsia="宋体" w:cs="Times New Roman"/>
                <w:color w:val="auto"/>
              </w:rPr>
              <w:t>；</w:t>
            </w:r>
            <w:r>
              <w:rPr>
                <w:rFonts w:hint="eastAsia"/>
                <w:color w:val="auto"/>
              </w:rPr>
              <w:t>南</w:t>
            </w:r>
            <w:r>
              <w:rPr>
                <w:color w:val="auto"/>
              </w:rPr>
              <w:t>侧为</w:t>
            </w:r>
            <w:r>
              <w:rPr>
                <w:rFonts w:hint="eastAsia"/>
                <w:color w:val="auto"/>
                <w:lang w:val="en-US" w:eastAsia="zh-CN"/>
              </w:rPr>
              <w:t>淮安亿涟机电科技有限公司</w:t>
            </w:r>
            <w:r>
              <w:rPr>
                <w:color w:val="auto"/>
              </w:rPr>
              <w:t>；</w:t>
            </w:r>
            <w:r>
              <w:rPr>
                <w:rFonts w:hint="eastAsia"/>
                <w:color w:val="auto"/>
              </w:rPr>
              <w:t>北侧为</w:t>
            </w:r>
            <w:r>
              <w:rPr>
                <w:rFonts w:hint="eastAsia"/>
                <w:color w:val="auto"/>
                <w:lang w:val="en-US" w:eastAsia="zh-CN"/>
              </w:rPr>
              <w:t>江苏友丰机械制造有限公司厂房</w:t>
            </w:r>
            <w:r>
              <w:rPr>
                <w:color w:val="auto"/>
              </w:rPr>
              <w:t>。本项目周边环境状况图详见附图</w:t>
            </w:r>
            <w:r>
              <w:rPr>
                <w:rFonts w:hint="eastAsia"/>
                <w:color w:val="auto"/>
                <w:lang w:val="en-US" w:eastAsia="zh-CN"/>
              </w:rPr>
              <w:t>6</w:t>
            </w:r>
            <w:r>
              <w:rPr>
                <w:color w:val="auto"/>
              </w:rPr>
              <w:t>。</w:t>
            </w:r>
          </w:p>
          <w:p w14:paraId="56D8EC19">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10、劳动制度及定员</w:t>
            </w:r>
          </w:p>
          <w:p w14:paraId="40EB9B7C">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color w:val="auto"/>
              </w:rPr>
              <w:t>项目劳动定员</w:t>
            </w:r>
            <w:r>
              <w:rPr>
                <w:rFonts w:hint="eastAsia"/>
                <w:color w:val="auto"/>
                <w:lang w:val="en-US" w:eastAsia="zh-CN"/>
              </w:rPr>
              <w:t>30</w:t>
            </w:r>
            <w:r>
              <w:rPr>
                <w:color w:val="auto"/>
              </w:rPr>
              <w:t>人，年运行</w:t>
            </w:r>
            <w:r>
              <w:rPr>
                <w:rFonts w:hint="eastAsia"/>
                <w:color w:val="auto"/>
                <w:lang w:val="en-US" w:eastAsia="zh-CN"/>
              </w:rPr>
              <w:t>300</w:t>
            </w:r>
            <w:r>
              <w:rPr>
                <w:color w:val="auto"/>
              </w:rPr>
              <w:t>天，</w:t>
            </w:r>
            <w:r>
              <w:rPr>
                <w:rFonts w:hint="eastAsia"/>
                <w:color w:val="auto"/>
              </w:rPr>
              <w:t>实行</w:t>
            </w:r>
            <w:r>
              <w:rPr>
                <w:rFonts w:hint="eastAsia"/>
                <w:color w:val="auto"/>
                <w:lang w:val="en-US" w:eastAsia="zh-CN"/>
              </w:rPr>
              <w:t>3</w:t>
            </w:r>
            <w:r>
              <w:rPr>
                <w:rFonts w:hint="eastAsia"/>
                <w:color w:val="auto"/>
              </w:rPr>
              <w:t>班工作制，每班</w:t>
            </w:r>
            <w:r>
              <w:rPr>
                <w:rFonts w:hint="eastAsia"/>
                <w:color w:val="auto"/>
                <w:lang w:val="en-US" w:eastAsia="zh-CN"/>
              </w:rPr>
              <w:t>8</w:t>
            </w:r>
            <w:r>
              <w:rPr>
                <w:rFonts w:hint="eastAsia"/>
                <w:color w:val="auto"/>
              </w:rPr>
              <w:t>小时</w:t>
            </w:r>
            <w:r>
              <w:rPr>
                <w:color w:val="auto"/>
              </w:rPr>
              <w:t>，年运行时间</w:t>
            </w:r>
            <w:r>
              <w:rPr>
                <w:rFonts w:hint="eastAsia"/>
                <w:color w:val="auto"/>
                <w:lang w:val="en-US" w:eastAsia="zh-CN"/>
              </w:rPr>
              <w:t>7200</w:t>
            </w:r>
            <w:r>
              <w:rPr>
                <w:color w:val="auto"/>
              </w:rPr>
              <w:t>小时</w:t>
            </w:r>
            <w:r>
              <w:rPr>
                <w:rFonts w:hint="eastAsia"/>
                <w:color w:val="auto"/>
              </w:rPr>
              <w:t>，</w:t>
            </w:r>
            <w:r>
              <w:rPr>
                <w:rFonts w:hint="eastAsia"/>
                <w:color w:val="auto"/>
                <w:lang w:val="en-US" w:eastAsia="zh-CN"/>
              </w:rPr>
              <w:t>本项目不提供食宿</w:t>
            </w:r>
            <w:r>
              <w:rPr>
                <w:rFonts w:hint="eastAsia"/>
                <w:color w:val="auto"/>
              </w:rPr>
              <w:t>。</w:t>
            </w:r>
          </w:p>
          <w:p w14:paraId="4705C0C5">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11、给排水及供电</w:t>
            </w:r>
          </w:p>
          <w:p w14:paraId="59074975">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imes New Roman" w:hAnsi="Times New Roman" w:eastAsia="宋体" w:cs="Times New Roman"/>
                <w:color w:val="auto"/>
              </w:rPr>
            </w:pPr>
            <w:r>
              <w:rPr>
                <w:color w:val="auto"/>
              </w:rPr>
              <w:t>给水：本项目用水由市政给水管网供给。</w:t>
            </w:r>
            <w:r>
              <w:rPr>
                <w:rFonts w:hint="eastAsia" w:ascii="Times New Roman" w:hAnsi="Times New Roman" w:eastAsia="宋体" w:cs="Times New Roman"/>
                <w:color w:val="auto"/>
                <w:lang w:val="en-US" w:eastAsia="zh-CN"/>
              </w:rPr>
              <w:t>新鲜</w:t>
            </w:r>
            <w:r>
              <w:rPr>
                <w:rFonts w:ascii="Times New Roman" w:hAnsi="Times New Roman" w:eastAsia="宋体" w:cs="Times New Roman"/>
                <w:color w:val="auto"/>
              </w:rPr>
              <w:t>用水量为</w:t>
            </w:r>
            <w:r>
              <w:rPr>
                <w:rFonts w:hint="eastAsia" w:cs="Times New Roman"/>
                <w:color w:val="auto"/>
                <w:lang w:val="en-US" w:eastAsia="zh-CN"/>
              </w:rPr>
              <w:t>634.2</w:t>
            </w:r>
            <w:r>
              <w:rPr>
                <w:rFonts w:hint="eastAsia" w:ascii="Times New Roman" w:hAnsi="Times New Roman" w:eastAsia="宋体"/>
                <w:color w:val="auto"/>
                <w:sz w:val="24"/>
                <w:lang w:val="en-US" w:eastAsia="zh-CN"/>
              </w:rPr>
              <w:t>m</w:t>
            </w:r>
            <w:r>
              <w:rPr>
                <w:rFonts w:hint="eastAsia" w:ascii="Times New Roman" w:hAnsi="Times New Roman" w:eastAsia="宋体"/>
                <w:color w:val="auto"/>
                <w:sz w:val="24"/>
                <w:vertAlign w:val="superscript"/>
                <w:lang w:val="en-US" w:eastAsia="zh-CN"/>
              </w:rPr>
              <w:t>3</w:t>
            </w:r>
            <w:r>
              <w:rPr>
                <w:rFonts w:hint="default" w:ascii="Times New Roman" w:hAnsi="Times New Roman" w:eastAsia="宋体"/>
                <w:color w:val="auto"/>
                <w:sz w:val="24"/>
                <w:lang w:val="en-US" w:eastAsia="zh-CN"/>
              </w:rPr>
              <w:t>/a</w:t>
            </w:r>
            <w:r>
              <w:rPr>
                <w:rFonts w:ascii="Times New Roman" w:hAnsi="Times New Roman" w:eastAsia="宋体" w:cs="Times New Roman"/>
                <w:color w:val="auto"/>
              </w:rPr>
              <w:t>。</w:t>
            </w:r>
          </w:p>
          <w:p w14:paraId="4242FE1C">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ascii="Times New Roman" w:hAnsi="Times New Roman" w:eastAsia="宋体" w:cs="Times New Roman"/>
                <w:color w:val="auto"/>
              </w:rPr>
              <w:t>排水：本项目</w:t>
            </w:r>
            <w:r>
              <w:rPr>
                <w:rFonts w:hint="eastAsia" w:ascii="Times New Roman" w:hAnsi="Times New Roman" w:eastAsia="宋体" w:cs="Times New Roman"/>
                <w:color w:val="auto"/>
                <w:lang w:val="en-US" w:eastAsia="zh-CN"/>
              </w:rPr>
              <w:t>生产废水主要为</w:t>
            </w:r>
            <w:r>
              <w:rPr>
                <w:rFonts w:hint="eastAsia" w:cs="Times New Roman"/>
                <w:color w:val="auto"/>
                <w:lang w:val="en-US" w:eastAsia="zh-CN"/>
              </w:rPr>
              <w:t>磨边、钻孔、清洗废水</w:t>
            </w:r>
            <w:r>
              <w:rPr>
                <w:rFonts w:hint="eastAsia" w:ascii="Times New Roman" w:hAnsi="Times New Roman" w:eastAsia="宋体" w:cs="Times New Roman"/>
                <w:color w:val="auto"/>
                <w:lang w:val="en-US" w:eastAsia="zh-CN"/>
              </w:rPr>
              <w:t>，磨边废水、钻孔废水经沉淀池沉淀后，上层清水循环回用至生产线；清洗废水经清洗机自带的水箱沉淀后，上层清水循环回用至生产线；</w:t>
            </w:r>
            <w:r>
              <w:rPr>
                <w:rFonts w:hint="eastAsia" w:cs="Times New Roman"/>
                <w:color w:val="auto"/>
                <w:lang w:val="en-US" w:eastAsia="zh-CN"/>
              </w:rPr>
              <w:t>定期补充损耗，</w:t>
            </w:r>
            <w:r>
              <w:rPr>
                <w:rFonts w:hint="eastAsia" w:ascii="Times New Roman" w:hAnsi="Times New Roman" w:eastAsia="宋体" w:cs="Times New Roman"/>
                <w:color w:val="auto"/>
                <w:lang w:val="en-US" w:eastAsia="zh-CN"/>
              </w:rPr>
              <w:t>不外排。生活污水</w:t>
            </w:r>
            <w:r>
              <w:rPr>
                <w:rFonts w:hint="eastAsia" w:cs="Times New Roman"/>
                <w:color w:val="auto"/>
                <w:lang w:val="en-US" w:eastAsia="zh-CN"/>
              </w:rPr>
              <w:t>经化粪池处理后接管至涟水经济开发区西区污水处理厂深度处理</w:t>
            </w:r>
            <w:r>
              <w:rPr>
                <w:rFonts w:hint="eastAsia" w:ascii="Times New Roman" w:hAnsi="Times New Roman" w:eastAsia="宋体" w:cs="Times New Roman"/>
                <w:color w:val="auto"/>
              </w:rPr>
              <w:t>。</w:t>
            </w:r>
          </w:p>
          <w:p w14:paraId="300A9851">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color w:val="auto"/>
              </w:rPr>
              <w:t>供电：本项目用电由市政电网供给，年用电量约</w:t>
            </w:r>
            <w:r>
              <w:rPr>
                <w:rFonts w:hint="eastAsia"/>
                <w:color w:val="auto"/>
                <w:lang w:val="en-US" w:eastAsia="zh-CN"/>
              </w:rPr>
              <w:t>400</w:t>
            </w:r>
            <w:r>
              <w:rPr>
                <w:color w:val="auto"/>
              </w:rPr>
              <w:t>万k·Wh。</w:t>
            </w:r>
          </w:p>
          <w:p w14:paraId="16539172">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12、主要生产设备</w:t>
            </w:r>
          </w:p>
          <w:p w14:paraId="5B4289A8">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根据生产工艺要求，项目配备的主要生产设备详见</w:t>
            </w:r>
            <w:r>
              <w:rPr>
                <w:rFonts w:hint="eastAsia"/>
                <w:color w:val="auto"/>
                <w:lang w:val="en-US" w:eastAsia="zh-CN"/>
              </w:rPr>
              <w:t>下表</w:t>
            </w:r>
            <w:r>
              <w:rPr>
                <w:rFonts w:hint="eastAsia"/>
                <w:color w:val="auto"/>
              </w:rPr>
              <w:t>。</w:t>
            </w:r>
          </w:p>
          <w:p w14:paraId="3E5E086E">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46EA877C">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42A776F8">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67A70F1E">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2EC466F9">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37A7E9B2">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07ADB5F8">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7C2CB8F7">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74ACBB42">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4444C297">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69A71036">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6CB3F95E">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0342C2F4">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4B26D725">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327AD8FF">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24B03EDC">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0D6C8323">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75AC6EAF">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02033990">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13E0692B">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12F2D76C">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3B011AE0">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41905F6F">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70F04D3F">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38D88C3B">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643C3D4E">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1DAE0A1C">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77CFC30B">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06B0A59D">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3ED1E098">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4A7D4F2E">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r>
              <w:rPr>
                <w:rFonts w:hint="eastAsia"/>
                <w:b/>
                <w:bCs/>
                <w:color w:val="auto"/>
                <w:sz w:val="21"/>
                <w:szCs w:val="21"/>
              </w:rPr>
              <w:t>表2-3</w:t>
            </w:r>
            <w:r>
              <w:rPr>
                <w:rFonts w:hint="eastAsia"/>
                <w:b/>
                <w:bCs/>
                <w:color w:val="auto"/>
                <w:sz w:val="21"/>
                <w:szCs w:val="21"/>
                <w:lang w:val="en-US" w:eastAsia="zh-CN"/>
              </w:rPr>
              <w:t xml:space="preserve">  </w:t>
            </w:r>
            <w:r>
              <w:rPr>
                <w:rFonts w:hint="eastAsia"/>
                <w:b/>
                <w:bCs/>
                <w:color w:val="auto"/>
                <w:sz w:val="21"/>
                <w:szCs w:val="21"/>
              </w:rPr>
              <w:t>项目主要生产设备表</w:t>
            </w:r>
          </w:p>
          <w:tbl>
            <w:tblPr>
              <w:tblStyle w:val="22"/>
              <w:tblW w:w="799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4"/>
              <w:gridCol w:w="741"/>
              <w:gridCol w:w="1558"/>
              <w:gridCol w:w="1223"/>
              <w:gridCol w:w="1207"/>
              <w:gridCol w:w="1242"/>
              <w:gridCol w:w="1422"/>
            </w:tblGrid>
            <w:tr w14:paraId="113F62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377" w:type="pct"/>
                  <w:vMerge w:val="restart"/>
                  <w:noWrap w:val="0"/>
                  <w:vAlign w:val="center"/>
                </w:tcPr>
                <w:p w14:paraId="7CF95CFB">
                  <w:pPr>
                    <w:snapToGrid w:val="0"/>
                    <w:spacing w:line="280" w:lineRule="exact"/>
                    <w:jc w:val="center"/>
                    <w:rPr>
                      <w:color w:val="auto"/>
                    </w:rPr>
                  </w:pPr>
                  <w:r>
                    <w:rPr>
                      <w:color w:val="auto"/>
                    </w:rPr>
                    <w:t>序号</w:t>
                  </w:r>
                </w:p>
              </w:tc>
              <w:tc>
                <w:tcPr>
                  <w:tcW w:w="1437" w:type="pct"/>
                  <w:gridSpan w:val="2"/>
                  <w:vMerge w:val="restart"/>
                  <w:noWrap w:val="0"/>
                  <w:vAlign w:val="center"/>
                </w:tcPr>
                <w:p w14:paraId="0E5E80F1">
                  <w:pPr>
                    <w:snapToGrid w:val="0"/>
                    <w:spacing w:line="280" w:lineRule="exact"/>
                    <w:jc w:val="center"/>
                    <w:rPr>
                      <w:color w:val="auto"/>
                    </w:rPr>
                  </w:pPr>
                  <w:r>
                    <w:rPr>
                      <w:color w:val="auto"/>
                    </w:rPr>
                    <w:t>设备名称</w:t>
                  </w:r>
                </w:p>
              </w:tc>
              <w:tc>
                <w:tcPr>
                  <w:tcW w:w="764" w:type="pct"/>
                  <w:vMerge w:val="restart"/>
                  <w:noWrap w:val="0"/>
                  <w:vAlign w:val="center"/>
                </w:tcPr>
                <w:p w14:paraId="663CD0BF">
                  <w:pPr>
                    <w:snapToGrid w:val="0"/>
                    <w:spacing w:line="280" w:lineRule="exact"/>
                    <w:jc w:val="center"/>
                    <w:rPr>
                      <w:color w:val="auto"/>
                    </w:rPr>
                  </w:pPr>
                  <w:r>
                    <w:rPr>
                      <w:rFonts w:hint="eastAsia"/>
                      <w:color w:val="auto"/>
                    </w:rPr>
                    <w:t>规格型号</w:t>
                  </w:r>
                </w:p>
              </w:tc>
              <w:tc>
                <w:tcPr>
                  <w:tcW w:w="1531" w:type="pct"/>
                  <w:gridSpan w:val="2"/>
                  <w:noWrap w:val="0"/>
                  <w:vAlign w:val="center"/>
                </w:tcPr>
                <w:p w14:paraId="6AB879F8">
                  <w:pPr>
                    <w:snapToGrid w:val="0"/>
                    <w:spacing w:line="280" w:lineRule="exact"/>
                    <w:jc w:val="center"/>
                    <w:rPr>
                      <w:rFonts w:hint="eastAsia" w:eastAsia="宋体"/>
                      <w:color w:val="auto"/>
                      <w:lang w:eastAsia="zh-CN"/>
                    </w:rPr>
                  </w:pPr>
                  <w:r>
                    <w:rPr>
                      <w:color w:val="auto"/>
                    </w:rPr>
                    <w:t>数量</w:t>
                  </w:r>
                </w:p>
              </w:tc>
              <w:tc>
                <w:tcPr>
                  <w:tcW w:w="889" w:type="pct"/>
                  <w:vMerge w:val="restart"/>
                  <w:noWrap w:val="0"/>
                  <w:vAlign w:val="center"/>
                </w:tcPr>
                <w:p w14:paraId="2AD785B5">
                  <w:pPr>
                    <w:snapToGrid w:val="0"/>
                    <w:spacing w:line="280" w:lineRule="exact"/>
                    <w:jc w:val="center"/>
                    <w:rPr>
                      <w:rFonts w:hint="eastAsia" w:eastAsia="宋体"/>
                      <w:color w:val="auto"/>
                      <w:lang w:val="en-US" w:eastAsia="zh-CN"/>
                    </w:rPr>
                  </w:pPr>
                  <w:r>
                    <w:rPr>
                      <w:rFonts w:hint="eastAsia"/>
                      <w:color w:val="auto"/>
                      <w:lang w:val="en-US" w:eastAsia="zh-CN"/>
                    </w:rPr>
                    <w:t>变化情况</w:t>
                  </w:r>
                </w:p>
              </w:tc>
            </w:tr>
            <w:tr w14:paraId="333A64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377" w:type="pct"/>
                  <w:vMerge w:val="continue"/>
                  <w:noWrap w:val="0"/>
                  <w:vAlign w:val="center"/>
                </w:tcPr>
                <w:p w14:paraId="70638FF3">
                  <w:pPr>
                    <w:snapToGrid w:val="0"/>
                    <w:spacing w:line="280" w:lineRule="exact"/>
                    <w:jc w:val="center"/>
                    <w:rPr>
                      <w:color w:val="auto"/>
                    </w:rPr>
                  </w:pPr>
                </w:p>
              </w:tc>
              <w:tc>
                <w:tcPr>
                  <w:tcW w:w="1437" w:type="pct"/>
                  <w:gridSpan w:val="2"/>
                  <w:vMerge w:val="continue"/>
                  <w:noWrap w:val="0"/>
                  <w:vAlign w:val="center"/>
                </w:tcPr>
                <w:p w14:paraId="00AE108F">
                  <w:pPr>
                    <w:snapToGrid w:val="0"/>
                    <w:spacing w:line="280" w:lineRule="exact"/>
                    <w:jc w:val="center"/>
                    <w:rPr>
                      <w:color w:val="auto"/>
                    </w:rPr>
                  </w:pPr>
                </w:p>
              </w:tc>
              <w:tc>
                <w:tcPr>
                  <w:tcW w:w="764" w:type="pct"/>
                  <w:vMerge w:val="continue"/>
                  <w:noWrap w:val="0"/>
                  <w:vAlign w:val="center"/>
                </w:tcPr>
                <w:p w14:paraId="39CA5619">
                  <w:pPr>
                    <w:snapToGrid w:val="0"/>
                    <w:spacing w:line="280" w:lineRule="exact"/>
                    <w:jc w:val="center"/>
                    <w:rPr>
                      <w:rFonts w:hint="eastAsia"/>
                      <w:color w:val="auto"/>
                    </w:rPr>
                  </w:pPr>
                </w:p>
              </w:tc>
              <w:tc>
                <w:tcPr>
                  <w:tcW w:w="754" w:type="pct"/>
                  <w:noWrap w:val="0"/>
                  <w:vAlign w:val="center"/>
                </w:tcPr>
                <w:p w14:paraId="33456755">
                  <w:pPr>
                    <w:snapToGrid w:val="0"/>
                    <w:spacing w:line="280" w:lineRule="exact"/>
                    <w:jc w:val="center"/>
                    <w:rPr>
                      <w:rFonts w:hint="eastAsia" w:eastAsia="宋体"/>
                      <w:color w:val="auto"/>
                      <w:lang w:val="en-US" w:eastAsia="zh-CN"/>
                    </w:rPr>
                  </w:pPr>
                  <w:r>
                    <w:rPr>
                      <w:rFonts w:hint="eastAsia"/>
                      <w:color w:val="auto"/>
                      <w:lang w:val="en-US" w:eastAsia="zh-CN"/>
                    </w:rPr>
                    <w:t>迁建前</w:t>
                  </w:r>
                </w:p>
              </w:tc>
              <w:tc>
                <w:tcPr>
                  <w:tcW w:w="776" w:type="pct"/>
                  <w:noWrap w:val="0"/>
                  <w:vAlign w:val="center"/>
                </w:tcPr>
                <w:p w14:paraId="23E0BE3F">
                  <w:pPr>
                    <w:snapToGrid w:val="0"/>
                    <w:spacing w:line="280" w:lineRule="exact"/>
                    <w:jc w:val="center"/>
                    <w:rPr>
                      <w:rFonts w:hint="eastAsia" w:eastAsia="宋体"/>
                      <w:color w:val="auto"/>
                      <w:lang w:val="en-US" w:eastAsia="zh-CN"/>
                    </w:rPr>
                  </w:pPr>
                  <w:r>
                    <w:rPr>
                      <w:rFonts w:hint="eastAsia"/>
                      <w:color w:val="auto"/>
                      <w:lang w:val="en-US" w:eastAsia="zh-CN"/>
                    </w:rPr>
                    <w:t>迁建后</w:t>
                  </w:r>
                </w:p>
              </w:tc>
              <w:tc>
                <w:tcPr>
                  <w:tcW w:w="889" w:type="pct"/>
                  <w:vMerge w:val="continue"/>
                  <w:noWrap w:val="0"/>
                  <w:vAlign w:val="center"/>
                </w:tcPr>
                <w:p w14:paraId="135D529F">
                  <w:pPr>
                    <w:snapToGrid w:val="0"/>
                    <w:spacing w:line="280" w:lineRule="exact"/>
                    <w:jc w:val="center"/>
                    <w:rPr>
                      <w:rFonts w:hint="eastAsia"/>
                      <w:color w:val="auto"/>
                    </w:rPr>
                  </w:pPr>
                </w:p>
              </w:tc>
            </w:tr>
            <w:tr w14:paraId="3F0935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377" w:type="pct"/>
                  <w:noWrap w:val="0"/>
                  <w:vAlign w:val="center"/>
                </w:tcPr>
                <w:p w14:paraId="01E7AE21">
                  <w:pPr>
                    <w:numPr>
                      <w:ilvl w:val="0"/>
                      <w:numId w:val="3"/>
                    </w:numPr>
                    <w:snapToGrid w:val="0"/>
                    <w:spacing w:line="280" w:lineRule="exact"/>
                    <w:ind w:left="0" w:leftChars="0" w:firstLine="0" w:firstLineChars="0"/>
                    <w:jc w:val="center"/>
                    <w:rPr>
                      <w:color w:val="auto"/>
                    </w:rPr>
                  </w:pPr>
                </w:p>
              </w:tc>
              <w:tc>
                <w:tcPr>
                  <w:tcW w:w="1437" w:type="pct"/>
                  <w:gridSpan w:val="2"/>
                  <w:shd w:val="clear" w:color="auto" w:fill="auto"/>
                  <w:noWrap w:val="0"/>
                  <w:vAlign w:val="center"/>
                </w:tcPr>
                <w:p w14:paraId="7C9D9348">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自动切片机</w:t>
                  </w:r>
                </w:p>
              </w:tc>
              <w:tc>
                <w:tcPr>
                  <w:tcW w:w="764" w:type="pct"/>
                  <w:shd w:val="clear" w:color="auto" w:fill="auto"/>
                  <w:noWrap w:val="0"/>
                  <w:vAlign w:val="center"/>
                </w:tcPr>
                <w:p w14:paraId="61C43030">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非标</w:t>
                  </w:r>
                </w:p>
              </w:tc>
              <w:tc>
                <w:tcPr>
                  <w:tcW w:w="754" w:type="pct"/>
                  <w:shd w:val="clear" w:color="auto" w:fill="auto"/>
                  <w:noWrap w:val="0"/>
                  <w:vAlign w:val="center"/>
                </w:tcPr>
                <w:p w14:paraId="4759AB78">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1台</w:t>
                  </w:r>
                </w:p>
              </w:tc>
              <w:tc>
                <w:tcPr>
                  <w:tcW w:w="776" w:type="pct"/>
                  <w:shd w:val="clear" w:color="auto" w:fill="auto"/>
                  <w:noWrap w:val="0"/>
                  <w:vAlign w:val="center"/>
                </w:tcPr>
                <w:p w14:paraId="58FDAAF4">
                  <w:pPr>
                    <w:spacing w:line="28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1台</w:t>
                  </w:r>
                </w:p>
              </w:tc>
              <w:tc>
                <w:tcPr>
                  <w:tcW w:w="889" w:type="pct"/>
                  <w:shd w:val="clear" w:color="auto" w:fill="auto"/>
                  <w:noWrap w:val="0"/>
                  <w:vAlign w:val="center"/>
                </w:tcPr>
                <w:p w14:paraId="2464A36A">
                  <w:pPr>
                    <w:spacing w:line="280" w:lineRule="exact"/>
                    <w:jc w:val="center"/>
                    <w:rPr>
                      <w:rFonts w:hint="default"/>
                      <w:color w:val="auto"/>
                      <w:szCs w:val="21"/>
                      <w:lang w:val="en-US" w:eastAsia="zh-CN"/>
                    </w:rPr>
                  </w:pPr>
                  <w:r>
                    <w:rPr>
                      <w:rFonts w:hint="eastAsia"/>
                      <w:color w:val="auto"/>
                      <w:szCs w:val="21"/>
                      <w:lang w:val="en-US" w:eastAsia="zh-CN"/>
                    </w:rPr>
                    <w:t>无变化</w:t>
                  </w:r>
                </w:p>
              </w:tc>
            </w:tr>
            <w:tr w14:paraId="764FCC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377" w:type="pct"/>
                  <w:noWrap w:val="0"/>
                  <w:vAlign w:val="center"/>
                </w:tcPr>
                <w:p w14:paraId="04D55D85">
                  <w:pPr>
                    <w:numPr>
                      <w:ilvl w:val="0"/>
                      <w:numId w:val="3"/>
                    </w:numPr>
                    <w:snapToGrid w:val="0"/>
                    <w:spacing w:line="280" w:lineRule="exact"/>
                    <w:ind w:left="0" w:leftChars="0" w:firstLine="0" w:firstLineChars="0"/>
                    <w:jc w:val="center"/>
                    <w:rPr>
                      <w:color w:val="auto"/>
                    </w:rPr>
                  </w:pPr>
                </w:p>
              </w:tc>
              <w:tc>
                <w:tcPr>
                  <w:tcW w:w="1437" w:type="pct"/>
                  <w:gridSpan w:val="2"/>
                  <w:shd w:val="clear" w:color="auto" w:fill="auto"/>
                  <w:noWrap w:val="0"/>
                  <w:vAlign w:val="center"/>
                </w:tcPr>
                <w:p w14:paraId="690997D4">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半自动切片机</w:t>
                  </w:r>
                </w:p>
              </w:tc>
              <w:tc>
                <w:tcPr>
                  <w:tcW w:w="764" w:type="pct"/>
                  <w:shd w:val="clear" w:color="auto" w:fill="auto"/>
                  <w:noWrap w:val="0"/>
                  <w:vAlign w:val="center"/>
                </w:tcPr>
                <w:p w14:paraId="2995D922">
                  <w:pPr>
                    <w:jc w:val="center"/>
                    <w:rPr>
                      <w:rFonts w:hint="default"/>
                      <w:color w:val="auto"/>
                      <w:szCs w:val="21"/>
                      <w:lang w:val="en-US" w:eastAsia="zh-CN"/>
                    </w:rPr>
                  </w:pPr>
                  <w:r>
                    <w:rPr>
                      <w:rFonts w:hint="eastAsia"/>
                      <w:color w:val="auto"/>
                      <w:szCs w:val="21"/>
                      <w:lang w:val="en-US" w:eastAsia="zh-CN"/>
                    </w:rPr>
                    <w:t>非标</w:t>
                  </w:r>
                </w:p>
              </w:tc>
              <w:tc>
                <w:tcPr>
                  <w:tcW w:w="754" w:type="pct"/>
                  <w:shd w:val="clear" w:color="auto" w:fill="auto"/>
                  <w:noWrap w:val="0"/>
                  <w:vAlign w:val="center"/>
                </w:tcPr>
                <w:p w14:paraId="4E2F15AE">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0台</w:t>
                  </w:r>
                </w:p>
              </w:tc>
              <w:tc>
                <w:tcPr>
                  <w:tcW w:w="776" w:type="pct"/>
                  <w:shd w:val="clear" w:color="auto" w:fill="auto"/>
                  <w:noWrap w:val="0"/>
                  <w:vAlign w:val="center"/>
                </w:tcPr>
                <w:p w14:paraId="790033C9">
                  <w:pPr>
                    <w:spacing w:line="28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1台</w:t>
                  </w:r>
                </w:p>
              </w:tc>
              <w:tc>
                <w:tcPr>
                  <w:tcW w:w="889" w:type="pct"/>
                  <w:shd w:val="clear" w:color="auto" w:fill="auto"/>
                  <w:noWrap w:val="0"/>
                  <w:vAlign w:val="center"/>
                </w:tcPr>
                <w:p w14:paraId="5A874286">
                  <w:pPr>
                    <w:spacing w:line="280" w:lineRule="exact"/>
                    <w:jc w:val="center"/>
                    <w:rPr>
                      <w:rFonts w:hint="default"/>
                      <w:color w:val="auto"/>
                      <w:szCs w:val="21"/>
                      <w:lang w:val="en-US" w:eastAsia="zh-CN"/>
                    </w:rPr>
                  </w:pPr>
                  <w:r>
                    <w:rPr>
                      <w:rFonts w:hint="eastAsia"/>
                      <w:color w:val="auto"/>
                      <w:szCs w:val="21"/>
                      <w:lang w:val="en-US" w:eastAsia="zh-CN"/>
                    </w:rPr>
                    <w:t>+1台</w:t>
                  </w:r>
                </w:p>
              </w:tc>
            </w:tr>
            <w:tr w14:paraId="5F0AF8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377" w:type="pct"/>
                  <w:noWrap w:val="0"/>
                  <w:vAlign w:val="center"/>
                </w:tcPr>
                <w:p w14:paraId="322E3D94">
                  <w:pPr>
                    <w:numPr>
                      <w:ilvl w:val="0"/>
                      <w:numId w:val="3"/>
                    </w:numPr>
                    <w:snapToGrid w:val="0"/>
                    <w:spacing w:line="280" w:lineRule="exact"/>
                    <w:ind w:left="0" w:leftChars="0" w:firstLine="0" w:firstLineChars="0"/>
                    <w:jc w:val="center"/>
                    <w:rPr>
                      <w:color w:val="auto"/>
                    </w:rPr>
                  </w:pPr>
                </w:p>
              </w:tc>
              <w:tc>
                <w:tcPr>
                  <w:tcW w:w="1437" w:type="pct"/>
                  <w:gridSpan w:val="2"/>
                  <w:shd w:val="clear" w:color="auto" w:fill="auto"/>
                  <w:noWrap w:val="0"/>
                  <w:vAlign w:val="center"/>
                </w:tcPr>
                <w:p w14:paraId="6AE1FF94">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磨边机</w:t>
                  </w:r>
                </w:p>
              </w:tc>
              <w:tc>
                <w:tcPr>
                  <w:tcW w:w="764" w:type="pct"/>
                  <w:shd w:val="clear" w:color="auto" w:fill="auto"/>
                  <w:noWrap w:val="0"/>
                  <w:vAlign w:val="center"/>
                </w:tcPr>
                <w:p w14:paraId="48C2EF38">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两边磨</w:t>
                  </w:r>
                </w:p>
              </w:tc>
              <w:tc>
                <w:tcPr>
                  <w:tcW w:w="754" w:type="pct"/>
                  <w:shd w:val="clear" w:color="auto" w:fill="auto"/>
                  <w:noWrap w:val="0"/>
                  <w:vAlign w:val="center"/>
                </w:tcPr>
                <w:p w14:paraId="0CAD831A">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4台</w:t>
                  </w:r>
                </w:p>
              </w:tc>
              <w:tc>
                <w:tcPr>
                  <w:tcW w:w="776" w:type="pct"/>
                  <w:shd w:val="clear" w:color="auto" w:fill="auto"/>
                  <w:noWrap w:val="0"/>
                  <w:vAlign w:val="center"/>
                </w:tcPr>
                <w:p w14:paraId="4A72BB76">
                  <w:pPr>
                    <w:spacing w:line="28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4台</w:t>
                  </w:r>
                </w:p>
              </w:tc>
              <w:tc>
                <w:tcPr>
                  <w:tcW w:w="889" w:type="pct"/>
                  <w:shd w:val="clear" w:color="auto" w:fill="auto"/>
                  <w:noWrap w:val="0"/>
                  <w:vAlign w:val="center"/>
                </w:tcPr>
                <w:p w14:paraId="49FAC5BC">
                  <w:pPr>
                    <w:spacing w:line="280" w:lineRule="exact"/>
                    <w:jc w:val="center"/>
                    <w:rPr>
                      <w:rFonts w:hint="eastAsia" w:cs="Times New Roman"/>
                      <w:color w:val="auto"/>
                      <w:kern w:val="2"/>
                      <w:sz w:val="21"/>
                      <w:szCs w:val="21"/>
                      <w:lang w:val="en-US" w:eastAsia="zh-CN" w:bidi="ar-SA"/>
                    </w:rPr>
                  </w:pPr>
                  <w:r>
                    <w:rPr>
                      <w:rFonts w:hint="eastAsia"/>
                      <w:color w:val="auto"/>
                      <w:szCs w:val="21"/>
                      <w:lang w:val="en-US" w:eastAsia="zh-CN"/>
                    </w:rPr>
                    <w:t>无变化</w:t>
                  </w:r>
                </w:p>
              </w:tc>
            </w:tr>
            <w:tr w14:paraId="45AF36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377" w:type="pct"/>
                  <w:noWrap w:val="0"/>
                  <w:vAlign w:val="center"/>
                </w:tcPr>
                <w:p w14:paraId="446496F3">
                  <w:pPr>
                    <w:numPr>
                      <w:ilvl w:val="0"/>
                      <w:numId w:val="3"/>
                    </w:numPr>
                    <w:snapToGrid w:val="0"/>
                    <w:spacing w:line="280" w:lineRule="exact"/>
                    <w:ind w:left="0" w:leftChars="0" w:firstLine="0" w:firstLineChars="0"/>
                    <w:jc w:val="center"/>
                    <w:rPr>
                      <w:color w:val="auto"/>
                    </w:rPr>
                  </w:pPr>
                </w:p>
              </w:tc>
              <w:tc>
                <w:tcPr>
                  <w:tcW w:w="1437" w:type="pct"/>
                  <w:gridSpan w:val="2"/>
                  <w:shd w:val="clear" w:color="auto" w:fill="auto"/>
                  <w:noWrap w:val="0"/>
                  <w:vAlign w:val="center"/>
                </w:tcPr>
                <w:p w14:paraId="195C54A1">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磨边机</w:t>
                  </w:r>
                </w:p>
              </w:tc>
              <w:tc>
                <w:tcPr>
                  <w:tcW w:w="764" w:type="pct"/>
                  <w:shd w:val="clear" w:color="auto" w:fill="auto"/>
                  <w:noWrap w:val="0"/>
                  <w:vAlign w:val="center"/>
                </w:tcPr>
                <w:p w14:paraId="6C8F5EB0">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四边磨</w:t>
                  </w:r>
                </w:p>
              </w:tc>
              <w:tc>
                <w:tcPr>
                  <w:tcW w:w="754" w:type="pct"/>
                  <w:shd w:val="clear" w:color="auto" w:fill="auto"/>
                  <w:noWrap w:val="0"/>
                  <w:vAlign w:val="center"/>
                </w:tcPr>
                <w:p w14:paraId="0A918AFE">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1台</w:t>
                  </w:r>
                </w:p>
              </w:tc>
              <w:tc>
                <w:tcPr>
                  <w:tcW w:w="776" w:type="pct"/>
                  <w:shd w:val="clear" w:color="auto" w:fill="auto"/>
                  <w:noWrap w:val="0"/>
                  <w:vAlign w:val="center"/>
                </w:tcPr>
                <w:p w14:paraId="7FA07C55">
                  <w:pPr>
                    <w:spacing w:line="28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1台</w:t>
                  </w:r>
                </w:p>
              </w:tc>
              <w:tc>
                <w:tcPr>
                  <w:tcW w:w="889" w:type="pct"/>
                  <w:shd w:val="clear" w:color="auto" w:fill="auto"/>
                  <w:noWrap w:val="0"/>
                  <w:vAlign w:val="center"/>
                </w:tcPr>
                <w:p w14:paraId="1914138D">
                  <w:pPr>
                    <w:spacing w:line="280" w:lineRule="exact"/>
                    <w:jc w:val="center"/>
                    <w:rPr>
                      <w:rFonts w:hint="eastAsia"/>
                      <w:color w:val="auto"/>
                      <w:szCs w:val="21"/>
                      <w:lang w:val="en-US" w:eastAsia="zh-CN"/>
                    </w:rPr>
                  </w:pPr>
                  <w:r>
                    <w:rPr>
                      <w:rFonts w:hint="eastAsia"/>
                      <w:color w:val="auto"/>
                      <w:szCs w:val="21"/>
                      <w:lang w:val="en-US" w:eastAsia="zh-CN"/>
                    </w:rPr>
                    <w:t>无变化</w:t>
                  </w:r>
                </w:p>
              </w:tc>
            </w:tr>
            <w:tr w14:paraId="53B68F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377" w:type="pct"/>
                  <w:noWrap w:val="0"/>
                  <w:vAlign w:val="center"/>
                </w:tcPr>
                <w:p w14:paraId="27F0859F">
                  <w:pPr>
                    <w:numPr>
                      <w:ilvl w:val="0"/>
                      <w:numId w:val="3"/>
                    </w:numPr>
                    <w:snapToGrid w:val="0"/>
                    <w:spacing w:line="280" w:lineRule="exact"/>
                    <w:ind w:left="0" w:leftChars="0" w:firstLine="0" w:firstLineChars="0"/>
                    <w:jc w:val="center"/>
                    <w:rPr>
                      <w:color w:val="auto"/>
                    </w:rPr>
                  </w:pPr>
                </w:p>
              </w:tc>
              <w:tc>
                <w:tcPr>
                  <w:tcW w:w="1437" w:type="pct"/>
                  <w:gridSpan w:val="2"/>
                  <w:shd w:val="clear" w:color="auto" w:fill="auto"/>
                  <w:noWrap w:val="0"/>
                  <w:vAlign w:val="center"/>
                </w:tcPr>
                <w:p w14:paraId="7DF0AD05">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钻孔机</w:t>
                  </w:r>
                </w:p>
              </w:tc>
              <w:tc>
                <w:tcPr>
                  <w:tcW w:w="764" w:type="pct"/>
                  <w:shd w:val="clear" w:color="auto" w:fill="auto"/>
                  <w:noWrap w:val="0"/>
                  <w:vAlign w:val="center"/>
                </w:tcPr>
                <w:p w14:paraId="16060B91">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非标</w:t>
                  </w:r>
                </w:p>
              </w:tc>
              <w:tc>
                <w:tcPr>
                  <w:tcW w:w="754" w:type="pct"/>
                  <w:shd w:val="clear" w:color="auto" w:fill="auto"/>
                  <w:noWrap w:val="0"/>
                  <w:vAlign w:val="center"/>
                </w:tcPr>
                <w:p w14:paraId="5136F2AB">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1台</w:t>
                  </w:r>
                </w:p>
              </w:tc>
              <w:tc>
                <w:tcPr>
                  <w:tcW w:w="776" w:type="pct"/>
                  <w:shd w:val="clear" w:color="auto" w:fill="auto"/>
                  <w:noWrap w:val="0"/>
                  <w:vAlign w:val="center"/>
                </w:tcPr>
                <w:p w14:paraId="7187849F">
                  <w:pPr>
                    <w:spacing w:line="280" w:lineRule="exact"/>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1台</w:t>
                  </w:r>
                </w:p>
              </w:tc>
              <w:tc>
                <w:tcPr>
                  <w:tcW w:w="889" w:type="pct"/>
                  <w:shd w:val="clear" w:color="auto" w:fill="auto"/>
                  <w:noWrap w:val="0"/>
                  <w:vAlign w:val="center"/>
                </w:tcPr>
                <w:p w14:paraId="64541EF6">
                  <w:pPr>
                    <w:spacing w:line="280" w:lineRule="exact"/>
                    <w:jc w:val="center"/>
                    <w:rPr>
                      <w:rFonts w:hint="eastAsia"/>
                      <w:color w:val="auto"/>
                      <w:szCs w:val="21"/>
                      <w:lang w:val="en-US" w:eastAsia="zh-CN"/>
                    </w:rPr>
                  </w:pPr>
                  <w:r>
                    <w:rPr>
                      <w:rFonts w:hint="eastAsia"/>
                      <w:color w:val="auto"/>
                      <w:szCs w:val="21"/>
                      <w:lang w:val="en-US" w:eastAsia="zh-CN"/>
                    </w:rPr>
                    <w:t>无变化</w:t>
                  </w:r>
                </w:p>
              </w:tc>
            </w:tr>
            <w:tr w14:paraId="12F3DB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377" w:type="pct"/>
                  <w:noWrap w:val="0"/>
                  <w:vAlign w:val="center"/>
                </w:tcPr>
                <w:p w14:paraId="1232C29A">
                  <w:pPr>
                    <w:numPr>
                      <w:ilvl w:val="0"/>
                      <w:numId w:val="3"/>
                    </w:numPr>
                    <w:snapToGrid w:val="0"/>
                    <w:spacing w:line="280" w:lineRule="exact"/>
                    <w:ind w:left="0" w:leftChars="0" w:firstLine="0" w:firstLineChars="0"/>
                    <w:jc w:val="center"/>
                    <w:rPr>
                      <w:color w:val="auto"/>
                    </w:rPr>
                  </w:pPr>
                </w:p>
              </w:tc>
              <w:tc>
                <w:tcPr>
                  <w:tcW w:w="1437" w:type="pct"/>
                  <w:gridSpan w:val="2"/>
                  <w:shd w:val="clear" w:color="auto" w:fill="auto"/>
                  <w:noWrap w:val="0"/>
                  <w:vAlign w:val="center"/>
                </w:tcPr>
                <w:p w14:paraId="67969CD6">
                  <w:pPr>
                    <w:jc w:val="center"/>
                    <w:rPr>
                      <w:rFonts w:hint="eastAsia" w:cs="Times New Roman"/>
                      <w:color w:val="auto"/>
                      <w:kern w:val="2"/>
                      <w:sz w:val="21"/>
                      <w:szCs w:val="21"/>
                      <w:lang w:val="en-US" w:eastAsia="zh-CN" w:bidi="ar-SA"/>
                    </w:rPr>
                  </w:pPr>
                  <w:r>
                    <w:rPr>
                      <w:rFonts w:hint="eastAsia"/>
                      <w:color w:val="auto"/>
                      <w:szCs w:val="21"/>
                      <w:lang w:val="en-US" w:eastAsia="zh-CN"/>
                    </w:rPr>
                    <w:t>清洗机</w:t>
                  </w:r>
                </w:p>
              </w:tc>
              <w:tc>
                <w:tcPr>
                  <w:tcW w:w="764" w:type="pct"/>
                  <w:shd w:val="clear" w:color="auto" w:fill="auto"/>
                  <w:noWrap w:val="0"/>
                  <w:vAlign w:val="center"/>
                </w:tcPr>
                <w:p w14:paraId="6B7D0A4D">
                  <w:pPr>
                    <w:jc w:val="center"/>
                    <w:rPr>
                      <w:rFonts w:hint="eastAsia" w:cs="Times New Roman"/>
                      <w:color w:val="auto"/>
                      <w:kern w:val="2"/>
                      <w:sz w:val="21"/>
                      <w:szCs w:val="21"/>
                      <w:lang w:val="en-US" w:eastAsia="zh-CN" w:bidi="ar-SA"/>
                    </w:rPr>
                  </w:pPr>
                  <w:r>
                    <w:rPr>
                      <w:rFonts w:hint="eastAsia"/>
                      <w:color w:val="auto"/>
                      <w:szCs w:val="21"/>
                      <w:lang w:val="en-US" w:eastAsia="zh-CN"/>
                    </w:rPr>
                    <w:t>非标</w:t>
                  </w:r>
                </w:p>
              </w:tc>
              <w:tc>
                <w:tcPr>
                  <w:tcW w:w="754" w:type="pct"/>
                  <w:shd w:val="clear" w:color="auto" w:fill="auto"/>
                  <w:noWrap w:val="0"/>
                  <w:vAlign w:val="center"/>
                </w:tcPr>
                <w:p w14:paraId="46B6BCB8">
                  <w:pPr>
                    <w:jc w:val="center"/>
                    <w:rPr>
                      <w:rFonts w:hint="eastAsia" w:cs="Times New Roman"/>
                      <w:color w:val="auto"/>
                      <w:kern w:val="2"/>
                      <w:sz w:val="21"/>
                      <w:szCs w:val="21"/>
                      <w:lang w:val="en-US" w:eastAsia="zh-CN" w:bidi="ar-SA"/>
                    </w:rPr>
                  </w:pPr>
                  <w:r>
                    <w:rPr>
                      <w:rFonts w:hint="eastAsia"/>
                      <w:color w:val="auto"/>
                      <w:szCs w:val="21"/>
                      <w:lang w:val="en-US" w:eastAsia="zh-CN"/>
                    </w:rPr>
                    <w:t>3</w:t>
                  </w:r>
                  <w:r>
                    <w:rPr>
                      <w:rFonts w:hint="eastAsia" w:cs="Times New Roman"/>
                      <w:color w:val="auto"/>
                      <w:kern w:val="2"/>
                      <w:sz w:val="21"/>
                      <w:szCs w:val="21"/>
                      <w:lang w:val="en-US" w:eastAsia="zh-CN" w:bidi="ar-SA"/>
                    </w:rPr>
                    <w:t>台</w:t>
                  </w:r>
                </w:p>
              </w:tc>
              <w:tc>
                <w:tcPr>
                  <w:tcW w:w="776" w:type="pct"/>
                  <w:shd w:val="clear" w:color="auto" w:fill="auto"/>
                  <w:noWrap w:val="0"/>
                  <w:vAlign w:val="center"/>
                </w:tcPr>
                <w:p w14:paraId="209481E4">
                  <w:pPr>
                    <w:spacing w:line="280" w:lineRule="exact"/>
                    <w:jc w:val="center"/>
                    <w:rPr>
                      <w:rFonts w:hint="eastAsia" w:cs="Times New Roman"/>
                      <w:color w:val="auto"/>
                      <w:kern w:val="2"/>
                      <w:sz w:val="21"/>
                      <w:szCs w:val="21"/>
                      <w:lang w:val="en-US" w:eastAsia="zh-CN" w:bidi="ar-SA"/>
                    </w:rPr>
                  </w:pPr>
                  <w:r>
                    <w:rPr>
                      <w:rFonts w:hint="eastAsia"/>
                      <w:color w:val="auto"/>
                      <w:szCs w:val="21"/>
                      <w:lang w:val="en-US" w:eastAsia="zh-CN"/>
                    </w:rPr>
                    <w:t>4</w:t>
                  </w:r>
                  <w:r>
                    <w:rPr>
                      <w:rFonts w:hint="eastAsia" w:cs="Times New Roman"/>
                      <w:color w:val="auto"/>
                      <w:kern w:val="2"/>
                      <w:sz w:val="21"/>
                      <w:szCs w:val="21"/>
                      <w:lang w:val="en-US" w:eastAsia="zh-CN" w:bidi="ar-SA"/>
                    </w:rPr>
                    <w:t>台</w:t>
                  </w:r>
                </w:p>
              </w:tc>
              <w:tc>
                <w:tcPr>
                  <w:tcW w:w="889" w:type="pct"/>
                  <w:shd w:val="clear" w:color="auto" w:fill="auto"/>
                  <w:noWrap w:val="0"/>
                  <w:vAlign w:val="center"/>
                </w:tcPr>
                <w:p w14:paraId="1E0726E9">
                  <w:pPr>
                    <w:spacing w:line="280" w:lineRule="exact"/>
                    <w:jc w:val="center"/>
                    <w:rPr>
                      <w:rFonts w:hint="default"/>
                      <w:color w:val="auto"/>
                      <w:szCs w:val="21"/>
                      <w:lang w:val="en-US" w:eastAsia="zh-CN"/>
                    </w:rPr>
                  </w:pPr>
                  <w:r>
                    <w:rPr>
                      <w:rFonts w:hint="eastAsia"/>
                      <w:color w:val="auto"/>
                      <w:szCs w:val="21"/>
                      <w:lang w:val="en-US" w:eastAsia="zh-CN"/>
                    </w:rPr>
                    <w:t>+1台</w:t>
                  </w:r>
                </w:p>
              </w:tc>
            </w:tr>
            <w:tr w14:paraId="74AE50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377" w:type="pct"/>
                  <w:noWrap w:val="0"/>
                  <w:vAlign w:val="center"/>
                </w:tcPr>
                <w:p w14:paraId="02A2A70D">
                  <w:pPr>
                    <w:numPr>
                      <w:ilvl w:val="0"/>
                      <w:numId w:val="3"/>
                    </w:numPr>
                    <w:snapToGrid w:val="0"/>
                    <w:spacing w:line="280" w:lineRule="exact"/>
                    <w:ind w:left="0" w:leftChars="0" w:firstLine="0" w:firstLineChars="0"/>
                    <w:jc w:val="center"/>
                    <w:rPr>
                      <w:color w:val="auto"/>
                    </w:rPr>
                  </w:pPr>
                </w:p>
              </w:tc>
              <w:tc>
                <w:tcPr>
                  <w:tcW w:w="1437" w:type="pct"/>
                  <w:gridSpan w:val="2"/>
                  <w:shd w:val="clear" w:color="auto" w:fill="auto"/>
                  <w:noWrap w:val="0"/>
                  <w:vAlign w:val="center"/>
                </w:tcPr>
                <w:p w14:paraId="5152BF8E">
                  <w:pPr>
                    <w:jc w:val="center"/>
                    <w:rPr>
                      <w:rFonts w:hint="eastAsia" w:cs="Times New Roman"/>
                      <w:color w:val="auto"/>
                      <w:kern w:val="2"/>
                      <w:sz w:val="21"/>
                      <w:szCs w:val="21"/>
                      <w:lang w:val="en-US" w:eastAsia="zh-CN" w:bidi="ar-SA"/>
                    </w:rPr>
                  </w:pPr>
                  <w:r>
                    <w:rPr>
                      <w:rFonts w:hint="eastAsia"/>
                      <w:color w:val="auto"/>
                      <w:szCs w:val="21"/>
                      <w:lang w:val="en-US" w:eastAsia="zh-CN"/>
                    </w:rPr>
                    <w:t>钢化炉</w:t>
                  </w:r>
                </w:p>
              </w:tc>
              <w:tc>
                <w:tcPr>
                  <w:tcW w:w="764" w:type="pct"/>
                  <w:shd w:val="clear" w:color="auto" w:fill="auto"/>
                  <w:noWrap w:val="0"/>
                  <w:vAlign w:val="center"/>
                </w:tcPr>
                <w:p w14:paraId="0728D761">
                  <w:pPr>
                    <w:jc w:val="center"/>
                    <w:rPr>
                      <w:rFonts w:hint="eastAsia" w:cs="Times New Roman"/>
                      <w:color w:val="auto"/>
                      <w:kern w:val="2"/>
                      <w:sz w:val="21"/>
                      <w:szCs w:val="21"/>
                      <w:lang w:val="en-US" w:eastAsia="zh-CN" w:bidi="ar-SA"/>
                    </w:rPr>
                  </w:pPr>
                  <w:r>
                    <w:rPr>
                      <w:rFonts w:hint="eastAsia"/>
                      <w:color w:val="auto"/>
                      <w:szCs w:val="21"/>
                      <w:lang w:val="en-US" w:eastAsia="zh-CN"/>
                    </w:rPr>
                    <w:t>非标</w:t>
                  </w:r>
                </w:p>
              </w:tc>
              <w:tc>
                <w:tcPr>
                  <w:tcW w:w="754" w:type="pct"/>
                  <w:shd w:val="clear" w:color="auto" w:fill="auto"/>
                  <w:noWrap w:val="0"/>
                  <w:vAlign w:val="center"/>
                </w:tcPr>
                <w:p w14:paraId="41F07DF8">
                  <w:pPr>
                    <w:jc w:val="center"/>
                    <w:rPr>
                      <w:rFonts w:hint="eastAsia" w:cs="Times New Roman"/>
                      <w:color w:val="auto"/>
                      <w:kern w:val="2"/>
                      <w:sz w:val="21"/>
                      <w:szCs w:val="21"/>
                      <w:lang w:val="en-US" w:eastAsia="zh-CN" w:bidi="ar-SA"/>
                    </w:rPr>
                  </w:pPr>
                  <w:r>
                    <w:rPr>
                      <w:rFonts w:hint="eastAsia"/>
                      <w:color w:val="auto"/>
                      <w:szCs w:val="21"/>
                      <w:lang w:val="en-US" w:eastAsia="zh-CN"/>
                    </w:rPr>
                    <w:t>1</w:t>
                  </w:r>
                  <w:r>
                    <w:rPr>
                      <w:rFonts w:hint="eastAsia" w:cs="Times New Roman"/>
                      <w:color w:val="auto"/>
                      <w:kern w:val="2"/>
                      <w:sz w:val="21"/>
                      <w:szCs w:val="21"/>
                      <w:lang w:val="en-US" w:eastAsia="zh-CN" w:bidi="ar-SA"/>
                    </w:rPr>
                    <w:t>台</w:t>
                  </w:r>
                </w:p>
              </w:tc>
              <w:tc>
                <w:tcPr>
                  <w:tcW w:w="776" w:type="pct"/>
                  <w:shd w:val="clear" w:color="auto" w:fill="auto"/>
                  <w:noWrap w:val="0"/>
                  <w:vAlign w:val="center"/>
                </w:tcPr>
                <w:p w14:paraId="2AB79DB6">
                  <w:pPr>
                    <w:spacing w:line="280" w:lineRule="exact"/>
                    <w:jc w:val="center"/>
                    <w:rPr>
                      <w:rFonts w:hint="eastAsia" w:cs="Times New Roman"/>
                      <w:color w:val="auto"/>
                      <w:kern w:val="2"/>
                      <w:sz w:val="21"/>
                      <w:szCs w:val="21"/>
                      <w:lang w:val="en-US" w:eastAsia="zh-CN" w:bidi="ar-SA"/>
                    </w:rPr>
                  </w:pPr>
                  <w:r>
                    <w:rPr>
                      <w:rFonts w:hint="eastAsia"/>
                      <w:color w:val="auto"/>
                      <w:szCs w:val="21"/>
                      <w:lang w:val="en-US" w:eastAsia="zh-CN"/>
                    </w:rPr>
                    <w:t>1</w:t>
                  </w:r>
                  <w:r>
                    <w:rPr>
                      <w:rFonts w:hint="eastAsia" w:cs="Times New Roman"/>
                      <w:color w:val="auto"/>
                      <w:kern w:val="2"/>
                      <w:sz w:val="21"/>
                      <w:szCs w:val="21"/>
                      <w:lang w:val="en-US" w:eastAsia="zh-CN" w:bidi="ar-SA"/>
                    </w:rPr>
                    <w:t>台</w:t>
                  </w:r>
                </w:p>
              </w:tc>
              <w:tc>
                <w:tcPr>
                  <w:tcW w:w="889" w:type="pct"/>
                  <w:shd w:val="clear" w:color="auto" w:fill="auto"/>
                  <w:noWrap w:val="0"/>
                  <w:vAlign w:val="center"/>
                </w:tcPr>
                <w:p w14:paraId="76091C19">
                  <w:pPr>
                    <w:spacing w:line="280" w:lineRule="exact"/>
                    <w:jc w:val="center"/>
                    <w:rPr>
                      <w:rFonts w:hint="eastAsia"/>
                      <w:color w:val="auto"/>
                      <w:szCs w:val="21"/>
                      <w:lang w:val="en-US" w:eastAsia="zh-CN"/>
                    </w:rPr>
                  </w:pPr>
                  <w:r>
                    <w:rPr>
                      <w:rFonts w:hint="eastAsia"/>
                      <w:color w:val="auto"/>
                      <w:szCs w:val="21"/>
                      <w:lang w:val="en-US" w:eastAsia="zh-CN"/>
                    </w:rPr>
                    <w:t>无变化</w:t>
                  </w:r>
                </w:p>
              </w:tc>
            </w:tr>
            <w:tr w14:paraId="43768E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377" w:type="pct"/>
                  <w:noWrap w:val="0"/>
                  <w:vAlign w:val="center"/>
                </w:tcPr>
                <w:p w14:paraId="6C0F15CB">
                  <w:pPr>
                    <w:numPr>
                      <w:ilvl w:val="0"/>
                      <w:numId w:val="3"/>
                    </w:numPr>
                    <w:snapToGrid w:val="0"/>
                    <w:spacing w:line="280" w:lineRule="exact"/>
                    <w:ind w:left="0" w:leftChars="0" w:firstLine="0" w:firstLineChars="0"/>
                    <w:jc w:val="center"/>
                    <w:rPr>
                      <w:color w:val="auto"/>
                    </w:rPr>
                  </w:pPr>
                </w:p>
              </w:tc>
              <w:tc>
                <w:tcPr>
                  <w:tcW w:w="463" w:type="pct"/>
                  <w:vMerge w:val="restart"/>
                  <w:shd w:val="clear" w:color="auto" w:fill="auto"/>
                  <w:noWrap w:val="0"/>
                  <w:vAlign w:val="center"/>
                </w:tcPr>
                <w:p w14:paraId="5CE65BBC">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中空线</w:t>
                  </w:r>
                </w:p>
              </w:tc>
              <w:tc>
                <w:tcPr>
                  <w:tcW w:w="974" w:type="pct"/>
                  <w:shd w:val="clear" w:color="auto" w:fill="auto"/>
                  <w:noWrap w:val="0"/>
                  <w:vAlign w:val="center"/>
                </w:tcPr>
                <w:p w14:paraId="41D1DBCF">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铝条折弯机</w:t>
                  </w:r>
                </w:p>
              </w:tc>
              <w:tc>
                <w:tcPr>
                  <w:tcW w:w="764" w:type="pct"/>
                  <w:shd w:val="clear" w:color="auto" w:fill="auto"/>
                  <w:noWrap w:val="0"/>
                  <w:vAlign w:val="center"/>
                </w:tcPr>
                <w:p w14:paraId="6192C02E">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非标</w:t>
                  </w:r>
                </w:p>
              </w:tc>
              <w:tc>
                <w:tcPr>
                  <w:tcW w:w="754" w:type="pct"/>
                  <w:vMerge w:val="restart"/>
                  <w:shd w:val="clear" w:color="auto" w:fill="auto"/>
                  <w:noWrap w:val="0"/>
                  <w:vAlign w:val="center"/>
                </w:tcPr>
                <w:p w14:paraId="34DAB869">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2条</w:t>
                  </w:r>
                </w:p>
              </w:tc>
              <w:tc>
                <w:tcPr>
                  <w:tcW w:w="776" w:type="pct"/>
                  <w:shd w:val="clear" w:color="auto" w:fill="auto"/>
                  <w:noWrap w:val="0"/>
                  <w:vAlign w:val="center"/>
                </w:tcPr>
                <w:p w14:paraId="7577E755">
                  <w:pPr>
                    <w:spacing w:line="28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1台</w:t>
                  </w:r>
                </w:p>
              </w:tc>
              <w:tc>
                <w:tcPr>
                  <w:tcW w:w="889" w:type="pct"/>
                  <w:vMerge w:val="restart"/>
                  <w:shd w:val="clear" w:color="auto" w:fill="auto"/>
                  <w:noWrap w:val="0"/>
                  <w:vAlign w:val="center"/>
                </w:tcPr>
                <w:p w14:paraId="50371292">
                  <w:pPr>
                    <w:spacing w:line="280" w:lineRule="exact"/>
                    <w:jc w:val="center"/>
                    <w:rPr>
                      <w:rFonts w:hint="eastAsia"/>
                      <w:color w:val="auto"/>
                      <w:szCs w:val="21"/>
                      <w:lang w:val="en-US" w:eastAsia="zh-CN"/>
                    </w:rPr>
                  </w:pPr>
                  <w:r>
                    <w:rPr>
                      <w:rFonts w:hint="eastAsia"/>
                      <w:color w:val="auto"/>
                      <w:szCs w:val="21"/>
                      <w:lang w:val="en-US" w:eastAsia="zh-CN"/>
                    </w:rPr>
                    <w:t>无变化</w:t>
                  </w:r>
                </w:p>
              </w:tc>
            </w:tr>
            <w:tr w14:paraId="279DA4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377" w:type="pct"/>
                  <w:noWrap w:val="0"/>
                  <w:vAlign w:val="center"/>
                </w:tcPr>
                <w:p w14:paraId="12B66B1C">
                  <w:pPr>
                    <w:numPr>
                      <w:ilvl w:val="0"/>
                      <w:numId w:val="3"/>
                    </w:numPr>
                    <w:snapToGrid w:val="0"/>
                    <w:spacing w:line="280" w:lineRule="exact"/>
                    <w:ind w:left="0" w:leftChars="0" w:firstLine="0" w:firstLineChars="0"/>
                    <w:jc w:val="center"/>
                    <w:rPr>
                      <w:color w:val="auto"/>
                    </w:rPr>
                  </w:pPr>
                </w:p>
              </w:tc>
              <w:tc>
                <w:tcPr>
                  <w:tcW w:w="463" w:type="pct"/>
                  <w:vMerge w:val="continue"/>
                  <w:shd w:val="clear" w:color="auto" w:fill="auto"/>
                  <w:noWrap w:val="0"/>
                  <w:vAlign w:val="center"/>
                </w:tcPr>
                <w:p w14:paraId="45717BC8">
                  <w:pPr>
                    <w:jc w:val="center"/>
                    <w:rPr>
                      <w:rFonts w:hint="eastAsia" w:cs="Times New Roman"/>
                      <w:color w:val="auto"/>
                      <w:kern w:val="2"/>
                      <w:sz w:val="21"/>
                      <w:szCs w:val="21"/>
                      <w:lang w:val="en-US" w:eastAsia="zh-CN" w:bidi="ar-SA"/>
                    </w:rPr>
                  </w:pPr>
                </w:p>
              </w:tc>
              <w:tc>
                <w:tcPr>
                  <w:tcW w:w="974" w:type="pct"/>
                  <w:shd w:val="clear" w:color="auto" w:fill="auto"/>
                  <w:noWrap w:val="0"/>
                  <w:vAlign w:val="center"/>
                </w:tcPr>
                <w:p w14:paraId="1E886B23">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丁基胶涂胶机</w:t>
                  </w:r>
                </w:p>
              </w:tc>
              <w:tc>
                <w:tcPr>
                  <w:tcW w:w="764" w:type="pct"/>
                  <w:shd w:val="clear" w:color="auto" w:fill="auto"/>
                  <w:noWrap w:val="0"/>
                  <w:vAlign w:val="center"/>
                </w:tcPr>
                <w:p w14:paraId="44FAAAD1">
                  <w:pPr>
                    <w:jc w:val="center"/>
                    <w:rPr>
                      <w:rFonts w:hint="eastAsia"/>
                      <w:color w:val="auto"/>
                      <w:szCs w:val="21"/>
                      <w:lang w:val="en-US" w:eastAsia="zh-CN"/>
                    </w:rPr>
                  </w:pPr>
                  <w:r>
                    <w:rPr>
                      <w:rFonts w:hint="eastAsia"/>
                      <w:color w:val="auto"/>
                      <w:szCs w:val="21"/>
                      <w:lang w:val="en-US" w:eastAsia="zh-CN"/>
                    </w:rPr>
                    <w:t>非标</w:t>
                  </w:r>
                </w:p>
              </w:tc>
              <w:tc>
                <w:tcPr>
                  <w:tcW w:w="754" w:type="pct"/>
                  <w:vMerge w:val="continue"/>
                  <w:shd w:val="clear" w:color="auto" w:fill="auto"/>
                  <w:noWrap w:val="0"/>
                  <w:vAlign w:val="center"/>
                </w:tcPr>
                <w:p w14:paraId="154BFB47">
                  <w:pPr>
                    <w:jc w:val="center"/>
                    <w:rPr>
                      <w:rFonts w:hint="eastAsia" w:cs="Times New Roman"/>
                      <w:color w:val="auto"/>
                      <w:kern w:val="2"/>
                      <w:sz w:val="21"/>
                      <w:szCs w:val="21"/>
                      <w:lang w:val="en-US" w:eastAsia="zh-CN" w:bidi="ar-SA"/>
                    </w:rPr>
                  </w:pPr>
                </w:p>
              </w:tc>
              <w:tc>
                <w:tcPr>
                  <w:tcW w:w="776" w:type="pct"/>
                  <w:shd w:val="clear" w:color="auto" w:fill="auto"/>
                  <w:noWrap w:val="0"/>
                  <w:vAlign w:val="center"/>
                </w:tcPr>
                <w:p w14:paraId="642EA3B6">
                  <w:pPr>
                    <w:spacing w:line="280" w:lineRule="exact"/>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2台</w:t>
                  </w:r>
                </w:p>
              </w:tc>
              <w:tc>
                <w:tcPr>
                  <w:tcW w:w="889" w:type="pct"/>
                  <w:vMerge w:val="continue"/>
                  <w:shd w:val="clear" w:color="auto" w:fill="auto"/>
                  <w:noWrap w:val="0"/>
                  <w:vAlign w:val="center"/>
                </w:tcPr>
                <w:p w14:paraId="56C85E86">
                  <w:pPr>
                    <w:spacing w:line="280" w:lineRule="exact"/>
                    <w:jc w:val="center"/>
                    <w:rPr>
                      <w:rFonts w:hint="eastAsia"/>
                      <w:color w:val="auto"/>
                      <w:szCs w:val="21"/>
                      <w:lang w:val="en-US" w:eastAsia="zh-CN"/>
                    </w:rPr>
                  </w:pPr>
                </w:p>
              </w:tc>
            </w:tr>
            <w:tr w14:paraId="2537F8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377" w:type="pct"/>
                  <w:noWrap w:val="0"/>
                  <w:vAlign w:val="center"/>
                </w:tcPr>
                <w:p w14:paraId="2B13B658">
                  <w:pPr>
                    <w:numPr>
                      <w:ilvl w:val="0"/>
                      <w:numId w:val="3"/>
                    </w:numPr>
                    <w:snapToGrid w:val="0"/>
                    <w:spacing w:line="280" w:lineRule="exact"/>
                    <w:ind w:left="0" w:leftChars="0" w:firstLine="0" w:firstLineChars="0"/>
                    <w:jc w:val="center"/>
                    <w:rPr>
                      <w:color w:val="auto"/>
                    </w:rPr>
                  </w:pPr>
                </w:p>
              </w:tc>
              <w:tc>
                <w:tcPr>
                  <w:tcW w:w="463" w:type="pct"/>
                  <w:vMerge w:val="continue"/>
                  <w:shd w:val="clear" w:color="auto" w:fill="auto"/>
                  <w:noWrap w:val="0"/>
                  <w:vAlign w:val="center"/>
                </w:tcPr>
                <w:p w14:paraId="349E3F1D">
                  <w:pPr>
                    <w:jc w:val="center"/>
                    <w:rPr>
                      <w:rFonts w:hint="eastAsia" w:cs="Times New Roman"/>
                      <w:color w:val="auto"/>
                      <w:kern w:val="2"/>
                      <w:sz w:val="21"/>
                      <w:szCs w:val="21"/>
                      <w:lang w:val="en-US" w:eastAsia="zh-CN" w:bidi="ar-SA"/>
                    </w:rPr>
                  </w:pPr>
                </w:p>
              </w:tc>
              <w:tc>
                <w:tcPr>
                  <w:tcW w:w="974" w:type="pct"/>
                  <w:shd w:val="clear" w:color="auto" w:fill="auto"/>
                  <w:noWrap w:val="0"/>
                  <w:vAlign w:val="center"/>
                </w:tcPr>
                <w:p w14:paraId="069D29CB">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铝框定位器</w:t>
                  </w:r>
                </w:p>
              </w:tc>
              <w:tc>
                <w:tcPr>
                  <w:tcW w:w="764" w:type="pct"/>
                  <w:shd w:val="clear" w:color="auto" w:fill="auto"/>
                  <w:noWrap w:val="0"/>
                  <w:vAlign w:val="center"/>
                </w:tcPr>
                <w:p w14:paraId="448CEEC0">
                  <w:pPr>
                    <w:jc w:val="center"/>
                    <w:rPr>
                      <w:rFonts w:hint="eastAsia"/>
                      <w:color w:val="auto"/>
                      <w:szCs w:val="21"/>
                      <w:lang w:val="en-US" w:eastAsia="zh-CN"/>
                    </w:rPr>
                  </w:pPr>
                  <w:r>
                    <w:rPr>
                      <w:rFonts w:hint="eastAsia"/>
                      <w:color w:val="auto"/>
                      <w:szCs w:val="21"/>
                      <w:lang w:val="en-US" w:eastAsia="zh-CN"/>
                    </w:rPr>
                    <w:t>非标</w:t>
                  </w:r>
                </w:p>
              </w:tc>
              <w:tc>
                <w:tcPr>
                  <w:tcW w:w="754" w:type="pct"/>
                  <w:vMerge w:val="continue"/>
                  <w:shd w:val="clear" w:color="auto" w:fill="auto"/>
                  <w:noWrap w:val="0"/>
                  <w:vAlign w:val="center"/>
                </w:tcPr>
                <w:p w14:paraId="7A49AD07">
                  <w:pPr>
                    <w:jc w:val="center"/>
                    <w:rPr>
                      <w:rFonts w:hint="eastAsia" w:cs="Times New Roman"/>
                      <w:color w:val="auto"/>
                      <w:kern w:val="2"/>
                      <w:sz w:val="21"/>
                      <w:szCs w:val="21"/>
                      <w:lang w:val="en-US" w:eastAsia="zh-CN" w:bidi="ar-SA"/>
                    </w:rPr>
                  </w:pPr>
                </w:p>
              </w:tc>
              <w:tc>
                <w:tcPr>
                  <w:tcW w:w="776" w:type="pct"/>
                  <w:shd w:val="clear" w:color="auto" w:fill="auto"/>
                  <w:noWrap w:val="0"/>
                  <w:vAlign w:val="center"/>
                </w:tcPr>
                <w:p w14:paraId="5B3CAB14">
                  <w:pPr>
                    <w:spacing w:line="280" w:lineRule="exact"/>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2台</w:t>
                  </w:r>
                </w:p>
              </w:tc>
              <w:tc>
                <w:tcPr>
                  <w:tcW w:w="889" w:type="pct"/>
                  <w:vMerge w:val="continue"/>
                  <w:shd w:val="clear" w:color="auto" w:fill="auto"/>
                  <w:noWrap w:val="0"/>
                  <w:vAlign w:val="center"/>
                </w:tcPr>
                <w:p w14:paraId="7268CAC7">
                  <w:pPr>
                    <w:spacing w:line="280" w:lineRule="exact"/>
                    <w:jc w:val="center"/>
                    <w:rPr>
                      <w:rFonts w:hint="eastAsia"/>
                      <w:color w:val="auto"/>
                      <w:szCs w:val="21"/>
                      <w:lang w:val="en-US" w:eastAsia="zh-CN"/>
                    </w:rPr>
                  </w:pPr>
                </w:p>
              </w:tc>
            </w:tr>
            <w:tr w14:paraId="6FA44A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377" w:type="pct"/>
                  <w:noWrap w:val="0"/>
                  <w:vAlign w:val="center"/>
                </w:tcPr>
                <w:p w14:paraId="0887B59E">
                  <w:pPr>
                    <w:numPr>
                      <w:ilvl w:val="0"/>
                      <w:numId w:val="3"/>
                    </w:numPr>
                    <w:snapToGrid w:val="0"/>
                    <w:spacing w:line="280" w:lineRule="exact"/>
                    <w:ind w:left="0" w:leftChars="0" w:firstLine="0" w:firstLineChars="0"/>
                    <w:jc w:val="center"/>
                    <w:rPr>
                      <w:color w:val="auto"/>
                    </w:rPr>
                  </w:pPr>
                </w:p>
              </w:tc>
              <w:tc>
                <w:tcPr>
                  <w:tcW w:w="463" w:type="pct"/>
                  <w:vMerge w:val="continue"/>
                  <w:shd w:val="clear" w:color="auto" w:fill="auto"/>
                  <w:noWrap w:val="0"/>
                  <w:vAlign w:val="center"/>
                </w:tcPr>
                <w:p w14:paraId="0A956668">
                  <w:pPr>
                    <w:jc w:val="center"/>
                    <w:rPr>
                      <w:rFonts w:hint="eastAsia" w:cs="Times New Roman"/>
                      <w:color w:val="auto"/>
                      <w:kern w:val="2"/>
                      <w:sz w:val="21"/>
                      <w:szCs w:val="21"/>
                      <w:lang w:val="en-US" w:eastAsia="zh-CN" w:bidi="ar-SA"/>
                    </w:rPr>
                  </w:pPr>
                </w:p>
              </w:tc>
              <w:tc>
                <w:tcPr>
                  <w:tcW w:w="974" w:type="pct"/>
                  <w:shd w:val="clear" w:color="auto" w:fill="auto"/>
                  <w:noWrap w:val="0"/>
                  <w:vAlign w:val="center"/>
                </w:tcPr>
                <w:p w14:paraId="3D7B5A43">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传送带</w:t>
                  </w:r>
                </w:p>
              </w:tc>
              <w:tc>
                <w:tcPr>
                  <w:tcW w:w="764" w:type="pct"/>
                  <w:shd w:val="clear" w:color="auto" w:fill="auto"/>
                  <w:noWrap w:val="0"/>
                  <w:vAlign w:val="center"/>
                </w:tcPr>
                <w:p w14:paraId="331AC554">
                  <w:pPr>
                    <w:jc w:val="center"/>
                    <w:rPr>
                      <w:rFonts w:hint="eastAsia"/>
                      <w:color w:val="auto"/>
                      <w:szCs w:val="21"/>
                      <w:lang w:val="en-US" w:eastAsia="zh-CN"/>
                    </w:rPr>
                  </w:pPr>
                  <w:r>
                    <w:rPr>
                      <w:rFonts w:hint="eastAsia"/>
                      <w:color w:val="auto"/>
                      <w:szCs w:val="21"/>
                      <w:lang w:val="en-US" w:eastAsia="zh-CN"/>
                    </w:rPr>
                    <w:t>非标</w:t>
                  </w:r>
                </w:p>
              </w:tc>
              <w:tc>
                <w:tcPr>
                  <w:tcW w:w="754" w:type="pct"/>
                  <w:vMerge w:val="continue"/>
                  <w:shd w:val="clear" w:color="auto" w:fill="auto"/>
                  <w:noWrap w:val="0"/>
                  <w:vAlign w:val="center"/>
                </w:tcPr>
                <w:p w14:paraId="6C92ACFD">
                  <w:pPr>
                    <w:jc w:val="center"/>
                    <w:rPr>
                      <w:rFonts w:hint="eastAsia" w:cs="Times New Roman"/>
                      <w:color w:val="auto"/>
                      <w:kern w:val="2"/>
                      <w:sz w:val="21"/>
                      <w:szCs w:val="21"/>
                      <w:lang w:val="en-US" w:eastAsia="zh-CN" w:bidi="ar-SA"/>
                    </w:rPr>
                  </w:pPr>
                </w:p>
              </w:tc>
              <w:tc>
                <w:tcPr>
                  <w:tcW w:w="776" w:type="pct"/>
                  <w:shd w:val="clear" w:color="auto" w:fill="auto"/>
                  <w:noWrap w:val="0"/>
                  <w:vAlign w:val="center"/>
                </w:tcPr>
                <w:p w14:paraId="5F4EC6EB">
                  <w:pPr>
                    <w:spacing w:line="280" w:lineRule="exact"/>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2台</w:t>
                  </w:r>
                </w:p>
              </w:tc>
              <w:tc>
                <w:tcPr>
                  <w:tcW w:w="889" w:type="pct"/>
                  <w:vMerge w:val="continue"/>
                  <w:shd w:val="clear" w:color="auto" w:fill="auto"/>
                  <w:noWrap w:val="0"/>
                  <w:vAlign w:val="center"/>
                </w:tcPr>
                <w:p w14:paraId="7C9CAF60">
                  <w:pPr>
                    <w:spacing w:line="280" w:lineRule="exact"/>
                    <w:jc w:val="center"/>
                    <w:rPr>
                      <w:rFonts w:hint="eastAsia"/>
                      <w:color w:val="auto"/>
                      <w:szCs w:val="21"/>
                      <w:lang w:val="en-US" w:eastAsia="zh-CN"/>
                    </w:rPr>
                  </w:pPr>
                </w:p>
              </w:tc>
            </w:tr>
            <w:tr w14:paraId="10DD11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377" w:type="pct"/>
                  <w:noWrap w:val="0"/>
                  <w:vAlign w:val="center"/>
                </w:tcPr>
                <w:p w14:paraId="4C3ED9F2">
                  <w:pPr>
                    <w:numPr>
                      <w:ilvl w:val="0"/>
                      <w:numId w:val="3"/>
                    </w:numPr>
                    <w:snapToGrid w:val="0"/>
                    <w:spacing w:line="280" w:lineRule="exact"/>
                    <w:ind w:left="0" w:leftChars="0" w:firstLine="0" w:firstLineChars="0"/>
                    <w:jc w:val="center"/>
                    <w:rPr>
                      <w:color w:val="auto"/>
                    </w:rPr>
                  </w:pPr>
                </w:p>
              </w:tc>
              <w:tc>
                <w:tcPr>
                  <w:tcW w:w="463" w:type="pct"/>
                  <w:vMerge w:val="continue"/>
                  <w:shd w:val="clear" w:color="auto" w:fill="auto"/>
                  <w:noWrap w:val="0"/>
                  <w:vAlign w:val="center"/>
                </w:tcPr>
                <w:p w14:paraId="79BF28F8">
                  <w:pPr>
                    <w:jc w:val="center"/>
                    <w:rPr>
                      <w:rFonts w:hint="eastAsia" w:cs="Times New Roman"/>
                      <w:color w:val="auto"/>
                      <w:kern w:val="2"/>
                      <w:sz w:val="21"/>
                      <w:szCs w:val="21"/>
                      <w:lang w:val="en-US" w:eastAsia="zh-CN" w:bidi="ar-SA"/>
                    </w:rPr>
                  </w:pPr>
                </w:p>
              </w:tc>
              <w:tc>
                <w:tcPr>
                  <w:tcW w:w="974" w:type="pct"/>
                  <w:shd w:val="clear" w:color="auto" w:fill="auto"/>
                  <w:noWrap w:val="0"/>
                  <w:vAlign w:val="center"/>
                </w:tcPr>
                <w:p w14:paraId="2AC1C8C1">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输送机</w:t>
                  </w:r>
                </w:p>
              </w:tc>
              <w:tc>
                <w:tcPr>
                  <w:tcW w:w="764" w:type="pct"/>
                  <w:shd w:val="clear" w:color="auto" w:fill="auto"/>
                  <w:noWrap w:val="0"/>
                  <w:vAlign w:val="center"/>
                </w:tcPr>
                <w:p w14:paraId="4E6F0953">
                  <w:pPr>
                    <w:jc w:val="center"/>
                    <w:rPr>
                      <w:rFonts w:hint="eastAsia"/>
                      <w:color w:val="auto"/>
                      <w:szCs w:val="21"/>
                      <w:lang w:val="en-US" w:eastAsia="zh-CN"/>
                    </w:rPr>
                  </w:pPr>
                  <w:r>
                    <w:rPr>
                      <w:rFonts w:hint="eastAsia"/>
                      <w:color w:val="auto"/>
                      <w:szCs w:val="21"/>
                      <w:lang w:val="en-US" w:eastAsia="zh-CN"/>
                    </w:rPr>
                    <w:t>非标</w:t>
                  </w:r>
                </w:p>
              </w:tc>
              <w:tc>
                <w:tcPr>
                  <w:tcW w:w="754" w:type="pct"/>
                  <w:vMerge w:val="continue"/>
                  <w:shd w:val="clear" w:color="auto" w:fill="auto"/>
                  <w:noWrap w:val="0"/>
                  <w:vAlign w:val="center"/>
                </w:tcPr>
                <w:p w14:paraId="2039B5AA">
                  <w:pPr>
                    <w:jc w:val="center"/>
                    <w:rPr>
                      <w:rFonts w:hint="eastAsia" w:cs="Times New Roman"/>
                      <w:color w:val="auto"/>
                      <w:kern w:val="2"/>
                      <w:sz w:val="21"/>
                      <w:szCs w:val="21"/>
                      <w:lang w:val="en-US" w:eastAsia="zh-CN" w:bidi="ar-SA"/>
                    </w:rPr>
                  </w:pPr>
                </w:p>
              </w:tc>
              <w:tc>
                <w:tcPr>
                  <w:tcW w:w="776" w:type="pct"/>
                  <w:shd w:val="clear" w:color="auto" w:fill="auto"/>
                  <w:noWrap w:val="0"/>
                  <w:vAlign w:val="center"/>
                </w:tcPr>
                <w:p w14:paraId="10AE1695">
                  <w:pPr>
                    <w:spacing w:line="280" w:lineRule="exact"/>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2台</w:t>
                  </w:r>
                </w:p>
              </w:tc>
              <w:tc>
                <w:tcPr>
                  <w:tcW w:w="889" w:type="pct"/>
                  <w:vMerge w:val="continue"/>
                  <w:shd w:val="clear" w:color="auto" w:fill="auto"/>
                  <w:noWrap w:val="0"/>
                  <w:vAlign w:val="center"/>
                </w:tcPr>
                <w:p w14:paraId="1D47C199">
                  <w:pPr>
                    <w:spacing w:line="280" w:lineRule="exact"/>
                    <w:jc w:val="center"/>
                    <w:rPr>
                      <w:rFonts w:hint="eastAsia"/>
                      <w:color w:val="auto"/>
                      <w:szCs w:val="21"/>
                      <w:lang w:val="en-US" w:eastAsia="zh-CN"/>
                    </w:rPr>
                  </w:pPr>
                </w:p>
              </w:tc>
            </w:tr>
            <w:tr w14:paraId="4F1B9B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377" w:type="pct"/>
                  <w:noWrap w:val="0"/>
                  <w:vAlign w:val="center"/>
                </w:tcPr>
                <w:p w14:paraId="12008FF3">
                  <w:pPr>
                    <w:numPr>
                      <w:ilvl w:val="0"/>
                      <w:numId w:val="3"/>
                    </w:numPr>
                    <w:snapToGrid w:val="0"/>
                    <w:spacing w:line="280" w:lineRule="exact"/>
                    <w:ind w:left="0" w:leftChars="0" w:firstLine="0" w:firstLineChars="0"/>
                    <w:jc w:val="center"/>
                    <w:rPr>
                      <w:color w:val="auto"/>
                    </w:rPr>
                  </w:pPr>
                </w:p>
              </w:tc>
              <w:tc>
                <w:tcPr>
                  <w:tcW w:w="463" w:type="pct"/>
                  <w:vMerge w:val="continue"/>
                  <w:shd w:val="clear" w:color="auto" w:fill="auto"/>
                  <w:noWrap w:val="0"/>
                  <w:vAlign w:val="center"/>
                </w:tcPr>
                <w:p w14:paraId="293CABE6">
                  <w:pPr>
                    <w:jc w:val="center"/>
                    <w:rPr>
                      <w:rFonts w:hint="eastAsia" w:cs="Times New Roman"/>
                      <w:color w:val="auto"/>
                      <w:kern w:val="2"/>
                      <w:sz w:val="21"/>
                      <w:szCs w:val="21"/>
                      <w:lang w:val="en-US" w:eastAsia="zh-CN" w:bidi="ar-SA"/>
                    </w:rPr>
                  </w:pPr>
                </w:p>
              </w:tc>
              <w:tc>
                <w:tcPr>
                  <w:tcW w:w="974" w:type="pct"/>
                  <w:shd w:val="clear" w:color="auto" w:fill="auto"/>
                  <w:noWrap w:val="0"/>
                  <w:vAlign w:val="center"/>
                </w:tcPr>
                <w:p w14:paraId="6580648E">
                  <w:pPr>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打胶机</w:t>
                  </w:r>
                </w:p>
              </w:tc>
              <w:tc>
                <w:tcPr>
                  <w:tcW w:w="764" w:type="pct"/>
                  <w:shd w:val="clear" w:color="auto" w:fill="auto"/>
                  <w:noWrap w:val="0"/>
                  <w:vAlign w:val="center"/>
                </w:tcPr>
                <w:p w14:paraId="04B50201">
                  <w:pPr>
                    <w:jc w:val="center"/>
                    <w:rPr>
                      <w:rFonts w:hint="eastAsia"/>
                      <w:color w:val="auto"/>
                      <w:szCs w:val="21"/>
                      <w:lang w:val="en-US" w:eastAsia="zh-CN"/>
                    </w:rPr>
                  </w:pPr>
                  <w:r>
                    <w:rPr>
                      <w:rFonts w:hint="eastAsia"/>
                      <w:color w:val="auto"/>
                      <w:szCs w:val="21"/>
                      <w:lang w:val="en-US" w:eastAsia="zh-CN"/>
                    </w:rPr>
                    <w:t>非标</w:t>
                  </w:r>
                </w:p>
              </w:tc>
              <w:tc>
                <w:tcPr>
                  <w:tcW w:w="754" w:type="pct"/>
                  <w:vMerge w:val="continue"/>
                  <w:shd w:val="clear" w:color="auto" w:fill="auto"/>
                  <w:noWrap w:val="0"/>
                  <w:vAlign w:val="center"/>
                </w:tcPr>
                <w:p w14:paraId="2A25D9E1">
                  <w:pPr>
                    <w:jc w:val="center"/>
                    <w:rPr>
                      <w:rFonts w:hint="eastAsia" w:cs="Times New Roman"/>
                      <w:color w:val="auto"/>
                      <w:kern w:val="2"/>
                      <w:sz w:val="21"/>
                      <w:szCs w:val="21"/>
                      <w:lang w:val="en-US" w:eastAsia="zh-CN" w:bidi="ar-SA"/>
                    </w:rPr>
                  </w:pPr>
                </w:p>
              </w:tc>
              <w:tc>
                <w:tcPr>
                  <w:tcW w:w="776" w:type="pct"/>
                  <w:shd w:val="clear" w:color="auto" w:fill="auto"/>
                  <w:noWrap w:val="0"/>
                  <w:vAlign w:val="center"/>
                </w:tcPr>
                <w:p w14:paraId="74A5ED62">
                  <w:pPr>
                    <w:spacing w:line="280" w:lineRule="exact"/>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2台</w:t>
                  </w:r>
                </w:p>
              </w:tc>
              <w:tc>
                <w:tcPr>
                  <w:tcW w:w="889" w:type="pct"/>
                  <w:vMerge w:val="continue"/>
                  <w:shd w:val="clear" w:color="auto" w:fill="auto"/>
                  <w:noWrap w:val="0"/>
                  <w:vAlign w:val="center"/>
                </w:tcPr>
                <w:p w14:paraId="7E1CC9A7">
                  <w:pPr>
                    <w:spacing w:line="280" w:lineRule="exact"/>
                    <w:jc w:val="center"/>
                    <w:rPr>
                      <w:rFonts w:hint="eastAsia"/>
                      <w:color w:val="auto"/>
                      <w:szCs w:val="21"/>
                      <w:lang w:val="en-US" w:eastAsia="zh-CN"/>
                    </w:rPr>
                  </w:pPr>
                </w:p>
              </w:tc>
            </w:tr>
            <w:tr w14:paraId="1CE526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377" w:type="pct"/>
                  <w:noWrap w:val="0"/>
                  <w:vAlign w:val="center"/>
                </w:tcPr>
                <w:p w14:paraId="5EA473B7">
                  <w:pPr>
                    <w:numPr>
                      <w:ilvl w:val="0"/>
                      <w:numId w:val="3"/>
                    </w:numPr>
                    <w:snapToGrid w:val="0"/>
                    <w:spacing w:line="280" w:lineRule="exact"/>
                    <w:ind w:left="0" w:leftChars="0" w:firstLine="0" w:firstLineChars="0"/>
                    <w:jc w:val="center"/>
                    <w:rPr>
                      <w:color w:val="auto"/>
                    </w:rPr>
                  </w:pPr>
                </w:p>
              </w:tc>
              <w:tc>
                <w:tcPr>
                  <w:tcW w:w="463" w:type="pct"/>
                  <w:vMerge w:val="restart"/>
                  <w:shd w:val="clear" w:color="auto" w:fill="auto"/>
                  <w:noWrap w:val="0"/>
                  <w:vAlign w:val="center"/>
                </w:tcPr>
                <w:p w14:paraId="4EA3EB10">
                  <w:pPr>
                    <w:jc w:val="center"/>
                    <w:rPr>
                      <w:rFonts w:hint="default"/>
                      <w:color w:val="auto"/>
                      <w:szCs w:val="21"/>
                      <w:lang w:val="en-US" w:eastAsia="zh-CN"/>
                    </w:rPr>
                  </w:pPr>
                  <w:r>
                    <w:rPr>
                      <w:rFonts w:hint="eastAsia"/>
                      <w:color w:val="auto"/>
                      <w:szCs w:val="21"/>
                      <w:lang w:val="en-US" w:eastAsia="zh-CN"/>
                    </w:rPr>
                    <w:t>夹胶线</w:t>
                  </w:r>
                </w:p>
              </w:tc>
              <w:tc>
                <w:tcPr>
                  <w:tcW w:w="974" w:type="pct"/>
                  <w:shd w:val="clear" w:color="auto" w:fill="auto"/>
                  <w:noWrap w:val="0"/>
                  <w:vAlign w:val="center"/>
                </w:tcPr>
                <w:p w14:paraId="38E83D1B">
                  <w:pPr>
                    <w:jc w:val="center"/>
                    <w:rPr>
                      <w:rFonts w:hint="default"/>
                      <w:color w:val="auto"/>
                      <w:szCs w:val="21"/>
                      <w:lang w:val="en-US" w:eastAsia="zh-CN"/>
                    </w:rPr>
                  </w:pPr>
                  <w:r>
                    <w:rPr>
                      <w:rFonts w:hint="eastAsia"/>
                      <w:color w:val="auto"/>
                      <w:szCs w:val="21"/>
                      <w:lang w:val="en-US" w:eastAsia="zh-CN"/>
                    </w:rPr>
                    <w:t>合片台</w:t>
                  </w:r>
                </w:p>
              </w:tc>
              <w:tc>
                <w:tcPr>
                  <w:tcW w:w="764" w:type="pct"/>
                  <w:shd w:val="clear" w:color="auto" w:fill="auto"/>
                  <w:noWrap w:val="0"/>
                  <w:vAlign w:val="center"/>
                </w:tcPr>
                <w:p w14:paraId="12778677">
                  <w:pPr>
                    <w:jc w:val="center"/>
                    <w:rPr>
                      <w:rFonts w:hint="default"/>
                      <w:color w:val="auto"/>
                      <w:szCs w:val="21"/>
                      <w:lang w:val="en-US" w:eastAsia="zh-CN"/>
                    </w:rPr>
                  </w:pPr>
                  <w:r>
                    <w:rPr>
                      <w:rFonts w:hint="eastAsia"/>
                      <w:color w:val="auto"/>
                      <w:szCs w:val="21"/>
                      <w:lang w:val="en-US" w:eastAsia="zh-CN"/>
                    </w:rPr>
                    <w:t>非标</w:t>
                  </w:r>
                </w:p>
              </w:tc>
              <w:tc>
                <w:tcPr>
                  <w:tcW w:w="754" w:type="pct"/>
                  <w:vMerge w:val="restart"/>
                  <w:shd w:val="clear" w:color="auto" w:fill="auto"/>
                  <w:noWrap w:val="0"/>
                  <w:vAlign w:val="center"/>
                </w:tcPr>
                <w:p w14:paraId="2ED11667">
                  <w:pPr>
                    <w:jc w:val="center"/>
                    <w:rPr>
                      <w:rFonts w:hint="default"/>
                      <w:color w:val="auto"/>
                      <w:szCs w:val="21"/>
                      <w:lang w:val="en-US" w:eastAsia="zh-CN"/>
                    </w:rPr>
                  </w:pPr>
                  <w:r>
                    <w:rPr>
                      <w:rFonts w:hint="eastAsia"/>
                      <w:color w:val="auto"/>
                      <w:szCs w:val="21"/>
                      <w:lang w:val="en-US" w:eastAsia="zh-CN"/>
                    </w:rPr>
                    <w:t>1条</w:t>
                  </w:r>
                </w:p>
              </w:tc>
              <w:tc>
                <w:tcPr>
                  <w:tcW w:w="776" w:type="pct"/>
                  <w:shd w:val="clear" w:color="auto" w:fill="auto"/>
                  <w:noWrap w:val="0"/>
                  <w:vAlign w:val="center"/>
                </w:tcPr>
                <w:p w14:paraId="741BE6FF">
                  <w:pPr>
                    <w:spacing w:line="280" w:lineRule="exact"/>
                    <w:jc w:val="center"/>
                    <w:rPr>
                      <w:rFonts w:hint="default"/>
                      <w:color w:val="auto"/>
                      <w:szCs w:val="21"/>
                      <w:lang w:val="en-US" w:eastAsia="zh-CN"/>
                    </w:rPr>
                  </w:pPr>
                  <w:r>
                    <w:rPr>
                      <w:rFonts w:hint="eastAsia"/>
                      <w:color w:val="auto"/>
                      <w:szCs w:val="21"/>
                      <w:lang w:val="en-US" w:eastAsia="zh-CN"/>
                    </w:rPr>
                    <w:t>2</w:t>
                  </w:r>
                  <w:r>
                    <w:rPr>
                      <w:rFonts w:hint="eastAsia" w:cs="Times New Roman"/>
                      <w:color w:val="auto"/>
                      <w:kern w:val="2"/>
                      <w:sz w:val="21"/>
                      <w:szCs w:val="21"/>
                      <w:lang w:val="en-US" w:eastAsia="zh-CN" w:bidi="ar-SA"/>
                    </w:rPr>
                    <w:t>台</w:t>
                  </w:r>
                </w:p>
              </w:tc>
              <w:tc>
                <w:tcPr>
                  <w:tcW w:w="889" w:type="pct"/>
                  <w:vMerge w:val="restart"/>
                  <w:shd w:val="clear" w:color="auto" w:fill="auto"/>
                  <w:noWrap w:val="0"/>
                  <w:vAlign w:val="center"/>
                </w:tcPr>
                <w:p w14:paraId="3C7967EC">
                  <w:pPr>
                    <w:spacing w:line="280" w:lineRule="exact"/>
                    <w:jc w:val="center"/>
                    <w:rPr>
                      <w:rFonts w:hint="eastAsia"/>
                      <w:color w:val="auto"/>
                      <w:szCs w:val="21"/>
                      <w:lang w:val="en-US" w:eastAsia="zh-CN"/>
                    </w:rPr>
                  </w:pPr>
                  <w:r>
                    <w:rPr>
                      <w:rFonts w:hint="eastAsia"/>
                      <w:color w:val="auto"/>
                      <w:szCs w:val="21"/>
                      <w:lang w:val="en-US" w:eastAsia="zh-CN"/>
                    </w:rPr>
                    <w:t>无变化</w:t>
                  </w:r>
                </w:p>
              </w:tc>
            </w:tr>
            <w:tr w14:paraId="3655A1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377" w:type="pct"/>
                  <w:noWrap w:val="0"/>
                  <w:vAlign w:val="center"/>
                </w:tcPr>
                <w:p w14:paraId="465B42A9">
                  <w:pPr>
                    <w:numPr>
                      <w:ilvl w:val="0"/>
                      <w:numId w:val="3"/>
                    </w:numPr>
                    <w:snapToGrid w:val="0"/>
                    <w:spacing w:line="280" w:lineRule="exact"/>
                    <w:ind w:left="0" w:leftChars="0" w:firstLine="0" w:firstLineChars="0"/>
                    <w:jc w:val="center"/>
                    <w:rPr>
                      <w:color w:val="auto"/>
                    </w:rPr>
                  </w:pPr>
                </w:p>
              </w:tc>
              <w:tc>
                <w:tcPr>
                  <w:tcW w:w="463" w:type="pct"/>
                  <w:vMerge w:val="continue"/>
                  <w:shd w:val="clear" w:color="auto" w:fill="auto"/>
                  <w:noWrap w:val="0"/>
                  <w:vAlign w:val="center"/>
                </w:tcPr>
                <w:p w14:paraId="09124F04">
                  <w:pPr>
                    <w:jc w:val="center"/>
                    <w:rPr>
                      <w:rFonts w:hint="default"/>
                      <w:color w:val="auto"/>
                      <w:szCs w:val="21"/>
                      <w:lang w:val="en-US" w:eastAsia="zh-CN"/>
                    </w:rPr>
                  </w:pPr>
                </w:p>
              </w:tc>
              <w:tc>
                <w:tcPr>
                  <w:tcW w:w="974" w:type="pct"/>
                  <w:shd w:val="clear" w:color="auto" w:fill="auto"/>
                  <w:noWrap w:val="0"/>
                  <w:vAlign w:val="center"/>
                </w:tcPr>
                <w:p w14:paraId="4CF260B2">
                  <w:pPr>
                    <w:jc w:val="center"/>
                    <w:rPr>
                      <w:rFonts w:hint="default"/>
                      <w:color w:val="auto"/>
                      <w:szCs w:val="21"/>
                      <w:lang w:val="en-US" w:eastAsia="zh-CN"/>
                    </w:rPr>
                  </w:pPr>
                  <w:r>
                    <w:rPr>
                      <w:rFonts w:hint="eastAsia"/>
                      <w:color w:val="auto"/>
                      <w:szCs w:val="21"/>
                      <w:lang w:val="en-US" w:eastAsia="zh-CN"/>
                    </w:rPr>
                    <w:t>压片台</w:t>
                  </w:r>
                </w:p>
              </w:tc>
              <w:tc>
                <w:tcPr>
                  <w:tcW w:w="764" w:type="pct"/>
                  <w:shd w:val="clear" w:color="auto" w:fill="auto"/>
                  <w:noWrap w:val="0"/>
                  <w:vAlign w:val="center"/>
                </w:tcPr>
                <w:p w14:paraId="60D895E5">
                  <w:pPr>
                    <w:jc w:val="center"/>
                    <w:rPr>
                      <w:rFonts w:hint="default"/>
                      <w:color w:val="auto"/>
                      <w:szCs w:val="21"/>
                      <w:lang w:val="en-US" w:eastAsia="zh-CN"/>
                    </w:rPr>
                  </w:pPr>
                  <w:r>
                    <w:rPr>
                      <w:rFonts w:hint="eastAsia"/>
                      <w:color w:val="auto"/>
                      <w:szCs w:val="21"/>
                      <w:lang w:val="en-US" w:eastAsia="zh-CN"/>
                    </w:rPr>
                    <w:t>非标</w:t>
                  </w:r>
                </w:p>
              </w:tc>
              <w:tc>
                <w:tcPr>
                  <w:tcW w:w="754" w:type="pct"/>
                  <w:vMerge w:val="continue"/>
                  <w:shd w:val="clear" w:color="auto" w:fill="auto"/>
                  <w:noWrap w:val="0"/>
                  <w:vAlign w:val="center"/>
                </w:tcPr>
                <w:p w14:paraId="48C85880">
                  <w:pPr>
                    <w:jc w:val="center"/>
                    <w:rPr>
                      <w:rFonts w:hint="default"/>
                      <w:color w:val="auto"/>
                      <w:szCs w:val="21"/>
                      <w:lang w:val="en-US" w:eastAsia="zh-CN"/>
                    </w:rPr>
                  </w:pPr>
                </w:p>
              </w:tc>
              <w:tc>
                <w:tcPr>
                  <w:tcW w:w="776" w:type="pct"/>
                  <w:shd w:val="clear" w:color="auto" w:fill="auto"/>
                  <w:noWrap w:val="0"/>
                  <w:vAlign w:val="center"/>
                </w:tcPr>
                <w:p w14:paraId="1171A41C">
                  <w:pPr>
                    <w:spacing w:line="280" w:lineRule="exact"/>
                    <w:jc w:val="center"/>
                    <w:rPr>
                      <w:rFonts w:hint="default"/>
                      <w:color w:val="auto"/>
                      <w:szCs w:val="21"/>
                      <w:lang w:val="en-US" w:eastAsia="zh-CN"/>
                    </w:rPr>
                  </w:pPr>
                  <w:r>
                    <w:rPr>
                      <w:rFonts w:hint="eastAsia"/>
                      <w:color w:val="auto"/>
                      <w:szCs w:val="21"/>
                      <w:lang w:val="en-US" w:eastAsia="zh-CN"/>
                    </w:rPr>
                    <w:t>2</w:t>
                  </w:r>
                  <w:r>
                    <w:rPr>
                      <w:rFonts w:hint="eastAsia" w:cs="Times New Roman"/>
                      <w:color w:val="auto"/>
                      <w:kern w:val="2"/>
                      <w:sz w:val="21"/>
                      <w:szCs w:val="21"/>
                      <w:lang w:val="en-US" w:eastAsia="zh-CN" w:bidi="ar-SA"/>
                    </w:rPr>
                    <w:t>台</w:t>
                  </w:r>
                </w:p>
              </w:tc>
              <w:tc>
                <w:tcPr>
                  <w:tcW w:w="889" w:type="pct"/>
                  <w:vMerge w:val="continue"/>
                  <w:shd w:val="clear" w:color="auto" w:fill="auto"/>
                  <w:noWrap w:val="0"/>
                  <w:vAlign w:val="center"/>
                </w:tcPr>
                <w:p w14:paraId="71970A35">
                  <w:pPr>
                    <w:spacing w:line="280" w:lineRule="exact"/>
                    <w:jc w:val="center"/>
                    <w:rPr>
                      <w:rFonts w:hint="eastAsia"/>
                      <w:color w:val="auto"/>
                      <w:szCs w:val="21"/>
                      <w:lang w:val="en-US" w:eastAsia="zh-CN"/>
                    </w:rPr>
                  </w:pPr>
                </w:p>
              </w:tc>
            </w:tr>
            <w:tr w14:paraId="49EE2E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377" w:type="pct"/>
                  <w:noWrap w:val="0"/>
                  <w:vAlign w:val="center"/>
                </w:tcPr>
                <w:p w14:paraId="13B5AA5A">
                  <w:pPr>
                    <w:numPr>
                      <w:ilvl w:val="0"/>
                      <w:numId w:val="3"/>
                    </w:numPr>
                    <w:snapToGrid w:val="0"/>
                    <w:spacing w:line="280" w:lineRule="exact"/>
                    <w:ind w:left="0" w:leftChars="0" w:firstLine="0" w:firstLineChars="0"/>
                    <w:jc w:val="center"/>
                    <w:rPr>
                      <w:color w:val="auto"/>
                    </w:rPr>
                  </w:pPr>
                </w:p>
              </w:tc>
              <w:tc>
                <w:tcPr>
                  <w:tcW w:w="463" w:type="pct"/>
                  <w:vMerge w:val="continue"/>
                  <w:shd w:val="clear" w:color="auto" w:fill="auto"/>
                  <w:noWrap w:val="0"/>
                  <w:vAlign w:val="center"/>
                </w:tcPr>
                <w:p w14:paraId="646ED0E3">
                  <w:pPr>
                    <w:jc w:val="center"/>
                    <w:rPr>
                      <w:rFonts w:hint="default"/>
                      <w:color w:val="auto"/>
                      <w:szCs w:val="21"/>
                      <w:lang w:val="en-US" w:eastAsia="zh-CN"/>
                    </w:rPr>
                  </w:pPr>
                </w:p>
              </w:tc>
              <w:tc>
                <w:tcPr>
                  <w:tcW w:w="974" w:type="pct"/>
                  <w:shd w:val="clear" w:color="auto" w:fill="auto"/>
                  <w:noWrap w:val="0"/>
                  <w:vAlign w:val="center"/>
                </w:tcPr>
                <w:p w14:paraId="3AEF654A">
                  <w:pPr>
                    <w:jc w:val="center"/>
                    <w:rPr>
                      <w:rFonts w:hint="default"/>
                      <w:color w:val="auto"/>
                      <w:szCs w:val="21"/>
                      <w:lang w:val="en-US" w:eastAsia="zh-CN"/>
                    </w:rPr>
                  </w:pPr>
                  <w:r>
                    <w:rPr>
                      <w:rFonts w:hint="eastAsia"/>
                      <w:color w:val="auto"/>
                      <w:szCs w:val="21"/>
                      <w:lang w:val="en-US" w:eastAsia="zh-CN"/>
                    </w:rPr>
                    <w:t>合片室</w:t>
                  </w:r>
                </w:p>
              </w:tc>
              <w:tc>
                <w:tcPr>
                  <w:tcW w:w="764" w:type="pct"/>
                  <w:shd w:val="clear" w:color="auto" w:fill="auto"/>
                  <w:noWrap w:val="0"/>
                  <w:vAlign w:val="center"/>
                </w:tcPr>
                <w:p w14:paraId="5F5C8F59">
                  <w:pPr>
                    <w:jc w:val="center"/>
                    <w:rPr>
                      <w:rFonts w:hint="default"/>
                      <w:color w:val="auto"/>
                      <w:szCs w:val="21"/>
                      <w:lang w:val="en-US" w:eastAsia="zh-CN"/>
                    </w:rPr>
                  </w:pPr>
                  <w:r>
                    <w:rPr>
                      <w:rFonts w:hint="eastAsia"/>
                      <w:color w:val="auto"/>
                      <w:szCs w:val="21"/>
                      <w:lang w:val="en-US" w:eastAsia="zh-CN"/>
                    </w:rPr>
                    <w:t>非标</w:t>
                  </w:r>
                </w:p>
              </w:tc>
              <w:tc>
                <w:tcPr>
                  <w:tcW w:w="754" w:type="pct"/>
                  <w:vMerge w:val="continue"/>
                  <w:shd w:val="clear" w:color="auto" w:fill="auto"/>
                  <w:noWrap w:val="0"/>
                  <w:vAlign w:val="center"/>
                </w:tcPr>
                <w:p w14:paraId="18B7B20F">
                  <w:pPr>
                    <w:jc w:val="center"/>
                    <w:rPr>
                      <w:rFonts w:hint="default"/>
                      <w:color w:val="auto"/>
                      <w:szCs w:val="21"/>
                      <w:lang w:val="en-US" w:eastAsia="zh-CN"/>
                    </w:rPr>
                  </w:pPr>
                </w:p>
              </w:tc>
              <w:tc>
                <w:tcPr>
                  <w:tcW w:w="776" w:type="pct"/>
                  <w:shd w:val="clear" w:color="auto" w:fill="auto"/>
                  <w:noWrap w:val="0"/>
                  <w:vAlign w:val="center"/>
                </w:tcPr>
                <w:p w14:paraId="33CE80B2">
                  <w:pPr>
                    <w:spacing w:line="280" w:lineRule="exact"/>
                    <w:jc w:val="center"/>
                    <w:rPr>
                      <w:rFonts w:hint="default"/>
                      <w:color w:val="auto"/>
                      <w:szCs w:val="21"/>
                      <w:lang w:val="en-US" w:eastAsia="zh-CN"/>
                    </w:rPr>
                  </w:pPr>
                  <w:r>
                    <w:rPr>
                      <w:rFonts w:hint="eastAsia"/>
                      <w:color w:val="auto"/>
                      <w:szCs w:val="21"/>
                      <w:lang w:val="en-US" w:eastAsia="zh-CN"/>
                    </w:rPr>
                    <w:t>1</w:t>
                  </w:r>
                  <w:r>
                    <w:rPr>
                      <w:rFonts w:hint="eastAsia" w:cs="Times New Roman"/>
                      <w:color w:val="auto"/>
                      <w:kern w:val="2"/>
                      <w:sz w:val="21"/>
                      <w:szCs w:val="21"/>
                      <w:lang w:val="en-US" w:eastAsia="zh-CN" w:bidi="ar-SA"/>
                    </w:rPr>
                    <w:t>台</w:t>
                  </w:r>
                </w:p>
              </w:tc>
              <w:tc>
                <w:tcPr>
                  <w:tcW w:w="889" w:type="pct"/>
                  <w:vMerge w:val="continue"/>
                  <w:shd w:val="clear" w:color="auto" w:fill="auto"/>
                  <w:noWrap w:val="0"/>
                  <w:vAlign w:val="center"/>
                </w:tcPr>
                <w:p w14:paraId="2F738D2E">
                  <w:pPr>
                    <w:spacing w:line="280" w:lineRule="exact"/>
                    <w:jc w:val="center"/>
                    <w:rPr>
                      <w:rFonts w:hint="eastAsia"/>
                      <w:color w:val="auto"/>
                      <w:szCs w:val="21"/>
                      <w:lang w:val="en-US" w:eastAsia="zh-CN"/>
                    </w:rPr>
                  </w:pPr>
                </w:p>
              </w:tc>
            </w:tr>
            <w:tr w14:paraId="133B33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377" w:type="pct"/>
                  <w:noWrap w:val="0"/>
                  <w:vAlign w:val="center"/>
                </w:tcPr>
                <w:p w14:paraId="4691B0EB">
                  <w:pPr>
                    <w:numPr>
                      <w:ilvl w:val="0"/>
                      <w:numId w:val="3"/>
                    </w:numPr>
                    <w:snapToGrid w:val="0"/>
                    <w:spacing w:line="280" w:lineRule="exact"/>
                    <w:ind w:left="0" w:leftChars="0" w:firstLine="0" w:firstLineChars="0"/>
                    <w:jc w:val="center"/>
                    <w:rPr>
                      <w:color w:val="auto"/>
                    </w:rPr>
                  </w:pPr>
                </w:p>
              </w:tc>
              <w:tc>
                <w:tcPr>
                  <w:tcW w:w="463" w:type="pct"/>
                  <w:vMerge w:val="continue"/>
                  <w:shd w:val="clear" w:color="auto" w:fill="auto"/>
                  <w:noWrap w:val="0"/>
                  <w:vAlign w:val="center"/>
                </w:tcPr>
                <w:p w14:paraId="083809B8">
                  <w:pPr>
                    <w:jc w:val="center"/>
                    <w:rPr>
                      <w:rFonts w:hint="default"/>
                      <w:color w:val="auto"/>
                      <w:szCs w:val="21"/>
                      <w:lang w:val="en-US" w:eastAsia="zh-CN"/>
                    </w:rPr>
                  </w:pPr>
                </w:p>
              </w:tc>
              <w:tc>
                <w:tcPr>
                  <w:tcW w:w="974" w:type="pct"/>
                  <w:shd w:val="clear" w:color="auto" w:fill="auto"/>
                  <w:noWrap w:val="0"/>
                  <w:vAlign w:val="center"/>
                </w:tcPr>
                <w:p w14:paraId="67B803CC">
                  <w:pPr>
                    <w:jc w:val="center"/>
                    <w:rPr>
                      <w:rFonts w:hint="default"/>
                      <w:color w:val="auto"/>
                      <w:szCs w:val="21"/>
                      <w:lang w:val="en-US" w:eastAsia="zh-CN"/>
                    </w:rPr>
                  </w:pPr>
                  <w:r>
                    <w:rPr>
                      <w:rFonts w:hint="eastAsia"/>
                      <w:color w:val="auto"/>
                      <w:szCs w:val="21"/>
                      <w:lang w:val="en-US" w:eastAsia="zh-CN"/>
                    </w:rPr>
                    <w:t>压辊机</w:t>
                  </w:r>
                </w:p>
              </w:tc>
              <w:tc>
                <w:tcPr>
                  <w:tcW w:w="764" w:type="pct"/>
                  <w:shd w:val="clear" w:color="auto" w:fill="auto"/>
                  <w:noWrap w:val="0"/>
                  <w:vAlign w:val="center"/>
                </w:tcPr>
                <w:p w14:paraId="1083370C">
                  <w:pPr>
                    <w:jc w:val="center"/>
                    <w:rPr>
                      <w:rFonts w:hint="default"/>
                      <w:color w:val="auto"/>
                      <w:szCs w:val="21"/>
                      <w:lang w:val="en-US" w:eastAsia="zh-CN"/>
                    </w:rPr>
                  </w:pPr>
                  <w:r>
                    <w:rPr>
                      <w:rFonts w:hint="eastAsia"/>
                      <w:color w:val="auto"/>
                      <w:szCs w:val="21"/>
                      <w:lang w:val="en-US" w:eastAsia="zh-CN"/>
                    </w:rPr>
                    <w:t>非标</w:t>
                  </w:r>
                </w:p>
              </w:tc>
              <w:tc>
                <w:tcPr>
                  <w:tcW w:w="754" w:type="pct"/>
                  <w:vMerge w:val="continue"/>
                  <w:shd w:val="clear" w:color="auto" w:fill="auto"/>
                  <w:noWrap w:val="0"/>
                  <w:vAlign w:val="center"/>
                </w:tcPr>
                <w:p w14:paraId="3A92340F">
                  <w:pPr>
                    <w:jc w:val="center"/>
                    <w:rPr>
                      <w:rFonts w:hint="default"/>
                      <w:color w:val="auto"/>
                      <w:szCs w:val="21"/>
                      <w:lang w:val="en-US" w:eastAsia="zh-CN"/>
                    </w:rPr>
                  </w:pPr>
                </w:p>
              </w:tc>
              <w:tc>
                <w:tcPr>
                  <w:tcW w:w="776" w:type="pct"/>
                  <w:shd w:val="clear" w:color="auto" w:fill="auto"/>
                  <w:noWrap w:val="0"/>
                  <w:vAlign w:val="center"/>
                </w:tcPr>
                <w:p w14:paraId="132769ED">
                  <w:pPr>
                    <w:spacing w:line="280" w:lineRule="exact"/>
                    <w:jc w:val="center"/>
                    <w:rPr>
                      <w:rFonts w:hint="default"/>
                      <w:color w:val="auto"/>
                      <w:szCs w:val="21"/>
                      <w:lang w:val="en-US" w:eastAsia="zh-CN"/>
                    </w:rPr>
                  </w:pPr>
                  <w:r>
                    <w:rPr>
                      <w:rFonts w:hint="eastAsia"/>
                      <w:color w:val="auto"/>
                      <w:szCs w:val="21"/>
                      <w:lang w:val="en-US" w:eastAsia="zh-CN"/>
                    </w:rPr>
                    <w:t>1</w:t>
                  </w:r>
                  <w:r>
                    <w:rPr>
                      <w:rFonts w:hint="eastAsia" w:cs="Times New Roman"/>
                      <w:color w:val="auto"/>
                      <w:kern w:val="2"/>
                      <w:sz w:val="21"/>
                      <w:szCs w:val="21"/>
                      <w:lang w:val="en-US" w:eastAsia="zh-CN" w:bidi="ar-SA"/>
                    </w:rPr>
                    <w:t>台</w:t>
                  </w:r>
                </w:p>
              </w:tc>
              <w:tc>
                <w:tcPr>
                  <w:tcW w:w="889" w:type="pct"/>
                  <w:vMerge w:val="continue"/>
                  <w:shd w:val="clear" w:color="auto" w:fill="auto"/>
                  <w:noWrap w:val="0"/>
                  <w:vAlign w:val="center"/>
                </w:tcPr>
                <w:p w14:paraId="7BEDD9B7">
                  <w:pPr>
                    <w:spacing w:line="280" w:lineRule="exact"/>
                    <w:jc w:val="center"/>
                    <w:rPr>
                      <w:rFonts w:hint="eastAsia"/>
                      <w:color w:val="auto"/>
                      <w:szCs w:val="21"/>
                      <w:lang w:val="en-US" w:eastAsia="zh-CN"/>
                    </w:rPr>
                  </w:pPr>
                </w:p>
              </w:tc>
            </w:tr>
            <w:tr w14:paraId="2699F7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377" w:type="pct"/>
                  <w:noWrap w:val="0"/>
                  <w:vAlign w:val="center"/>
                </w:tcPr>
                <w:p w14:paraId="7BB9338A">
                  <w:pPr>
                    <w:numPr>
                      <w:ilvl w:val="0"/>
                      <w:numId w:val="3"/>
                    </w:numPr>
                    <w:snapToGrid w:val="0"/>
                    <w:spacing w:line="280" w:lineRule="exact"/>
                    <w:ind w:left="0" w:leftChars="0" w:firstLine="0" w:firstLineChars="0"/>
                    <w:jc w:val="center"/>
                    <w:rPr>
                      <w:color w:val="auto"/>
                    </w:rPr>
                  </w:pPr>
                </w:p>
              </w:tc>
              <w:tc>
                <w:tcPr>
                  <w:tcW w:w="463" w:type="pct"/>
                  <w:vMerge w:val="continue"/>
                  <w:shd w:val="clear" w:color="auto" w:fill="auto"/>
                  <w:noWrap w:val="0"/>
                  <w:vAlign w:val="center"/>
                </w:tcPr>
                <w:p w14:paraId="74F5C039">
                  <w:pPr>
                    <w:jc w:val="center"/>
                    <w:rPr>
                      <w:rFonts w:hint="default"/>
                      <w:color w:val="auto"/>
                      <w:szCs w:val="21"/>
                      <w:lang w:val="en-US" w:eastAsia="zh-CN"/>
                    </w:rPr>
                  </w:pPr>
                </w:p>
              </w:tc>
              <w:tc>
                <w:tcPr>
                  <w:tcW w:w="974" w:type="pct"/>
                  <w:shd w:val="clear" w:color="auto" w:fill="auto"/>
                  <w:noWrap w:val="0"/>
                  <w:vAlign w:val="center"/>
                </w:tcPr>
                <w:p w14:paraId="355F0510">
                  <w:pPr>
                    <w:jc w:val="center"/>
                    <w:rPr>
                      <w:rFonts w:hint="default"/>
                      <w:color w:val="auto"/>
                      <w:szCs w:val="21"/>
                      <w:lang w:val="en-US" w:eastAsia="zh-CN"/>
                    </w:rPr>
                  </w:pPr>
                  <w:r>
                    <w:rPr>
                      <w:rFonts w:hint="eastAsia"/>
                      <w:color w:val="auto"/>
                      <w:szCs w:val="21"/>
                      <w:lang w:val="en-US" w:eastAsia="zh-CN"/>
                    </w:rPr>
                    <w:t>高压釜</w:t>
                  </w:r>
                </w:p>
              </w:tc>
              <w:tc>
                <w:tcPr>
                  <w:tcW w:w="764" w:type="pct"/>
                  <w:shd w:val="clear" w:color="auto" w:fill="auto"/>
                  <w:noWrap w:val="0"/>
                  <w:vAlign w:val="center"/>
                </w:tcPr>
                <w:p w14:paraId="7A6E7DC8">
                  <w:pPr>
                    <w:jc w:val="center"/>
                    <w:rPr>
                      <w:rFonts w:hint="default"/>
                      <w:color w:val="auto"/>
                      <w:szCs w:val="21"/>
                      <w:lang w:val="en-US" w:eastAsia="zh-CN"/>
                    </w:rPr>
                  </w:pPr>
                  <w:r>
                    <w:rPr>
                      <w:rFonts w:hint="eastAsia"/>
                      <w:color w:val="auto"/>
                      <w:szCs w:val="21"/>
                      <w:lang w:val="en-US" w:eastAsia="zh-CN"/>
                    </w:rPr>
                    <w:t>非标</w:t>
                  </w:r>
                </w:p>
              </w:tc>
              <w:tc>
                <w:tcPr>
                  <w:tcW w:w="754" w:type="pct"/>
                  <w:vMerge w:val="continue"/>
                  <w:shd w:val="clear" w:color="auto" w:fill="auto"/>
                  <w:noWrap w:val="0"/>
                  <w:vAlign w:val="center"/>
                </w:tcPr>
                <w:p w14:paraId="38EB89C0">
                  <w:pPr>
                    <w:jc w:val="center"/>
                    <w:rPr>
                      <w:rFonts w:hint="default"/>
                      <w:color w:val="auto"/>
                      <w:szCs w:val="21"/>
                      <w:lang w:val="en-US" w:eastAsia="zh-CN"/>
                    </w:rPr>
                  </w:pPr>
                </w:p>
              </w:tc>
              <w:tc>
                <w:tcPr>
                  <w:tcW w:w="776" w:type="pct"/>
                  <w:shd w:val="clear" w:color="auto" w:fill="auto"/>
                  <w:noWrap w:val="0"/>
                  <w:vAlign w:val="center"/>
                </w:tcPr>
                <w:p w14:paraId="7B527E04">
                  <w:pPr>
                    <w:spacing w:line="280" w:lineRule="exact"/>
                    <w:jc w:val="center"/>
                    <w:rPr>
                      <w:rFonts w:hint="default"/>
                      <w:color w:val="auto"/>
                      <w:szCs w:val="21"/>
                      <w:lang w:val="en-US" w:eastAsia="zh-CN"/>
                    </w:rPr>
                  </w:pPr>
                  <w:r>
                    <w:rPr>
                      <w:rFonts w:hint="eastAsia"/>
                      <w:color w:val="auto"/>
                      <w:szCs w:val="21"/>
                      <w:lang w:val="en-US" w:eastAsia="zh-CN"/>
                    </w:rPr>
                    <w:t>1</w:t>
                  </w:r>
                  <w:r>
                    <w:rPr>
                      <w:rFonts w:hint="eastAsia" w:cs="Times New Roman"/>
                      <w:color w:val="auto"/>
                      <w:kern w:val="2"/>
                      <w:sz w:val="21"/>
                      <w:szCs w:val="21"/>
                      <w:lang w:val="en-US" w:eastAsia="zh-CN" w:bidi="ar-SA"/>
                    </w:rPr>
                    <w:t>台</w:t>
                  </w:r>
                </w:p>
              </w:tc>
              <w:tc>
                <w:tcPr>
                  <w:tcW w:w="889" w:type="pct"/>
                  <w:vMerge w:val="continue"/>
                  <w:shd w:val="clear" w:color="auto" w:fill="auto"/>
                  <w:noWrap w:val="0"/>
                  <w:vAlign w:val="center"/>
                </w:tcPr>
                <w:p w14:paraId="5A9353A1">
                  <w:pPr>
                    <w:spacing w:line="280" w:lineRule="exact"/>
                    <w:jc w:val="center"/>
                    <w:rPr>
                      <w:rFonts w:hint="eastAsia"/>
                      <w:color w:val="auto"/>
                      <w:szCs w:val="21"/>
                      <w:lang w:val="en-US" w:eastAsia="zh-CN"/>
                    </w:rPr>
                  </w:pPr>
                </w:p>
              </w:tc>
            </w:tr>
            <w:tr w14:paraId="79D103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377" w:type="pct"/>
                  <w:noWrap w:val="0"/>
                  <w:vAlign w:val="center"/>
                </w:tcPr>
                <w:p w14:paraId="4E84828B">
                  <w:pPr>
                    <w:numPr>
                      <w:ilvl w:val="0"/>
                      <w:numId w:val="3"/>
                    </w:numPr>
                    <w:snapToGrid w:val="0"/>
                    <w:spacing w:line="280" w:lineRule="exact"/>
                    <w:ind w:left="0" w:leftChars="0" w:firstLine="0" w:firstLineChars="0"/>
                    <w:jc w:val="center"/>
                    <w:rPr>
                      <w:color w:val="auto"/>
                    </w:rPr>
                  </w:pPr>
                </w:p>
              </w:tc>
              <w:tc>
                <w:tcPr>
                  <w:tcW w:w="1437" w:type="pct"/>
                  <w:gridSpan w:val="2"/>
                  <w:shd w:val="clear" w:color="auto" w:fill="auto"/>
                  <w:noWrap w:val="0"/>
                  <w:vAlign w:val="center"/>
                </w:tcPr>
                <w:p w14:paraId="0F45A5F1">
                  <w:pPr>
                    <w:jc w:val="center"/>
                    <w:rPr>
                      <w:rFonts w:hint="default"/>
                      <w:color w:val="auto"/>
                      <w:szCs w:val="21"/>
                      <w:lang w:val="en-US" w:eastAsia="zh-CN"/>
                    </w:rPr>
                  </w:pPr>
                  <w:r>
                    <w:rPr>
                      <w:rFonts w:hint="eastAsia"/>
                      <w:color w:val="auto"/>
                      <w:szCs w:val="21"/>
                      <w:lang w:val="en-US" w:eastAsia="zh-CN"/>
                    </w:rPr>
                    <w:t>空压机</w:t>
                  </w:r>
                </w:p>
              </w:tc>
              <w:tc>
                <w:tcPr>
                  <w:tcW w:w="764" w:type="pct"/>
                  <w:shd w:val="clear" w:color="auto" w:fill="auto"/>
                  <w:noWrap w:val="0"/>
                  <w:vAlign w:val="center"/>
                </w:tcPr>
                <w:p w14:paraId="060D804D">
                  <w:pPr>
                    <w:jc w:val="center"/>
                    <w:rPr>
                      <w:rFonts w:hint="default"/>
                      <w:color w:val="auto"/>
                      <w:szCs w:val="21"/>
                      <w:lang w:val="en-US" w:eastAsia="zh-CN"/>
                    </w:rPr>
                  </w:pPr>
                  <w:r>
                    <w:rPr>
                      <w:rFonts w:hint="eastAsia"/>
                      <w:color w:val="auto"/>
                      <w:szCs w:val="21"/>
                      <w:lang w:val="en-US" w:eastAsia="zh-CN"/>
                    </w:rPr>
                    <w:t>非标</w:t>
                  </w:r>
                </w:p>
              </w:tc>
              <w:tc>
                <w:tcPr>
                  <w:tcW w:w="754" w:type="pct"/>
                  <w:shd w:val="clear" w:color="auto" w:fill="auto"/>
                  <w:noWrap w:val="0"/>
                  <w:vAlign w:val="center"/>
                </w:tcPr>
                <w:p w14:paraId="67CA14B4">
                  <w:pPr>
                    <w:jc w:val="center"/>
                    <w:rPr>
                      <w:rFonts w:hint="default"/>
                      <w:color w:val="auto"/>
                      <w:szCs w:val="21"/>
                      <w:lang w:val="en-US" w:eastAsia="zh-CN"/>
                    </w:rPr>
                  </w:pPr>
                  <w:r>
                    <w:rPr>
                      <w:rFonts w:hint="eastAsia"/>
                      <w:color w:val="auto"/>
                      <w:szCs w:val="21"/>
                      <w:lang w:val="en-US" w:eastAsia="zh-CN"/>
                    </w:rPr>
                    <w:t>1</w:t>
                  </w:r>
                  <w:r>
                    <w:rPr>
                      <w:rFonts w:hint="eastAsia" w:cs="Times New Roman"/>
                      <w:color w:val="auto"/>
                      <w:kern w:val="2"/>
                      <w:sz w:val="21"/>
                      <w:szCs w:val="21"/>
                      <w:lang w:val="en-US" w:eastAsia="zh-CN" w:bidi="ar-SA"/>
                    </w:rPr>
                    <w:t>台</w:t>
                  </w:r>
                </w:p>
              </w:tc>
              <w:tc>
                <w:tcPr>
                  <w:tcW w:w="776" w:type="pct"/>
                  <w:shd w:val="clear" w:color="auto" w:fill="auto"/>
                  <w:noWrap w:val="0"/>
                  <w:vAlign w:val="center"/>
                </w:tcPr>
                <w:p w14:paraId="54D740C2">
                  <w:pPr>
                    <w:spacing w:line="280" w:lineRule="exact"/>
                    <w:jc w:val="center"/>
                    <w:rPr>
                      <w:rFonts w:hint="default"/>
                      <w:color w:val="auto"/>
                      <w:szCs w:val="21"/>
                      <w:lang w:val="en-US" w:eastAsia="zh-CN"/>
                    </w:rPr>
                  </w:pPr>
                  <w:r>
                    <w:rPr>
                      <w:rFonts w:hint="eastAsia"/>
                      <w:color w:val="auto"/>
                      <w:szCs w:val="21"/>
                      <w:lang w:val="en-US" w:eastAsia="zh-CN"/>
                    </w:rPr>
                    <w:t>3</w:t>
                  </w:r>
                  <w:r>
                    <w:rPr>
                      <w:rFonts w:hint="eastAsia" w:cs="Times New Roman"/>
                      <w:color w:val="auto"/>
                      <w:kern w:val="2"/>
                      <w:sz w:val="21"/>
                      <w:szCs w:val="21"/>
                      <w:lang w:val="en-US" w:eastAsia="zh-CN" w:bidi="ar-SA"/>
                    </w:rPr>
                    <w:t>台</w:t>
                  </w:r>
                </w:p>
              </w:tc>
              <w:tc>
                <w:tcPr>
                  <w:tcW w:w="889" w:type="pct"/>
                  <w:shd w:val="clear" w:color="auto" w:fill="auto"/>
                  <w:noWrap w:val="0"/>
                  <w:vAlign w:val="center"/>
                </w:tcPr>
                <w:p w14:paraId="145CDC8E">
                  <w:pPr>
                    <w:spacing w:line="280" w:lineRule="exact"/>
                    <w:jc w:val="center"/>
                    <w:rPr>
                      <w:rFonts w:hint="default"/>
                      <w:color w:val="auto"/>
                      <w:szCs w:val="21"/>
                      <w:lang w:val="en-US" w:eastAsia="zh-CN"/>
                    </w:rPr>
                  </w:pPr>
                  <w:r>
                    <w:rPr>
                      <w:rFonts w:hint="eastAsia"/>
                      <w:color w:val="auto"/>
                      <w:szCs w:val="21"/>
                      <w:lang w:val="en-US" w:eastAsia="zh-CN"/>
                    </w:rPr>
                    <w:t>+2台</w:t>
                  </w:r>
                </w:p>
              </w:tc>
            </w:tr>
          </w:tbl>
          <w:p w14:paraId="41F7F204">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4423696E">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61EE3A93">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34C97FBA">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421E018F">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07710FCD">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6BB9A2EB">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2DACC29F">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44ECF144">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2F618A57">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04F5195D">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12BF5A6E">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0D831E07">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567315D6">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07F7595B">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08BE3883">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48779AF3">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6BEA4A2F">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7B456C1B">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57723343">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r>
              <w:rPr>
                <w:rFonts w:hint="eastAsia"/>
                <w:b/>
                <w:bCs/>
                <w:color w:val="auto"/>
                <w:sz w:val="21"/>
                <w:szCs w:val="21"/>
              </w:rPr>
              <w:t>表2-</w:t>
            </w:r>
            <w:r>
              <w:rPr>
                <w:rFonts w:hint="eastAsia"/>
                <w:b/>
                <w:bCs/>
                <w:color w:val="auto"/>
                <w:sz w:val="21"/>
                <w:szCs w:val="21"/>
                <w:lang w:val="en-US" w:eastAsia="zh-CN"/>
              </w:rPr>
              <w:t xml:space="preserve">4  </w:t>
            </w:r>
            <w:r>
              <w:rPr>
                <w:rFonts w:hint="eastAsia"/>
                <w:b/>
                <w:bCs/>
                <w:color w:val="auto"/>
                <w:sz w:val="21"/>
                <w:szCs w:val="21"/>
              </w:rPr>
              <w:t>项目主要原辅材料一览表</w:t>
            </w:r>
          </w:p>
          <w:tbl>
            <w:tblPr>
              <w:tblStyle w:val="22"/>
              <w:tblW w:w="803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45"/>
              <w:gridCol w:w="900"/>
              <w:gridCol w:w="945"/>
              <w:gridCol w:w="915"/>
              <w:gridCol w:w="1155"/>
              <w:gridCol w:w="690"/>
              <w:gridCol w:w="930"/>
              <w:gridCol w:w="686"/>
            </w:tblGrid>
            <w:tr w14:paraId="47E2C2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570" w:type="dxa"/>
                  <w:vMerge w:val="restart"/>
                  <w:noWrap w:val="0"/>
                  <w:vAlign w:val="center"/>
                </w:tcPr>
                <w:p w14:paraId="3D301DA0">
                  <w:pPr>
                    <w:jc w:val="center"/>
                    <w:rPr>
                      <w:color w:val="auto"/>
                      <w:szCs w:val="21"/>
                    </w:rPr>
                  </w:pPr>
                  <w:r>
                    <w:rPr>
                      <w:color w:val="auto"/>
                      <w:szCs w:val="21"/>
                    </w:rPr>
                    <w:t>序号</w:t>
                  </w:r>
                </w:p>
              </w:tc>
              <w:tc>
                <w:tcPr>
                  <w:tcW w:w="1245" w:type="dxa"/>
                  <w:vMerge w:val="restart"/>
                  <w:noWrap w:val="0"/>
                  <w:vAlign w:val="center"/>
                </w:tcPr>
                <w:p w14:paraId="5D7ABFAF">
                  <w:pPr>
                    <w:jc w:val="center"/>
                    <w:rPr>
                      <w:color w:val="auto"/>
                      <w:szCs w:val="21"/>
                    </w:rPr>
                  </w:pPr>
                  <w:r>
                    <w:rPr>
                      <w:color w:val="auto"/>
                      <w:szCs w:val="21"/>
                    </w:rPr>
                    <w:t>名称</w:t>
                  </w:r>
                </w:p>
              </w:tc>
              <w:tc>
                <w:tcPr>
                  <w:tcW w:w="900" w:type="dxa"/>
                  <w:vMerge w:val="restart"/>
                  <w:noWrap w:val="0"/>
                  <w:vAlign w:val="center"/>
                </w:tcPr>
                <w:p w14:paraId="37403106">
                  <w:pPr>
                    <w:jc w:val="center"/>
                    <w:rPr>
                      <w:color w:val="auto"/>
                      <w:szCs w:val="21"/>
                    </w:rPr>
                  </w:pPr>
                  <w:r>
                    <w:rPr>
                      <w:rFonts w:hint="eastAsia"/>
                      <w:color w:val="auto"/>
                      <w:szCs w:val="21"/>
                    </w:rPr>
                    <w:t>形态</w:t>
                  </w:r>
                </w:p>
              </w:tc>
              <w:tc>
                <w:tcPr>
                  <w:tcW w:w="1860" w:type="dxa"/>
                  <w:gridSpan w:val="2"/>
                  <w:noWrap w:val="0"/>
                  <w:vAlign w:val="center"/>
                </w:tcPr>
                <w:p w14:paraId="7FB53A42">
                  <w:pPr>
                    <w:jc w:val="center"/>
                    <w:rPr>
                      <w:color w:val="auto"/>
                      <w:szCs w:val="21"/>
                    </w:rPr>
                  </w:pPr>
                  <w:r>
                    <w:rPr>
                      <w:color w:val="auto"/>
                      <w:szCs w:val="21"/>
                    </w:rPr>
                    <w:t>年用量</w:t>
                  </w:r>
                </w:p>
              </w:tc>
              <w:tc>
                <w:tcPr>
                  <w:tcW w:w="1155" w:type="dxa"/>
                  <w:vMerge w:val="restart"/>
                  <w:noWrap w:val="0"/>
                  <w:vAlign w:val="center"/>
                </w:tcPr>
                <w:p w14:paraId="527D680C">
                  <w:pPr>
                    <w:jc w:val="center"/>
                    <w:rPr>
                      <w:rFonts w:hint="eastAsia" w:eastAsia="宋体"/>
                      <w:color w:val="auto"/>
                      <w:szCs w:val="21"/>
                      <w:lang w:val="en-US" w:eastAsia="zh-CN"/>
                    </w:rPr>
                  </w:pPr>
                  <w:r>
                    <w:rPr>
                      <w:rFonts w:hint="eastAsia"/>
                      <w:color w:val="auto"/>
                      <w:szCs w:val="21"/>
                      <w:lang w:val="en-US" w:eastAsia="zh-CN"/>
                    </w:rPr>
                    <w:t>变化情况</w:t>
                  </w:r>
                </w:p>
              </w:tc>
              <w:tc>
                <w:tcPr>
                  <w:tcW w:w="690" w:type="dxa"/>
                  <w:vMerge w:val="restart"/>
                  <w:noWrap w:val="0"/>
                  <w:vAlign w:val="center"/>
                </w:tcPr>
                <w:p w14:paraId="7D0FC565">
                  <w:pPr>
                    <w:jc w:val="center"/>
                    <w:rPr>
                      <w:color w:val="auto"/>
                      <w:szCs w:val="21"/>
                    </w:rPr>
                  </w:pPr>
                  <w:r>
                    <w:rPr>
                      <w:rFonts w:hint="eastAsia"/>
                      <w:color w:val="auto"/>
                      <w:szCs w:val="21"/>
                    </w:rPr>
                    <w:t>贮存方式</w:t>
                  </w:r>
                </w:p>
              </w:tc>
              <w:tc>
                <w:tcPr>
                  <w:tcW w:w="930" w:type="dxa"/>
                  <w:vMerge w:val="restart"/>
                  <w:noWrap w:val="0"/>
                  <w:vAlign w:val="center"/>
                </w:tcPr>
                <w:p w14:paraId="588688BE">
                  <w:pPr>
                    <w:jc w:val="center"/>
                    <w:rPr>
                      <w:color w:val="auto"/>
                      <w:szCs w:val="21"/>
                    </w:rPr>
                  </w:pPr>
                  <w:r>
                    <w:rPr>
                      <w:rFonts w:hint="eastAsia"/>
                      <w:color w:val="auto"/>
                      <w:szCs w:val="21"/>
                    </w:rPr>
                    <w:t>最大贮存量</w:t>
                  </w:r>
                </w:p>
              </w:tc>
              <w:tc>
                <w:tcPr>
                  <w:tcW w:w="686" w:type="dxa"/>
                  <w:vMerge w:val="restart"/>
                  <w:noWrap w:val="0"/>
                  <w:vAlign w:val="center"/>
                </w:tcPr>
                <w:p w14:paraId="68661A4A">
                  <w:pPr>
                    <w:jc w:val="center"/>
                    <w:rPr>
                      <w:color w:val="auto"/>
                      <w:szCs w:val="21"/>
                    </w:rPr>
                  </w:pPr>
                  <w:r>
                    <w:rPr>
                      <w:rFonts w:hint="eastAsia"/>
                      <w:color w:val="auto"/>
                      <w:szCs w:val="21"/>
                    </w:rPr>
                    <w:t>备注</w:t>
                  </w:r>
                </w:p>
              </w:tc>
            </w:tr>
            <w:tr w14:paraId="66E41E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570" w:type="dxa"/>
                  <w:vMerge w:val="continue"/>
                  <w:noWrap w:val="0"/>
                  <w:vAlign w:val="center"/>
                </w:tcPr>
                <w:p w14:paraId="60733765">
                  <w:pPr>
                    <w:jc w:val="center"/>
                    <w:rPr>
                      <w:color w:val="auto"/>
                      <w:szCs w:val="21"/>
                    </w:rPr>
                  </w:pPr>
                </w:p>
              </w:tc>
              <w:tc>
                <w:tcPr>
                  <w:tcW w:w="1245" w:type="dxa"/>
                  <w:vMerge w:val="continue"/>
                  <w:noWrap w:val="0"/>
                  <w:vAlign w:val="center"/>
                </w:tcPr>
                <w:p w14:paraId="38FC499D">
                  <w:pPr>
                    <w:jc w:val="center"/>
                    <w:rPr>
                      <w:color w:val="auto"/>
                      <w:szCs w:val="21"/>
                    </w:rPr>
                  </w:pPr>
                </w:p>
              </w:tc>
              <w:tc>
                <w:tcPr>
                  <w:tcW w:w="900" w:type="dxa"/>
                  <w:vMerge w:val="continue"/>
                  <w:noWrap w:val="0"/>
                  <w:vAlign w:val="center"/>
                </w:tcPr>
                <w:p w14:paraId="6B57AD31">
                  <w:pPr>
                    <w:jc w:val="center"/>
                    <w:rPr>
                      <w:rFonts w:hint="eastAsia"/>
                      <w:color w:val="auto"/>
                      <w:szCs w:val="21"/>
                    </w:rPr>
                  </w:pPr>
                </w:p>
              </w:tc>
              <w:tc>
                <w:tcPr>
                  <w:tcW w:w="945" w:type="dxa"/>
                  <w:noWrap w:val="0"/>
                  <w:vAlign w:val="center"/>
                </w:tcPr>
                <w:p w14:paraId="6F5E5B35">
                  <w:pPr>
                    <w:jc w:val="center"/>
                    <w:rPr>
                      <w:rFonts w:hint="eastAsia" w:eastAsia="宋体"/>
                      <w:color w:val="auto"/>
                      <w:szCs w:val="21"/>
                      <w:lang w:val="en-US" w:eastAsia="zh-CN"/>
                    </w:rPr>
                  </w:pPr>
                  <w:r>
                    <w:rPr>
                      <w:rFonts w:hint="eastAsia"/>
                      <w:color w:val="auto"/>
                      <w:szCs w:val="21"/>
                      <w:lang w:val="en-US" w:eastAsia="zh-CN"/>
                    </w:rPr>
                    <w:t>迁建前</w:t>
                  </w:r>
                </w:p>
              </w:tc>
              <w:tc>
                <w:tcPr>
                  <w:tcW w:w="915" w:type="dxa"/>
                  <w:noWrap w:val="0"/>
                  <w:vAlign w:val="center"/>
                </w:tcPr>
                <w:p w14:paraId="350B6B37">
                  <w:pPr>
                    <w:jc w:val="center"/>
                    <w:rPr>
                      <w:rFonts w:hint="eastAsia" w:eastAsia="宋体"/>
                      <w:color w:val="auto"/>
                      <w:szCs w:val="21"/>
                      <w:lang w:val="en-US" w:eastAsia="zh-CN"/>
                    </w:rPr>
                  </w:pPr>
                  <w:r>
                    <w:rPr>
                      <w:rFonts w:hint="eastAsia"/>
                      <w:color w:val="auto"/>
                      <w:szCs w:val="21"/>
                      <w:lang w:val="en-US" w:eastAsia="zh-CN"/>
                    </w:rPr>
                    <w:t>迁建后</w:t>
                  </w:r>
                </w:p>
              </w:tc>
              <w:tc>
                <w:tcPr>
                  <w:tcW w:w="1155" w:type="dxa"/>
                  <w:vMerge w:val="continue"/>
                  <w:noWrap w:val="0"/>
                  <w:vAlign w:val="center"/>
                </w:tcPr>
                <w:p w14:paraId="726D3EDC">
                  <w:pPr>
                    <w:jc w:val="center"/>
                    <w:rPr>
                      <w:color w:val="auto"/>
                      <w:szCs w:val="21"/>
                    </w:rPr>
                  </w:pPr>
                </w:p>
              </w:tc>
              <w:tc>
                <w:tcPr>
                  <w:tcW w:w="690" w:type="dxa"/>
                  <w:vMerge w:val="continue"/>
                  <w:noWrap w:val="0"/>
                  <w:vAlign w:val="center"/>
                </w:tcPr>
                <w:p w14:paraId="274D7572">
                  <w:pPr>
                    <w:jc w:val="center"/>
                    <w:rPr>
                      <w:rFonts w:hint="eastAsia"/>
                      <w:color w:val="auto"/>
                      <w:szCs w:val="21"/>
                    </w:rPr>
                  </w:pPr>
                </w:p>
              </w:tc>
              <w:tc>
                <w:tcPr>
                  <w:tcW w:w="930" w:type="dxa"/>
                  <w:vMerge w:val="continue"/>
                  <w:noWrap w:val="0"/>
                  <w:vAlign w:val="center"/>
                </w:tcPr>
                <w:p w14:paraId="4F2DEE13">
                  <w:pPr>
                    <w:jc w:val="center"/>
                    <w:rPr>
                      <w:rFonts w:hint="eastAsia"/>
                      <w:color w:val="auto"/>
                      <w:szCs w:val="21"/>
                    </w:rPr>
                  </w:pPr>
                </w:p>
              </w:tc>
              <w:tc>
                <w:tcPr>
                  <w:tcW w:w="686" w:type="dxa"/>
                  <w:vMerge w:val="continue"/>
                  <w:noWrap w:val="0"/>
                  <w:vAlign w:val="center"/>
                </w:tcPr>
                <w:p w14:paraId="64B14AF8">
                  <w:pPr>
                    <w:jc w:val="center"/>
                    <w:rPr>
                      <w:rFonts w:hint="eastAsia"/>
                      <w:color w:val="auto"/>
                      <w:szCs w:val="21"/>
                    </w:rPr>
                  </w:pPr>
                </w:p>
              </w:tc>
            </w:tr>
            <w:tr w14:paraId="7DCD21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570" w:type="dxa"/>
                  <w:noWrap w:val="0"/>
                  <w:vAlign w:val="center"/>
                </w:tcPr>
                <w:p w14:paraId="070D3305">
                  <w:pPr>
                    <w:numPr>
                      <w:ilvl w:val="0"/>
                      <w:numId w:val="4"/>
                    </w:numPr>
                    <w:ind w:left="0" w:leftChars="0" w:firstLine="0" w:firstLineChars="0"/>
                    <w:jc w:val="center"/>
                    <w:rPr>
                      <w:color w:val="auto"/>
                      <w:szCs w:val="21"/>
                    </w:rPr>
                  </w:pPr>
                </w:p>
              </w:tc>
              <w:tc>
                <w:tcPr>
                  <w:tcW w:w="1245" w:type="dxa"/>
                  <w:noWrap w:val="0"/>
                  <w:vAlign w:val="center"/>
                </w:tcPr>
                <w:p w14:paraId="70446C66">
                  <w:pPr>
                    <w:jc w:val="center"/>
                    <w:rPr>
                      <w:rFonts w:hint="default" w:eastAsia="宋体"/>
                      <w:color w:val="auto"/>
                      <w:kern w:val="2"/>
                      <w:sz w:val="21"/>
                      <w:szCs w:val="21"/>
                      <w:lang w:val="en-US" w:eastAsia="zh-CN" w:bidi="ar-SA"/>
                    </w:rPr>
                  </w:pPr>
                  <w:r>
                    <w:rPr>
                      <w:rFonts w:hint="eastAsia"/>
                      <w:color w:val="auto"/>
                      <w:kern w:val="2"/>
                      <w:sz w:val="21"/>
                      <w:szCs w:val="21"/>
                      <w:lang w:val="en-US" w:eastAsia="zh-CN" w:bidi="ar-SA"/>
                    </w:rPr>
                    <w:t>平板玻璃</w:t>
                  </w:r>
                </w:p>
              </w:tc>
              <w:tc>
                <w:tcPr>
                  <w:tcW w:w="900" w:type="dxa"/>
                  <w:noWrap w:val="0"/>
                  <w:vAlign w:val="center"/>
                </w:tcPr>
                <w:p w14:paraId="4B4BFD6D">
                  <w:pPr>
                    <w:jc w:val="center"/>
                    <w:rPr>
                      <w:rFonts w:hint="default" w:eastAsia="宋体"/>
                      <w:color w:val="auto"/>
                      <w:szCs w:val="21"/>
                      <w:lang w:val="en-US" w:eastAsia="zh-CN"/>
                    </w:rPr>
                  </w:pPr>
                  <w:r>
                    <w:rPr>
                      <w:rFonts w:hint="eastAsia"/>
                      <w:color w:val="auto"/>
                      <w:szCs w:val="21"/>
                      <w:lang w:val="en-US" w:eastAsia="zh-CN"/>
                    </w:rPr>
                    <w:t>固态</w:t>
                  </w:r>
                </w:p>
              </w:tc>
              <w:tc>
                <w:tcPr>
                  <w:tcW w:w="945" w:type="dxa"/>
                  <w:noWrap w:val="0"/>
                  <w:vAlign w:val="center"/>
                </w:tcPr>
                <w:p w14:paraId="0D1D542E">
                  <w:pPr>
                    <w:jc w:val="center"/>
                    <w:rPr>
                      <w:rFonts w:hint="default" w:eastAsia="宋体"/>
                      <w:color w:val="auto"/>
                      <w:szCs w:val="21"/>
                      <w:lang w:val="en-US" w:eastAsia="zh-CN"/>
                    </w:rPr>
                  </w:pPr>
                  <w:r>
                    <w:rPr>
                      <w:rFonts w:hint="eastAsia"/>
                      <w:color w:val="auto"/>
                      <w:szCs w:val="21"/>
                      <w:lang w:val="en-US" w:eastAsia="zh-CN"/>
                    </w:rPr>
                    <w:t>9万平方米</w:t>
                  </w:r>
                </w:p>
              </w:tc>
              <w:tc>
                <w:tcPr>
                  <w:tcW w:w="915" w:type="dxa"/>
                  <w:noWrap w:val="0"/>
                  <w:vAlign w:val="center"/>
                </w:tcPr>
                <w:p w14:paraId="7C4FED5E">
                  <w:pPr>
                    <w:jc w:val="center"/>
                    <w:rPr>
                      <w:rFonts w:hint="default"/>
                      <w:color w:val="auto"/>
                      <w:szCs w:val="21"/>
                      <w:lang w:val="en-US" w:eastAsia="zh-CN"/>
                    </w:rPr>
                  </w:pPr>
                  <w:r>
                    <w:rPr>
                      <w:rFonts w:hint="eastAsia"/>
                      <w:color w:val="auto"/>
                      <w:szCs w:val="21"/>
                      <w:lang w:val="en-US" w:eastAsia="zh-CN"/>
                    </w:rPr>
                    <w:t>36万平方米</w:t>
                  </w:r>
                </w:p>
              </w:tc>
              <w:tc>
                <w:tcPr>
                  <w:tcW w:w="1155" w:type="dxa"/>
                  <w:noWrap w:val="0"/>
                  <w:vAlign w:val="center"/>
                </w:tcPr>
                <w:p w14:paraId="75E38430">
                  <w:pPr>
                    <w:jc w:val="center"/>
                    <w:rPr>
                      <w:rFonts w:hint="default"/>
                      <w:color w:val="auto"/>
                      <w:szCs w:val="21"/>
                      <w:lang w:val="en-US" w:eastAsia="zh-CN"/>
                    </w:rPr>
                  </w:pPr>
                  <w:r>
                    <w:rPr>
                      <w:rFonts w:hint="eastAsia"/>
                      <w:color w:val="auto"/>
                      <w:szCs w:val="21"/>
                      <w:lang w:val="en-US" w:eastAsia="zh-CN"/>
                    </w:rPr>
                    <w:t>+27万平方米</w:t>
                  </w:r>
                </w:p>
              </w:tc>
              <w:tc>
                <w:tcPr>
                  <w:tcW w:w="690" w:type="dxa"/>
                  <w:noWrap w:val="0"/>
                  <w:vAlign w:val="center"/>
                </w:tcPr>
                <w:p w14:paraId="06B69B91">
                  <w:pPr>
                    <w:jc w:val="center"/>
                    <w:rPr>
                      <w:rFonts w:hint="default" w:eastAsia="宋体"/>
                      <w:color w:val="auto"/>
                      <w:szCs w:val="21"/>
                      <w:lang w:val="en-US" w:eastAsia="zh-CN"/>
                    </w:rPr>
                  </w:pPr>
                  <w:r>
                    <w:rPr>
                      <w:rFonts w:hint="eastAsia"/>
                      <w:color w:val="auto"/>
                      <w:szCs w:val="21"/>
                      <w:lang w:val="en-US" w:eastAsia="zh-CN"/>
                    </w:rPr>
                    <w:t>堆放</w:t>
                  </w:r>
                </w:p>
              </w:tc>
              <w:tc>
                <w:tcPr>
                  <w:tcW w:w="930" w:type="dxa"/>
                  <w:noWrap w:val="0"/>
                  <w:vAlign w:val="center"/>
                </w:tcPr>
                <w:p w14:paraId="3C74D546">
                  <w:pPr>
                    <w:jc w:val="center"/>
                    <w:rPr>
                      <w:rFonts w:hint="default" w:eastAsia="宋体"/>
                      <w:color w:val="auto"/>
                      <w:szCs w:val="21"/>
                      <w:lang w:val="en-US" w:eastAsia="zh-CN"/>
                    </w:rPr>
                  </w:pPr>
                  <w:r>
                    <w:rPr>
                      <w:rFonts w:hint="eastAsia"/>
                      <w:color w:val="auto"/>
                      <w:szCs w:val="21"/>
                      <w:lang w:val="en-US" w:eastAsia="zh-CN"/>
                    </w:rPr>
                    <w:t>2万平方米</w:t>
                  </w:r>
                </w:p>
              </w:tc>
              <w:tc>
                <w:tcPr>
                  <w:tcW w:w="686" w:type="dxa"/>
                  <w:noWrap w:val="0"/>
                  <w:vAlign w:val="center"/>
                </w:tcPr>
                <w:p w14:paraId="472E9AD3">
                  <w:pPr>
                    <w:pStyle w:val="30"/>
                    <w:bidi w:val="0"/>
                    <w:rPr>
                      <w:color w:val="auto"/>
                      <w:szCs w:val="21"/>
                    </w:rPr>
                  </w:pPr>
                  <w:r>
                    <w:rPr>
                      <w:rFonts w:hint="eastAsia"/>
                      <w:color w:val="auto"/>
                    </w:rPr>
                    <w:t>国内采购</w:t>
                  </w:r>
                </w:p>
              </w:tc>
            </w:tr>
            <w:tr w14:paraId="160081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570" w:type="dxa"/>
                  <w:noWrap w:val="0"/>
                  <w:vAlign w:val="center"/>
                </w:tcPr>
                <w:p w14:paraId="262B6876">
                  <w:pPr>
                    <w:numPr>
                      <w:ilvl w:val="0"/>
                      <w:numId w:val="4"/>
                    </w:numPr>
                    <w:ind w:left="0" w:leftChars="0" w:firstLine="0" w:firstLineChars="0"/>
                    <w:jc w:val="center"/>
                    <w:rPr>
                      <w:rFonts w:hint="eastAsia"/>
                      <w:color w:val="auto"/>
                      <w:szCs w:val="21"/>
                    </w:rPr>
                  </w:pPr>
                </w:p>
              </w:tc>
              <w:tc>
                <w:tcPr>
                  <w:tcW w:w="1245" w:type="dxa"/>
                  <w:noWrap w:val="0"/>
                  <w:vAlign w:val="center"/>
                </w:tcPr>
                <w:p w14:paraId="69E75251">
                  <w:pPr>
                    <w:jc w:val="center"/>
                    <w:rPr>
                      <w:rFonts w:hint="default" w:eastAsia="宋体"/>
                      <w:color w:val="auto"/>
                      <w:kern w:val="2"/>
                      <w:sz w:val="21"/>
                      <w:szCs w:val="21"/>
                      <w:lang w:val="en-US" w:eastAsia="zh-CN" w:bidi="ar-SA"/>
                    </w:rPr>
                  </w:pPr>
                  <w:r>
                    <w:rPr>
                      <w:rFonts w:hint="eastAsia"/>
                      <w:color w:val="auto"/>
                      <w:kern w:val="2"/>
                      <w:sz w:val="21"/>
                      <w:szCs w:val="21"/>
                      <w:lang w:val="en-US" w:eastAsia="zh-CN" w:bidi="ar-SA"/>
                    </w:rPr>
                    <w:t>PVB胶片</w:t>
                  </w:r>
                </w:p>
              </w:tc>
              <w:tc>
                <w:tcPr>
                  <w:tcW w:w="900" w:type="dxa"/>
                  <w:noWrap w:val="0"/>
                  <w:vAlign w:val="center"/>
                </w:tcPr>
                <w:p w14:paraId="7302EC83">
                  <w:pPr>
                    <w:jc w:val="center"/>
                    <w:rPr>
                      <w:rFonts w:hint="default" w:eastAsia="宋体"/>
                      <w:color w:val="auto"/>
                      <w:szCs w:val="21"/>
                      <w:lang w:val="en-US" w:eastAsia="zh-CN"/>
                    </w:rPr>
                  </w:pPr>
                  <w:r>
                    <w:rPr>
                      <w:rFonts w:hint="eastAsia"/>
                      <w:color w:val="auto"/>
                      <w:szCs w:val="21"/>
                      <w:lang w:val="en-US" w:eastAsia="zh-CN"/>
                    </w:rPr>
                    <w:t>固态</w:t>
                  </w:r>
                </w:p>
              </w:tc>
              <w:tc>
                <w:tcPr>
                  <w:tcW w:w="945" w:type="dxa"/>
                  <w:noWrap w:val="0"/>
                  <w:vAlign w:val="center"/>
                </w:tcPr>
                <w:p w14:paraId="01500BF3">
                  <w:pPr>
                    <w:jc w:val="center"/>
                    <w:rPr>
                      <w:rFonts w:hint="default" w:eastAsia="宋体"/>
                      <w:color w:val="auto"/>
                      <w:szCs w:val="21"/>
                      <w:lang w:val="en-US" w:eastAsia="zh-CN"/>
                    </w:rPr>
                  </w:pPr>
                  <w:r>
                    <w:rPr>
                      <w:rFonts w:hint="eastAsia"/>
                      <w:color w:val="auto"/>
                      <w:szCs w:val="21"/>
                      <w:lang w:val="en-US" w:eastAsia="zh-CN"/>
                    </w:rPr>
                    <w:t>1.5万平方米</w:t>
                  </w:r>
                </w:p>
              </w:tc>
              <w:tc>
                <w:tcPr>
                  <w:tcW w:w="915" w:type="dxa"/>
                  <w:noWrap w:val="0"/>
                  <w:vAlign w:val="center"/>
                </w:tcPr>
                <w:p w14:paraId="5A9425E5">
                  <w:pPr>
                    <w:jc w:val="center"/>
                    <w:rPr>
                      <w:rFonts w:hint="default"/>
                      <w:color w:val="auto"/>
                      <w:szCs w:val="21"/>
                      <w:lang w:val="en-US" w:eastAsia="zh-CN"/>
                    </w:rPr>
                  </w:pPr>
                  <w:r>
                    <w:rPr>
                      <w:rFonts w:hint="eastAsia"/>
                      <w:color w:val="auto"/>
                      <w:szCs w:val="21"/>
                      <w:lang w:val="en-US" w:eastAsia="zh-CN"/>
                    </w:rPr>
                    <w:t>3万平方米</w:t>
                  </w:r>
                </w:p>
              </w:tc>
              <w:tc>
                <w:tcPr>
                  <w:tcW w:w="1155" w:type="dxa"/>
                  <w:noWrap w:val="0"/>
                  <w:vAlign w:val="center"/>
                </w:tcPr>
                <w:p w14:paraId="5CBB9730">
                  <w:pPr>
                    <w:jc w:val="center"/>
                    <w:rPr>
                      <w:rFonts w:hint="default"/>
                      <w:color w:val="auto"/>
                      <w:szCs w:val="21"/>
                      <w:lang w:val="en-US" w:eastAsia="zh-CN"/>
                    </w:rPr>
                  </w:pPr>
                  <w:r>
                    <w:rPr>
                      <w:rFonts w:hint="eastAsia"/>
                      <w:color w:val="auto"/>
                      <w:szCs w:val="21"/>
                      <w:lang w:val="en-US" w:eastAsia="zh-CN"/>
                    </w:rPr>
                    <w:t>+1.5万平方米</w:t>
                  </w:r>
                </w:p>
              </w:tc>
              <w:tc>
                <w:tcPr>
                  <w:tcW w:w="690" w:type="dxa"/>
                  <w:noWrap w:val="0"/>
                  <w:vAlign w:val="center"/>
                </w:tcPr>
                <w:p w14:paraId="1F9893D8">
                  <w:pPr>
                    <w:jc w:val="center"/>
                    <w:rPr>
                      <w:rFonts w:hint="eastAsia" w:eastAsia="宋体"/>
                      <w:color w:val="auto"/>
                      <w:szCs w:val="21"/>
                      <w:lang w:val="en-US" w:eastAsia="zh-CN"/>
                    </w:rPr>
                  </w:pPr>
                  <w:r>
                    <w:rPr>
                      <w:rFonts w:hint="eastAsia"/>
                      <w:color w:val="auto"/>
                      <w:szCs w:val="21"/>
                      <w:lang w:val="en-US" w:eastAsia="zh-CN"/>
                    </w:rPr>
                    <w:t>卷装</w:t>
                  </w:r>
                </w:p>
              </w:tc>
              <w:tc>
                <w:tcPr>
                  <w:tcW w:w="930" w:type="dxa"/>
                  <w:noWrap w:val="0"/>
                  <w:vAlign w:val="center"/>
                </w:tcPr>
                <w:p w14:paraId="74A9D0D6">
                  <w:pPr>
                    <w:jc w:val="center"/>
                    <w:rPr>
                      <w:rFonts w:hint="default" w:eastAsia="宋体"/>
                      <w:color w:val="auto"/>
                      <w:szCs w:val="21"/>
                      <w:lang w:val="en-US" w:eastAsia="zh-CN"/>
                    </w:rPr>
                  </w:pPr>
                  <w:r>
                    <w:rPr>
                      <w:rFonts w:hint="eastAsia"/>
                      <w:color w:val="auto"/>
                      <w:szCs w:val="21"/>
                      <w:lang w:val="en-US" w:eastAsia="zh-CN"/>
                    </w:rPr>
                    <w:t>0.3万平方米</w:t>
                  </w:r>
                </w:p>
              </w:tc>
              <w:tc>
                <w:tcPr>
                  <w:tcW w:w="686" w:type="dxa"/>
                  <w:noWrap w:val="0"/>
                  <w:vAlign w:val="center"/>
                </w:tcPr>
                <w:p w14:paraId="1E46A48C">
                  <w:pPr>
                    <w:pStyle w:val="30"/>
                    <w:bidi w:val="0"/>
                    <w:rPr>
                      <w:rFonts w:hint="default" w:eastAsia="宋体"/>
                      <w:color w:val="auto"/>
                      <w:szCs w:val="21"/>
                      <w:lang w:val="en-US" w:eastAsia="zh-CN"/>
                    </w:rPr>
                  </w:pPr>
                  <w:r>
                    <w:rPr>
                      <w:rFonts w:hint="eastAsia"/>
                      <w:color w:val="auto"/>
                    </w:rPr>
                    <w:t>国内采购</w:t>
                  </w:r>
                </w:p>
              </w:tc>
            </w:tr>
            <w:tr w14:paraId="134B6D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570" w:type="dxa"/>
                  <w:noWrap w:val="0"/>
                  <w:vAlign w:val="center"/>
                </w:tcPr>
                <w:p w14:paraId="10593F23">
                  <w:pPr>
                    <w:numPr>
                      <w:ilvl w:val="0"/>
                      <w:numId w:val="4"/>
                    </w:numPr>
                    <w:ind w:left="0" w:leftChars="0" w:firstLine="0" w:firstLineChars="0"/>
                    <w:jc w:val="center"/>
                    <w:rPr>
                      <w:rFonts w:hint="default" w:eastAsia="宋体"/>
                      <w:color w:val="auto"/>
                      <w:szCs w:val="21"/>
                      <w:lang w:val="en-US" w:eastAsia="zh-CN"/>
                    </w:rPr>
                  </w:pPr>
                </w:p>
              </w:tc>
              <w:tc>
                <w:tcPr>
                  <w:tcW w:w="1245" w:type="dxa"/>
                  <w:noWrap w:val="0"/>
                  <w:vAlign w:val="center"/>
                </w:tcPr>
                <w:p w14:paraId="2585B516">
                  <w:pPr>
                    <w:jc w:val="center"/>
                    <w:rPr>
                      <w:rFonts w:hint="default"/>
                      <w:color w:val="auto"/>
                      <w:szCs w:val="21"/>
                      <w:lang w:val="en-US" w:eastAsia="zh-CN"/>
                    </w:rPr>
                  </w:pPr>
                  <w:r>
                    <w:rPr>
                      <w:rFonts w:hint="eastAsia"/>
                      <w:color w:val="auto"/>
                      <w:szCs w:val="21"/>
                      <w:lang w:val="en-US" w:eastAsia="zh-CN"/>
                    </w:rPr>
                    <w:t>丁基胶</w:t>
                  </w:r>
                </w:p>
              </w:tc>
              <w:tc>
                <w:tcPr>
                  <w:tcW w:w="900" w:type="dxa"/>
                  <w:noWrap w:val="0"/>
                  <w:vAlign w:val="center"/>
                </w:tcPr>
                <w:p w14:paraId="4D4CAFE9">
                  <w:pPr>
                    <w:jc w:val="center"/>
                    <w:rPr>
                      <w:rFonts w:hint="default"/>
                      <w:color w:val="auto"/>
                      <w:szCs w:val="21"/>
                      <w:lang w:val="en-US" w:eastAsia="zh-CN"/>
                    </w:rPr>
                  </w:pPr>
                  <w:r>
                    <w:rPr>
                      <w:rFonts w:hint="eastAsia"/>
                      <w:color w:val="auto"/>
                      <w:szCs w:val="21"/>
                      <w:lang w:val="en-US" w:eastAsia="zh-CN"/>
                    </w:rPr>
                    <w:t>固态</w:t>
                  </w:r>
                </w:p>
              </w:tc>
              <w:tc>
                <w:tcPr>
                  <w:tcW w:w="945" w:type="dxa"/>
                  <w:noWrap w:val="0"/>
                  <w:vAlign w:val="center"/>
                </w:tcPr>
                <w:p w14:paraId="4D164614">
                  <w:pPr>
                    <w:jc w:val="center"/>
                    <w:rPr>
                      <w:rFonts w:hint="default"/>
                      <w:color w:val="auto"/>
                      <w:szCs w:val="21"/>
                      <w:lang w:val="en-US" w:eastAsia="zh-CN"/>
                    </w:rPr>
                  </w:pPr>
                  <w:r>
                    <w:rPr>
                      <w:rFonts w:hint="eastAsia"/>
                      <w:color w:val="auto"/>
                      <w:szCs w:val="21"/>
                      <w:lang w:val="en-US" w:eastAsia="zh-CN"/>
                    </w:rPr>
                    <w:t>2t</w:t>
                  </w:r>
                </w:p>
              </w:tc>
              <w:tc>
                <w:tcPr>
                  <w:tcW w:w="915" w:type="dxa"/>
                  <w:noWrap w:val="0"/>
                  <w:vAlign w:val="center"/>
                </w:tcPr>
                <w:p w14:paraId="5230F843">
                  <w:pPr>
                    <w:jc w:val="center"/>
                    <w:rPr>
                      <w:rFonts w:hint="default"/>
                      <w:color w:val="auto"/>
                      <w:szCs w:val="21"/>
                      <w:lang w:val="en-US" w:eastAsia="zh-CN"/>
                    </w:rPr>
                  </w:pPr>
                  <w:r>
                    <w:rPr>
                      <w:rFonts w:hint="eastAsia"/>
                      <w:color w:val="auto"/>
                      <w:szCs w:val="21"/>
                      <w:lang w:val="en-US" w:eastAsia="zh-CN"/>
                    </w:rPr>
                    <w:t>4t</w:t>
                  </w:r>
                </w:p>
              </w:tc>
              <w:tc>
                <w:tcPr>
                  <w:tcW w:w="1155" w:type="dxa"/>
                  <w:noWrap w:val="0"/>
                  <w:vAlign w:val="center"/>
                </w:tcPr>
                <w:p w14:paraId="68A69D86">
                  <w:pPr>
                    <w:jc w:val="center"/>
                    <w:rPr>
                      <w:rFonts w:hint="default"/>
                      <w:color w:val="auto"/>
                      <w:szCs w:val="21"/>
                      <w:lang w:val="en-US" w:eastAsia="zh-CN"/>
                    </w:rPr>
                  </w:pPr>
                  <w:r>
                    <w:rPr>
                      <w:rFonts w:hint="eastAsia"/>
                      <w:color w:val="auto"/>
                      <w:szCs w:val="21"/>
                      <w:lang w:val="en-US" w:eastAsia="zh-CN"/>
                    </w:rPr>
                    <w:t>+2t</w:t>
                  </w:r>
                </w:p>
              </w:tc>
              <w:tc>
                <w:tcPr>
                  <w:tcW w:w="690" w:type="dxa"/>
                  <w:noWrap w:val="0"/>
                  <w:vAlign w:val="center"/>
                </w:tcPr>
                <w:p w14:paraId="6FE24FFD">
                  <w:pPr>
                    <w:jc w:val="center"/>
                    <w:rPr>
                      <w:rFonts w:hint="default"/>
                      <w:color w:val="auto"/>
                      <w:szCs w:val="21"/>
                      <w:lang w:val="en-US" w:eastAsia="zh-CN"/>
                    </w:rPr>
                  </w:pPr>
                  <w:r>
                    <w:rPr>
                      <w:rFonts w:hint="eastAsia"/>
                      <w:color w:val="auto"/>
                      <w:szCs w:val="21"/>
                      <w:lang w:val="en-US" w:eastAsia="zh-CN"/>
                    </w:rPr>
                    <w:t>卷装</w:t>
                  </w:r>
                </w:p>
              </w:tc>
              <w:tc>
                <w:tcPr>
                  <w:tcW w:w="930" w:type="dxa"/>
                  <w:noWrap w:val="0"/>
                  <w:vAlign w:val="center"/>
                </w:tcPr>
                <w:p w14:paraId="4237323D">
                  <w:pPr>
                    <w:jc w:val="center"/>
                    <w:rPr>
                      <w:rFonts w:hint="default"/>
                      <w:color w:val="auto"/>
                      <w:szCs w:val="21"/>
                      <w:lang w:val="en-US" w:eastAsia="zh-CN"/>
                    </w:rPr>
                  </w:pPr>
                  <w:r>
                    <w:rPr>
                      <w:rFonts w:hint="eastAsia"/>
                      <w:color w:val="auto"/>
                      <w:szCs w:val="21"/>
                      <w:lang w:val="en-US" w:eastAsia="zh-CN"/>
                    </w:rPr>
                    <w:t>0.5t</w:t>
                  </w:r>
                </w:p>
              </w:tc>
              <w:tc>
                <w:tcPr>
                  <w:tcW w:w="686" w:type="dxa"/>
                  <w:noWrap w:val="0"/>
                  <w:vAlign w:val="center"/>
                </w:tcPr>
                <w:p w14:paraId="69E87B70">
                  <w:pPr>
                    <w:pStyle w:val="30"/>
                    <w:bidi w:val="0"/>
                    <w:rPr>
                      <w:rFonts w:hint="default"/>
                      <w:color w:val="auto"/>
                      <w:szCs w:val="21"/>
                      <w:lang w:val="en-US" w:eastAsia="zh-CN"/>
                    </w:rPr>
                  </w:pPr>
                  <w:r>
                    <w:rPr>
                      <w:rFonts w:hint="eastAsia"/>
                      <w:color w:val="auto"/>
                    </w:rPr>
                    <w:t>国内采购</w:t>
                  </w:r>
                </w:p>
              </w:tc>
            </w:tr>
            <w:tr w14:paraId="2A3FCF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570" w:type="dxa"/>
                  <w:noWrap w:val="0"/>
                  <w:vAlign w:val="center"/>
                </w:tcPr>
                <w:p w14:paraId="46826404">
                  <w:pPr>
                    <w:numPr>
                      <w:ilvl w:val="0"/>
                      <w:numId w:val="4"/>
                    </w:numPr>
                    <w:ind w:left="0" w:leftChars="0" w:firstLine="0" w:firstLineChars="0"/>
                    <w:jc w:val="center"/>
                    <w:rPr>
                      <w:rFonts w:hint="default" w:eastAsia="宋体"/>
                      <w:color w:val="auto"/>
                      <w:szCs w:val="21"/>
                      <w:lang w:val="en-US" w:eastAsia="zh-CN"/>
                    </w:rPr>
                  </w:pPr>
                </w:p>
              </w:tc>
              <w:tc>
                <w:tcPr>
                  <w:tcW w:w="1245" w:type="dxa"/>
                  <w:noWrap w:val="0"/>
                  <w:vAlign w:val="center"/>
                </w:tcPr>
                <w:p w14:paraId="7B0685B0">
                  <w:pPr>
                    <w:jc w:val="center"/>
                    <w:rPr>
                      <w:rFonts w:hint="default"/>
                      <w:color w:val="auto"/>
                      <w:szCs w:val="21"/>
                      <w:lang w:val="en-US" w:eastAsia="zh-CN"/>
                    </w:rPr>
                  </w:pPr>
                  <w:r>
                    <w:rPr>
                      <w:rFonts w:hint="eastAsia"/>
                      <w:color w:val="auto"/>
                      <w:szCs w:val="21"/>
                      <w:lang w:val="en-US" w:eastAsia="zh-CN"/>
                    </w:rPr>
                    <w:t>硅酮胶</w:t>
                  </w:r>
                </w:p>
              </w:tc>
              <w:tc>
                <w:tcPr>
                  <w:tcW w:w="900" w:type="dxa"/>
                  <w:noWrap w:val="0"/>
                  <w:vAlign w:val="center"/>
                </w:tcPr>
                <w:p w14:paraId="436885AD">
                  <w:pPr>
                    <w:jc w:val="center"/>
                    <w:rPr>
                      <w:rFonts w:hint="default"/>
                      <w:color w:val="auto"/>
                      <w:szCs w:val="21"/>
                      <w:lang w:val="en-US" w:eastAsia="zh-CN"/>
                    </w:rPr>
                  </w:pPr>
                  <w:r>
                    <w:rPr>
                      <w:rFonts w:hint="eastAsia"/>
                      <w:color w:val="auto"/>
                      <w:szCs w:val="21"/>
                      <w:lang w:val="en-US" w:eastAsia="zh-CN"/>
                    </w:rPr>
                    <w:t>半固态</w:t>
                  </w:r>
                </w:p>
              </w:tc>
              <w:tc>
                <w:tcPr>
                  <w:tcW w:w="945" w:type="dxa"/>
                  <w:noWrap w:val="0"/>
                  <w:vAlign w:val="center"/>
                </w:tcPr>
                <w:p w14:paraId="710D06FF">
                  <w:pPr>
                    <w:jc w:val="center"/>
                    <w:rPr>
                      <w:rFonts w:hint="default"/>
                      <w:color w:val="auto"/>
                      <w:szCs w:val="21"/>
                      <w:lang w:val="en-US" w:eastAsia="zh-CN"/>
                    </w:rPr>
                  </w:pPr>
                  <w:r>
                    <w:rPr>
                      <w:rFonts w:hint="eastAsia"/>
                      <w:color w:val="auto"/>
                      <w:szCs w:val="21"/>
                      <w:lang w:val="en-US" w:eastAsia="zh-CN"/>
                    </w:rPr>
                    <w:t>16t</w:t>
                  </w:r>
                </w:p>
              </w:tc>
              <w:tc>
                <w:tcPr>
                  <w:tcW w:w="915" w:type="dxa"/>
                  <w:noWrap w:val="0"/>
                  <w:vAlign w:val="center"/>
                </w:tcPr>
                <w:p w14:paraId="33FA4129">
                  <w:pPr>
                    <w:jc w:val="center"/>
                    <w:rPr>
                      <w:rFonts w:hint="default"/>
                      <w:color w:val="auto"/>
                      <w:szCs w:val="21"/>
                      <w:lang w:val="en-US" w:eastAsia="zh-CN"/>
                    </w:rPr>
                  </w:pPr>
                  <w:r>
                    <w:rPr>
                      <w:rFonts w:hint="eastAsia"/>
                      <w:color w:val="auto"/>
                      <w:szCs w:val="21"/>
                      <w:lang w:val="en-US" w:eastAsia="zh-CN"/>
                    </w:rPr>
                    <w:t>32t</w:t>
                  </w:r>
                </w:p>
              </w:tc>
              <w:tc>
                <w:tcPr>
                  <w:tcW w:w="1155" w:type="dxa"/>
                  <w:noWrap w:val="0"/>
                  <w:vAlign w:val="center"/>
                </w:tcPr>
                <w:p w14:paraId="7DDD42DE">
                  <w:pPr>
                    <w:jc w:val="center"/>
                    <w:rPr>
                      <w:rFonts w:hint="default"/>
                      <w:color w:val="auto"/>
                      <w:szCs w:val="21"/>
                      <w:lang w:val="en-US" w:eastAsia="zh-CN"/>
                    </w:rPr>
                  </w:pPr>
                  <w:r>
                    <w:rPr>
                      <w:rFonts w:hint="eastAsia"/>
                      <w:color w:val="auto"/>
                      <w:szCs w:val="21"/>
                      <w:lang w:val="en-US" w:eastAsia="zh-CN"/>
                    </w:rPr>
                    <w:t>+16t</w:t>
                  </w:r>
                </w:p>
              </w:tc>
              <w:tc>
                <w:tcPr>
                  <w:tcW w:w="690" w:type="dxa"/>
                  <w:noWrap w:val="0"/>
                  <w:vAlign w:val="center"/>
                </w:tcPr>
                <w:p w14:paraId="3BAB4C05">
                  <w:pPr>
                    <w:jc w:val="center"/>
                    <w:rPr>
                      <w:rFonts w:hint="default"/>
                      <w:color w:val="auto"/>
                      <w:szCs w:val="21"/>
                      <w:lang w:val="en-US" w:eastAsia="zh-CN"/>
                    </w:rPr>
                  </w:pPr>
                  <w:r>
                    <w:rPr>
                      <w:rFonts w:hint="eastAsia"/>
                      <w:color w:val="auto"/>
                      <w:szCs w:val="21"/>
                      <w:lang w:val="en-US" w:eastAsia="zh-CN"/>
                    </w:rPr>
                    <w:t>桶装</w:t>
                  </w:r>
                </w:p>
              </w:tc>
              <w:tc>
                <w:tcPr>
                  <w:tcW w:w="930" w:type="dxa"/>
                  <w:noWrap w:val="0"/>
                  <w:vAlign w:val="center"/>
                </w:tcPr>
                <w:p w14:paraId="164381ED">
                  <w:pPr>
                    <w:jc w:val="center"/>
                    <w:rPr>
                      <w:rFonts w:hint="default"/>
                      <w:color w:val="auto"/>
                      <w:szCs w:val="21"/>
                      <w:lang w:val="en-US" w:eastAsia="zh-CN"/>
                    </w:rPr>
                  </w:pPr>
                  <w:r>
                    <w:rPr>
                      <w:rFonts w:hint="eastAsia"/>
                      <w:color w:val="auto"/>
                      <w:szCs w:val="21"/>
                      <w:lang w:val="en-US" w:eastAsia="zh-CN"/>
                    </w:rPr>
                    <w:t>2t</w:t>
                  </w:r>
                </w:p>
              </w:tc>
              <w:tc>
                <w:tcPr>
                  <w:tcW w:w="686" w:type="dxa"/>
                  <w:noWrap w:val="0"/>
                  <w:vAlign w:val="center"/>
                </w:tcPr>
                <w:p w14:paraId="568C2C7D">
                  <w:pPr>
                    <w:pStyle w:val="30"/>
                    <w:bidi w:val="0"/>
                    <w:rPr>
                      <w:rFonts w:hint="eastAsia"/>
                      <w:color w:val="auto"/>
                      <w:szCs w:val="21"/>
                      <w:lang w:val="en-US" w:eastAsia="zh-CN"/>
                    </w:rPr>
                  </w:pPr>
                  <w:r>
                    <w:rPr>
                      <w:rFonts w:hint="eastAsia"/>
                      <w:color w:val="auto"/>
                    </w:rPr>
                    <w:t>国内采购</w:t>
                  </w:r>
                </w:p>
              </w:tc>
            </w:tr>
            <w:tr w14:paraId="707E71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570" w:type="dxa"/>
                  <w:noWrap w:val="0"/>
                  <w:vAlign w:val="center"/>
                </w:tcPr>
                <w:p w14:paraId="1CF0A629">
                  <w:pPr>
                    <w:numPr>
                      <w:ilvl w:val="0"/>
                      <w:numId w:val="4"/>
                    </w:numPr>
                    <w:ind w:left="0" w:leftChars="0" w:firstLine="0" w:firstLineChars="0"/>
                    <w:jc w:val="center"/>
                    <w:rPr>
                      <w:rFonts w:hint="default" w:eastAsia="宋体"/>
                      <w:color w:val="auto"/>
                      <w:szCs w:val="21"/>
                      <w:lang w:val="en-US" w:eastAsia="zh-CN"/>
                    </w:rPr>
                  </w:pPr>
                </w:p>
              </w:tc>
              <w:tc>
                <w:tcPr>
                  <w:tcW w:w="1245" w:type="dxa"/>
                  <w:noWrap w:val="0"/>
                  <w:vAlign w:val="center"/>
                </w:tcPr>
                <w:p w14:paraId="1C3B7CCE">
                  <w:pPr>
                    <w:jc w:val="center"/>
                    <w:rPr>
                      <w:rFonts w:hint="default"/>
                      <w:color w:val="auto"/>
                      <w:szCs w:val="21"/>
                      <w:lang w:val="en-US" w:eastAsia="zh-CN"/>
                    </w:rPr>
                  </w:pPr>
                  <w:r>
                    <w:rPr>
                      <w:rFonts w:hint="eastAsia"/>
                      <w:color w:val="auto"/>
                      <w:szCs w:val="21"/>
                      <w:lang w:val="en-US" w:eastAsia="zh-CN"/>
                    </w:rPr>
                    <w:t>铝条</w:t>
                  </w:r>
                </w:p>
              </w:tc>
              <w:tc>
                <w:tcPr>
                  <w:tcW w:w="900" w:type="dxa"/>
                  <w:noWrap w:val="0"/>
                  <w:vAlign w:val="center"/>
                </w:tcPr>
                <w:p w14:paraId="5854E918">
                  <w:pPr>
                    <w:jc w:val="center"/>
                    <w:rPr>
                      <w:rFonts w:hint="default"/>
                      <w:color w:val="auto"/>
                      <w:szCs w:val="21"/>
                      <w:lang w:val="en-US" w:eastAsia="zh-CN"/>
                    </w:rPr>
                  </w:pPr>
                  <w:r>
                    <w:rPr>
                      <w:rFonts w:hint="eastAsia"/>
                      <w:color w:val="auto"/>
                      <w:szCs w:val="21"/>
                      <w:lang w:val="en-US" w:eastAsia="zh-CN"/>
                    </w:rPr>
                    <w:t>固态</w:t>
                  </w:r>
                </w:p>
              </w:tc>
              <w:tc>
                <w:tcPr>
                  <w:tcW w:w="945" w:type="dxa"/>
                  <w:noWrap w:val="0"/>
                  <w:vAlign w:val="center"/>
                </w:tcPr>
                <w:p w14:paraId="67E82D09">
                  <w:pPr>
                    <w:jc w:val="center"/>
                    <w:rPr>
                      <w:rFonts w:hint="default"/>
                      <w:color w:val="auto"/>
                      <w:szCs w:val="21"/>
                      <w:lang w:val="en-US" w:eastAsia="zh-CN"/>
                    </w:rPr>
                  </w:pPr>
                  <w:r>
                    <w:rPr>
                      <w:rFonts w:hint="eastAsia"/>
                      <w:color w:val="auto"/>
                      <w:szCs w:val="21"/>
                      <w:lang w:val="en-US" w:eastAsia="zh-CN"/>
                    </w:rPr>
                    <w:t>2万条</w:t>
                  </w:r>
                </w:p>
              </w:tc>
              <w:tc>
                <w:tcPr>
                  <w:tcW w:w="915" w:type="dxa"/>
                  <w:noWrap w:val="0"/>
                  <w:vAlign w:val="center"/>
                </w:tcPr>
                <w:p w14:paraId="5D60177E">
                  <w:pPr>
                    <w:jc w:val="center"/>
                    <w:rPr>
                      <w:rFonts w:hint="default"/>
                      <w:color w:val="auto"/>
                      <w:szCs w:val="21"/>
                      <w:lang w:val="en-US" w:eastAsia="zh-CN"/>
                    </w:rPr>
                  </w:pPr>
                  <w:r>
                    <w:rPr>
                      <w:rFonts w:hint="eastAsia"/>
                      <w:color w:val="auto"/>
                      <w:szCs w:val="21"/>
                      <w:lang w:val="en-US" w:eastAsia="zh-CN"/>
                    </w:rPr>
                    <w:t>4万条</w:t>
                  </w:r>
                </w:p>
              </w:tc>
              <w:tc>
                <w:tcPr>
                  <w:tcW w:w="1155" w:type="dxa"/>
                  <w:noWrap w:val="0"/>
                  <w:vAlign w:val="center"/>
                </w:tcPr>
                <w:p w14:paraId="0CB3ED06">
                  <w:pPr>
                    <w:jc w:val="center"/>
                    <w:rPr>
                      <w:rFonts w:hint="default"/>
                      <w:color w:val="auto"/>
                      <w:szCs w:val="21"/>
                      <w:lang w:val="en-US" w:eastAsia="zh-CN"/>
                    </w:rPr>
                  </w:pPr>
                  <w:r>
                    <w:rPr>
                      <w:rFonts w:hint="eastAsia"/>
                      <w:color w:val="auto"/>
                      <w:szCs w:val="21"/>
                      <w:lang w:val="en-US" w:eastAsia="zh-CN"/>
                    </w:rPr>
                    <w:t>+2万条</w:t>
                  </w:r>
                </w:p>
              </w:tc>
              <w:tc>
                <w:tcPr>
                  <w:tcW w:w="690" w:type="dxa"/>
                  <w:noWrap w:val="0"/>
                  <w:vAlign w:val="center"/>
                </w:tcPr>
                <w:p w14:paraId="3952B1F5">
                  <w:pPr>
                    <w:jc w:val="center"/>
                    <w:rPr>
                      <w:rFonts w:hint="default"/>
                      <w:color w:val="auto"/>
                      <w:szCs w:val="21"/>
                      <w:lang w:val="en-US" w:eastAsia="zh-CN"/>
                    </w:rPr>
                  </w:pPr>
                  <w:r>
                    <w:rPr>
                      <w:rFonts w:hint="eastAsia"/>
                      <w:color w:val="auto"/>
                      <w:szCs w:val="21"/>
                      <w:lang w:val="en-US" w:eastAsia="zh-CN"/>
                    </w:rPr>
                    <w:t>捆扎</w:t>
                  </w:r>
                </w:p>
              </w:tc>
              <w:tc>
                <w:tcPr>
                  <w:tcW w:w="930" w:type="dxa"/>
                  <w:noWrap w:val="0"/>
                  <w:vAlign w:val="center"/>
                </w:tcPr>
                <w:p w14:paraId="35FE5B23">
                  <w:pPr>
                    <w:jc w:val="center"/>
                    <w:rPr>
                      <w:rFonts w:hint="default"/>
                      <w:color w:val="auto"/>
                      <w:szCs w:val="21"/>
                      <w:lang w:val="en-US" w:eastAsia="zh-CN"/>
                    </w:rPr>
                  </w:pPr>
                  <w:r>
                    <w:rPr>
                      <w:rFonts w:hint="eastAsia"/>
                      <w:color w:val="auto"/>
                      <w:szCs w:val="21"/>
                      <w:lang w:val="en-US" w:eastAsia="zh-CN"/>
                    </w:rPr>
                    <w:t>0.5万条</w:t>
                  </w:r>
                </w:p>
              </w:tc>
              <w:tc>
                <w:tcPr>
                  <w:tcW w:w="686" w:type="dxa"/>
                  <w:noWrap w:val="0"/>
                  <w:vAlign w:val="center"/>
                </w:tcPr>
                <w:p w14:paraId="028CBE39">
                  <w:pPr>
                    <w:pStyle w:val="30"/>
                    <w:bidi w:val="0"/>
                    <w:rPr>
                      <w:rFonts w:hint="eastAsia" w:eastAsia="宋体"/>
                      <w:color w:val="auto"/>
                      <w:szCs w:val="21"/>
                      <w:lang w:val="en-US" w:eastAsia="zh-CN"/>
                    </w:rPr>
                  </w:pPr>
                  <w:r>
                    <w:rPr>
                      <w:rFonts w:hint="eastAsia"/>
                      <w:color w:val="auto"/>
                    </w:rPr>
                    <w:t>国内采购</w:t>
                  </w:r>
                </w:p>
              </w:tc>
            </w:tr>
          </w:tbl>
          <w:p w14:paraId="75897C7D">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jc w:val="both"/>
              <w:textAlignment w:val="auto"/>
              <w:rPr>
                <w:rFonts w:hint="eastAsia"/>
                <w:b/>
                <w:bCs/>
                <w:color w:val="auto"/>
                <w:sz w:val="21"/>
                <w:szCs w:val="21"/>
                <w:lang w:val="en-US" w:eastAsia="zh-CN"/>
              </w:rPr>
            </w:pPr>
            <w:r>
              <w:rPr>
                <w:rFonts w:hint="eastAsia"/>
                <w:b w:val="0"/>
                <w:bCs w:val="0"/>
                <w:color w:val="auto"/>
                <w:sz w:val="24"/>
                <w:szCs w:val="24"/>
                <w:lang w:val="en-US" w:eastAsia="zh-CN"/>
              </w:rPr>
              <w:t>项目主要原辅材料理化性质见下表。</w:t>
            </w:r>
          </w:p>
          <w:p w14:paraId="327D5D79">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b/>
                <w:bCs/>
                <w:color w:val="auto"/>
                <w:sz w:val="21"/>
                <w:szCs w:val="21"/>
                <w:lang w:val="en-US" w:eastAsia="zh-CN"/>
              </w:rPr>
            </w:pPr>
            <w:r>
              <w:rPr>
                <w:rFonts w:hint="eastAsia"/>
                <w:b/>
                <w:bCs/>
                <w:color w:val="auto"/>
                <w:sz w:val="21"/>
                <w:szCs w:val="21"/>
                <w:lang w:val="en-US" w:eastAsia="zh-CN"/>
              </w:rPr>
              <w:t>表2-5  项目主要原辅材料理化性质</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109"/>
              <w:gridCol w:w="4740"/>
              <w:gridCol w:w="931"/>
              <w:gridCol w:w="700"/>
            </w:tblGrid>
            <w:tr w14:paraId="0EF035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0" w:type="pct"/>
                  <w:tcBorders>
                    <w:tl2br w:val="nil"/>
                    <w:tr2bl w:val="nil"/>
                  </w:tcBorders>
                  <w:noWrap w:val="0"/>
                  <w:vAlign w:val="center"/>
                </w:tcPr>
                <w:p w14:paraId="6CDC9285">
                  <w:pPr>
                    <w:pStyle w:val="30"/>
                    <w:bidi w:val="0"/>
                    <w:rPr>
                      <w:rFonts w:hint="default"/>
                      <w:color w:val="auto"/>
                    </w:rPr>
                  </w:pPr>
                  <w:r>
                    <w:rPr>
                      <w:rFonts w:hint="eastAsia"/>
                      <w:color w:val="auto"/>
                    </w:rPr>
                    <w:t>序号</w:t>
                  </w:r>
                </w:p>
              </w:tc>
              <w:tc>
                <w:tcPr>
                  <w:tcW w:w="698" w:type="pct"/>
                  <w:tcBorders>
                    <w:tl2br w:val="nil"/>
                    <w:tr2bl w:val="nil"/>
                  </w:tcBorders>
                  <w:noWrap w:val="0"/>
                  <w:vAlign w:val="center"/>
                </w:tcPr>
                <w:p w14:paraId="4CFC55E0">
                  <w:pPr>
                    <w:pStyle w:val="30"/>
                    <w:bidi w:val="0"/>
                    <w:rPr>
                      <w:rFonts w:hint="default"/>
                      <w:color w:val="auto"/>
                    </w:rPr>
                  </w:pPr>
                  <w:r>
                    <w:rPr>
                      <w:rFonts w:hint="eastAsia"/>
                      <w:color w:val="auto"/>
                    </w:rPr>
                    <w:t>名称</w:t>
                  </w:r>
                </w:p>
              </w:tc>
              <w:tc>
                <w:tcPr>
                  <w:tcW w:w="2984" w:type="pct"/>
                  <w:tcBorders>
                    <w:tl2br w:val="nil"/>
                    <w:tr2bl w:val="nil"/>
                  </w:tcBorders>
                  <w:noWrap w:val="0"/>
                  <w:vAlign w:val="center"/>
                </w:tcPr>
                <w:p w14:paraId="7E8C7426">
                  <w:pPr>
                    <w:pStyle w:val="30"/>
                    <w:bidi w:val="0"/>
                    <w:rPr>
                      <w:rFonts w:hint="default"/>
                      <w:color w:val="auto"/>
                    </w:rPr>
                  </w:pPr>
                  <w:r>
                    <w:rPr>
                      <w:rFonts w:hint="eastAsia"/>
                      <w:color w:val="auto"/>
                    </w:rPr>
                    <w:t>理化性质</w:t>
                  </w:r>
                </w:p>
              </w:tc>
              <w:tc>
                <w:tcPr>
                  <w:tcW w:w="586" w:type="pct"/>
                  <w:tcBorders>
                    <w:tl2br w:val="nil"/>
                    <w:tr2bl w:val="nil"/>
                  </w:tcBorders>
                  <w:noWrap w:val="0"/>
                  <w:vAlign w:val="center"/>
                </w:tcPr>
                <w:p w14:paraId="3554AEC9">
                  <w:pPr>
                    <w:pStyle w:val="30"/>
                    <w:bidi w:val="0"/>
                    <w:rPr>
                      <w:rFonts w:hint="default"/>
                      <w:color w:val="auto"/>
                    </w:rPr>
                  </w:pPr>
                  <w:r>
                    <w:rPr>
                      <w:rFonts w:hint="eastAsia"/>
                      <w:color w:val="auto"/>
                    </w:rPr>
                    <w:t>燃烧爆炸性</w:t>
                  </w:r>
                </w:p>
              </w:tc>
              <w:tc>
                <w:tcPr>
                  <w:tcW w:w="440" w:type="pct"/>
                  <w:tcBorders>
                    <w:tl2br w:val="nil"/>
                    <w:tr2bl w:val="nil"/>
                  </w:tcBorders>
                  <w:noWrap w:val="0"/>
                  <w:vAlign w:val="center"/>
                </w:tcPr>
                <w:p w14:paraId="246FB426">
                  <w:pPr>
                    <w:pStyle w:val="30"/>
                    <w:bidi w:val="0"/>
                    <w:rPr>
                      <w:rFonts w:hint="default"/>
                      <w:color w:val="auto"/>
                    </w:rPr>
                  </w:pPr>
                  <w:r>
                    <w:rPr>
                      <w:rFonts w:hint="eastAsia"/>
                      <w:color w:val="auto"/>
                    </w:rPr>
                    <w:t>毒性毒理</w:t>
                  </w:r>
                </w:p>
              </w:tc>
            </w:tr>
            <w:tr w14:paraId="6DA7D4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0" w:type="pct"/>
                  <w:tcBorders>
                    <w:tl2br w:val="nil"/>
                    <w:tr2bl w:val="nil"/>
                  </w:tcBorders>
                  <w:noWrap w:val="0"/>
                  <w:vAlign w:val="center"/>
                </w:tcPr>
                <w:p w14:paraId="0DCB331A">
                  <w:pPr>
                    <w:pStyle w:val="30"/>
                    <w:bidi w:val="0"/>
                    <w:rPr>
                      <w:rFonts w:hint="default" w:ascii="Times New Roman" w:hAnsi="Times New Roman"/>
                      <w:color w:val="auto"/>
                      <w:sz w:val="21"/>
                    </w:rPr>
                  </w:pPr>
                  <w:r>
                    <w:rPr>
                      <w:rFonts w:hint="eastAsia" w:ascii="Times New Roman" w:hAnsi="Times New Roman"/>
                      <w:color w:val="auto"/>
                      <w:sz w:val="21"/>
                    </w:rPr>
                    <w:t>1</w:t>
                  </w:r>
                </w:p>
              </w:tc>
              <w:tc>
                <w:tcPr>
                  <w:tcW w:w="698" w:type="pct"/>
                  <w:tcBorders>
                    <w:tl2br w:val="nil"/>
                    <w:tr2bl w:val="nil"/>
                  </w:tcBorders>
                  <w:noWrap w:val="0"/>
                  <w:vAlign w:val="center"/>
                </w:tcPr>
                <w:p w14:paraId="5ADAAA87">
                  <w:pPr>
                    <w:pStyle w:val="30"/>
                    <w:bidi w:val="0"/>
                    <w:rPr>
                      <w:rFonts w:hint="default" w:ascii="Times New Roman" w:hAnsi="Times New Roman"/>
                      <w:color w:val="auto"/>
                      <w:sz w:val="21"/>
                      <w:lang w:val="en-US" w:eastAsia="zh-CN"/>
                    </w:rPr>
                  </w:pPr>
                  <w:r>
                    <w:rPr>
                      <w:rFonts w:hint="eastAsia" w:ascii="Times New Roman" w:hAnsi="Times New Roman"/>
                      <w:color w:val="auto"/>
                      <w:sz w:val="21"/>
                    </w:rPr>
                    <w:t>丁基胶</w:t>
                  </w:r>
                </w:p>
              </w:tc>
              <w:tc>
                <w:tcPr>
                  <w:tcW w:w="2984" w:type="pct"/>
                  <w:tcBorders>
                    <w:tl2br w:val="nil"/>
                    <w:tr2bl w:val="nil"/>
                  </w:tcBorders>
                  <w:noWrap w:val="0"/>
                  <w:vAlign w:val="center"/>
                </w:tcPr>
                <w:p w14:paraId="54B91554">
                  <w:pPr>
                    <w:pStyle w:val="30"/>
                    <w:bidi w:val="0"/>
                    <w:rPr>
                      <w:rFonts w:hint="default"/>
                      <w:color w:val="auto"/>
                      <w:lang w:val="en-US" w:eastAsia="zh-CN"/>
                    </w:rPr>
                  </w:pPr>
                  <w:r>
                    <w:rPr>
                      <w:rFonts w:hint="eastAsia"/>
                      <w:color w:val="auto"/>
                    </w:rPr>
                    <w:t>丁基橡胶是合成橡胶的一种，由</w:t>
                  </w:r>
                  <w:r>
                    <w:rPr>
                      <w:color w:val="auto"/>
                    </w:rPr>
                    <w:fldChar w:fldCharType="begin"/>
                  </w:r>
                  <w:r>
                    <w:rPr>
                      <w:color w:val="auto"/>
                    </w:rPr>
                    <w:instrText xml:space="preserve"> HYPERLINK "https://baike.sogou.com/lemma/ShowInnerLink.htm?lemmaId=258843&amp;ss_c=ssc.citiao.link" \t "https://baike.sogou.com/_blank" </w:instrText>
                  </w:r>
                  <w:r>
                    <w:rPr>
                      <w:color w:val="auto"/>
                    </w:rPr>
                    <w:fldChar w:fldCharType="separate"/>
                  </w:r>
                  <w:r>
                    <w:rPr>
                      <w:rFonts w:hint="eastAsia"/>
                      <w:color w:val="auto"/>
                    </w:rPr>
                    <w:t>异丁烯</w:t>
                  </w:r>
                  <w:r>
                    <w:rPr>
                      <w:color w:val="auto"/>
                    </w:rPr>
                    <w:fldChar w:fldCharType="end"/>
                  </w:r>
                  <w:r>
                    <w:rPr>
                      <w:rFonts w:hint="eastAsia"/>
                      <w:color w:val="auto"/>
                    </w:rPr>
                    <w:t>和少量</w:t>
                  </w:r>
                  <w:r>
                    <w:rPr>
                      <w:color w:val="auto"/>
                    </w:rPr>
                    <w:fldChar w:fldCharType="begin"/>
                  </w:r>
                  <w:r>
                    <w:rPr>
                      <w:color w:val="auto"/>
                    </w:rPr>
                    <w:instrText xml:space="preserve"> HYPERLINK "https://baike.sogou.com/lemma/ShowInnerLink.htm?lemmaId=6384502&amp;ss_c=ssc.citiao.link" \t "https://baike.sogou.com/_blank" </w:instrText>
                  </w:r>
                  <w:r>
                    <w:rPr>
                      <w:color w:val="auto"/>
                    </w:rPr>
                    <w:fldChar w:fldCharType="separate"/>
                  </w:r>
                  <w:r>
                    <w:rPr>
                      <w:rFonts w:hint="eastAsia"/>
                      <w:color w:val="auto"/>
                    </w:rPr>
                    <w:t>异戊二烯</w:t>
                  </w:r>
                  <w:r>
                    <w:rPr>
                      <w:color w:val="auto"/>
                    </w:rPr>
                    <w:fldChar w:fldCharType="end"/>
                  </w:r>
                  <w:r>
                    <w:rPr>
                      <w:rFonts w:hint="eastAsia"/>
                      <w:color w:val="auto"/>
                    </w:rPr>
                    <w:t>合成。耐热、耐臭氧、耐老化、耐化学药品、不易硫化，并有吸震、电绝缘性能</w:t>
                  </w:r>
                </w:p>
              </w:tc>
              <w:tc>
                <w:tcPr>
                  <w:tcW w:w="586" w:type="pct"/>
                  <w:tcBorders>
                    <w:tl2br w:val="nil"/>
                    <w:tr2bl w:val="nil"/>
                  </w:tcBorders>
                  <w:noWrap w:val="0"/>
                  <w:vAlign w:val="center"/>
                </w:tcPr>
                <w:p w14:paraId="7B2AC1EB">
                  <w:pPr>
                    <w:pStyle w:val="30"/>
                    <w:bidi w:val="0"/>
                    <w:rPr>
                      <w:rFonts w:hint="default"/>
                      <w:color w:val="auto"/>
                      <w:lang w:val="en-US" w:eastAsia="zh-CN"/>
                    </w:rPr>
                  </w:pPr>
                  <w:r>
                    <w:rPr>
                      <w:rFonts w:hint="eastAsia"/>
                      <w:color w:val="auto"/>
                    </w:rPr>
                    <w:t>可燃</w:t>
                  </w:r>
                </w:p>
              </w:tc>
              <w:tc>
                <w:tcPr>
                  <w:tcW w:w="440" w:type="pct"/>
                  <w:tcBorders>
                    <w:tl2br w:val="nil"/>
                    <w:tr2bl w:val="nil"/>
                  </w:tcBorders>
                  <w:noWrap w:val="0"/>
                  <w:vAlign w:val="center"/>
                </w:tcPr>
                <w:p w14:paraId="6E70DD7C">
                  <w:pPr>
                    <w:pStyle w:val="30"/>
                    <w:bidi w:val="0"/>
                    <w:rPr>
                      <w:rFonts w:hint="default"/>
                      <w:color w:val="auto"/>
                      <w:lang w:val="en-US" w:eastAsia="zh-CN"/>
                    </w:rPr>
                  </w:pPr>
                  <w:r>
                    <w:rPr>
                      <w:rFonts w:hint="eastAsia"/>
                      <w:color w:val="auto"/>
                    </w:rPr>
                    <w:t>低毒</w:t>
                  </w:r>
                </w:p>
              </w:tc>
            </w:tr>
            <w:tr w14:paraId="2E69BC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90" w:type="pct"/>
                  <w:tcBorders>
                    <w:tl2br w:val="nil"/>
                    <w:tr2bl w:val="nil"/>
                  </w:tcBorders>
                  <w:noWrap w:val="0"/>
                  <w:vAlign w:val="center"/>
                </w:tcPr>
                <w:p w14:paraId="5AA4F55B">
                  <w:pPr>
                    <w:pStyle w:val="30"/>
                    <w:bidi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2</w:t>
                  </w:r>
                </w:p>
              </w:tc>
              <w:tc>
                <w:tcPr>
                  <w:tcW w:w="698" w:type="pct"/>
                  <w:tcBorders>
                    <w:tl2br w:val="nil"/>
                    <w:tr2bl w:val="nil"/>
                  </w:tcBorders>
                  <w:noWrap w:val="0"/>
                  <w:vAlign w:val="center"/>
                </w:tcPr>
                <w:p w14:paraId="1AD20426">
                  <w:pPr>
                    <w:pStyle w:val="30"/>
                    <w:bidi w:val="0"/>
                    <w:rPr>
                      <w:rFonts w:hint="default" w:ascii="Times New Roman" w:hAnsi="Times New Roman"/>
                      <w:color w:val="auto"/>
                      <w:sz w:val="21"/>
                      <w:lang w:val="en-US" w:eastAsia="zh-CN"/>
                    </w:rPr>
                  </w:pPr>
                  <w:r>
                    <w:rPr>
                      <w:rFonts w:hint="eastAsia" w:ascii="Times New Roman" w:hAnsi="Times New Roman"/>
                      <w:color w:val="auto"/>
                      <w:sz w:val="21"/>
                    </w:rPr>
                    <w:t>硅酮胶</w:t>
                  </w:r>
                </w:p>
              </w:tc>
              <w:tc>
                <w:tcPr>
                  <w:tcW w:w="2984" w:type="pct"/>
                  <w:tcBorders>
                    <w:tl2br w:val="nil"/>
                    <w:tr2bl w:val="nil"/>
                  </w:tcBorders>
                  <w:noWrap w:val="0"/>
                  <w:vAlign w:val="top"/>
                </w:tcPr>
                <w:p w14:paraId="5485DDD5">
                  <w:pPr>
                    <w:pStyle w:val="30"/>
                    <w:bidi w:val="0"/>
                    <w:rPr>
                      <w:rFonts w:hint="default"/>
                      <w:color w:val="auto"/>
                      <w:lang w:val="en-US" w:eastAsia="zh-CN"/>
                    </w:rPr>
                  </w:pPr>
                  <w:r>
                    <w:rPr>
                      <w:rFonts w:hint="eastAsia"/>
                      <w:color w:val="auto"/>
                    </w:rPr>
                    <w:t>是一种类似软膏，一旦接触空气中的水分就会固化成一种坚韧的橡胶类固体的材料。主要分为脱醋酸型，</w:t>
                  </w:r>
                  <w:r>
                    <w:rPr>
                      <w:color w:val="auto"/>
                    </w:rPr>
                    <w:t xml:space="preserve"> </w:t>
                  </w:r>
                  <w:r>
                    <w:rPr>
                      <w:rFonts w:hint="eastAsia"/>
                      <w:color w:val="auto"/>
                    </w:rPr>
                    <w:t>脱醇型，脱氨型，脱丙型。硅酮胶因为常被用于玻璃方面的粘接和密封，所以俗称玻璃胶</w:t>
                  </w:r>
                </w:p>
              </w:tc>
              <w:tc>
                <w:tcPr>
                  <w:tcW w:w="586" w:type="pct"/>
                  <w:tcBorders>
                    <w:tl2br w:val="nil"/>
                    <w:tr2bl w:val="nil"/>
                  </w:tcBorders>
                  <w:noWrap w:val="0"/>
                  <w:vAlign w:val="center"/>
                </w:tcPr>
                <w:p w14:paraId="243AC2CC">
                  <w:pPr>
                    <w:pStyle w:val="30"/>
                    <w:bidi w:val="0"/>
                    <w:rPr>
                      <w:rFonts w:hint="default"/>
                      <w:color w:val="auto"/>
                      <w:lang w:val="en-US" w:eastAsia="zh-CN"/>
                    </w:rPr>
                  </w:pPr>
                  <w:r>
                    <w:rPr>
                      <w:rFonts w:hint="eastAsia"/>
                      <w:color w:val="auto"/>
                    </w:rPr>
                    <w:t>可燃</w:t>
                  </w:r>
                </w:p>
              </w:tc>
              <w:tc>
                <w:tcPr>
                  <w:tcW w:w="440" w:type="pct"/>
                  <w:tcBorders>
                    <w:tl2br w:val="nil"/>
                    <w:tr2bl w:val="nil"/>
                  </w:tcBorders>
                  <w:noWrap w:val="0"/>
                  <w:vAlign w:val="center"/>
                </w:tcPr>
                <w:p w14:paraId="71E686A3">
                  <w:pPr>
                    <w:pStyle w:val="30"/>
                    <w:bidi w:val="0"/>
                    <w:rPr>
                      <w:rFonts w:hint="default"/>
                      <w:color w:val="auto"/>
                      <w:lang w:val="en-US" w:eastAsia="zh-CN"/>
                    </w:rPr>
                  </w:pPr>
                  <w:r>
                    <w:rPr>
                      <w:rFonts w:hint="eastAsia"/>
                      <w:color w:val="auto"/>
                    </w:rPr>
                    <w:t>低毒</w:t>
                  </w:r>
                </w:p>
              </w:tc>
            </w:tr>
            <w:tr w14:paraId="2E9108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90" w:type="pct"/>
                  <w:tcBorders>
                    <w:tl2br w:val="nil"/>
                    <w:tr2bl w:val="nil"/>
                  </w:tcBorders>
                  <w:noWrap w:val="0"/>
                  <w:vAlign w:val="center"/>
                </w:tcPr>
                <w:p w14:paraId="7227104F">
                  <w:pPr>
                    <w:pStyle w:val="30"/>
                    <w:bidi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3</w:t>
                  </w:r>
                </w:p>
              </w:tc>
              <w:tc>
                <w:tcPr>
                  <w:tcW w:w="698" w:type="pct"/>
                  <w:tcBorders>
                    <w:tl2br w:val="nil"/>
                    <w:tr2bl w:val="nil"/>
                  </w:tcBorders>
                  <w:noWrap w:val="0"/>
                  <w:vAlign w:val="center"/>
                </w:tcPr>
                <w:p w14:paraId="2DC77910">
                  <w:pPr>
                    <w:pStyle w:val="30"/>
                    <w:bidi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PVB胶片</w:t>
                  </w:r>
                </w:p>
              </w:tc>
              <w:tc>
                <w:tcPr>
                  <w:tcW w:w="2984" w:type="pct"/>
                  <w:tcBorders>
                    <w:tl2br w:val="nil"/>
                    <w:tr2bl w:val="nil"/>
                  </w:tcBorders>
                  <w:noWrap w:val="0"/>
                  <w:vAlign w:val="center"/>
                </w:tcPr>
                <w:p w14:paraId="56208962">
                  <w:pPr>
                    <w:pStyle w:val="30"/>
                    <w:bidi w:val="0"/>
                    <w:rPr>
                      <w:rFonts w:hint="default"/>
                      <w:color w:val="auto"/>
                      <w:lang w:val="en-US" w:eastAsia="zh-CN"/>
                    </w:rPr>
                  </w:pPr>
                  <w:r>
                    <w:rPr>
                      <w:rFonts w:hint="eastAsia" w:ascii="Times New Roman" w:hAnsi="Times New Roman"/>
                      <w:color w:val="auto"/>
                      <w:sz w:val="21"/>
                    </w:rPr>
                    <w:t>化学名为聚乙烯醇缩丁醛薄膜，其本质是一种热塑性</w:t>
                  </w:r>
                  <w:r>
                    <w:rPr>
                      <w:rFonts w:hint="eastAsia" w:ascii="Times New Roman"/>
                      <w:color w:val="auto"/>
                      <w:sz w:val="21"/>
                      <w:lang w:eastAsia="zh-CN"/>
                    </w:rPr>
                    <w:t>树酯</w:t>
                  </w:r>
                  <w:r>
                    <w:rPr>
                      <w:rFonts w:hint="eastAsia" w:ascii="Times New Roman" w:hAnsi="Times New Roman"/>
                      <w:color w:val="auto"/>
                      <w:sz w:val="21"/>
                    </w:rPr>
                    <w:t>膜，是由</w:t>
                  </w:r>
                  <w:r>
                    <w:rPr>
                      <w:rFonts w:ascii="Times New Roman" w:hAnsi="Times New Roman"/>
                      <w:color w:val="auto"/>
                      <w:sz w:val="21"/>
                    </w:rPr>
                    <w:t xml:space="preserve">PVB </w:t>
                  </w:r>
                  <w:r>
                    <w:rPr>
                      <w:rFonts w:hint="eastAsia" w:ascii="Times New Roman" w:hAnsi="Times New Roman"/>
                      <w:color w:val="auto"/>
                      <w:sz w:val="21"/>
                    </w:rPr>
                    <w:t>树脂加</w:t>
                  </w:r>
                  <w:r>
                    <w:rPr>
                      <w:rFonts w:hint="eastAsia" w:ascii="Times New Roman" w:hAnsi="Times New Roman"/>
                      <w:color w:val="auto"/>
                      <w:sz w:val="21"/>
                      <w:lang w:val="en-US" w:eastAsia="zh-CN"/>
                    </w:rPr>
                    <w:t>增</w:t>
                  </w:r>
                  <w:r>
                    <w:rPr>
                      <w:rFonts w:hint="eastAsia" w:ascii="Times New Roman" w:hAnsi="Times New Roman"/>
                      <w:color w:val="auto"/>
                      <w:sz w:val="21"/>
                    </w:rPr>
                    <w:t>塑剂生产而成，对无机玻璃有很好</w:t>
                  </w:r>
                  <w:r>
                    <w:rPr>
                      <w:rFonts w:hint="eastAsia" w:ascii="Times New Roman"/>
                      <w:color w:val="auto"/>
                      <w:sz w:val="21"/>
                      <w:lang w:eastAsia="zh-CN"/>
                    </w:rPr>
                    <w:t>黏结力</w:t>
                  </w:r>
                  <w:r>
                    <w:rPr>
                      <w:rFonts w:hint="eastAsia" w:ascii="Times New Roman" w:hAnsi="Times New Roman"/>
                      <w:color w:val="auto"/>
                      <w:sz w:val="21"/>
                    </w:rPr>
                    <w:t>，具有透明、耐热、耐寒、机械强度高等特性</w:t>
                  </w:r>
                </w:p>
              </w:tc>
              <w:tc>
                <w:tcPr>
                  <w:tcW w:w="586" w:type="pct"/>
                  <w:tcBorders>
                    <w:tl2br w:val="nil"/>
                    <w:tr2bl w:val="nil"/>
                  </w:tcBorders>
                  <w:noWrap w:val="0"/>
                  <w:vAlign w:val="center"/>
                </w:tcPr>
                <w:p w14:paraId="14A6B381">
                  <w:pPr>
                    <w:pStyle w:val="30"/>
                    <w:bidi w:val="0"/>
                    <w:rPr>
                      <w:rFonts w:hint="default"/>
                      <w:color w:val="auto"/>
                      <w:lang w:val="en-US" w:eastAsia="zh-CN"/>
                    </w:rPr>
                  </w:pPr>
                  <w:r>
                    <w:rPr>
                      <w:rFonts w:hint="eastAsia"/>
                      <w:color w:val="auto"/>
                      <w:lang w:val="en-US" w:eastAsia="zh-CN"/>
                    </w:rPr>
                    <w:t>可燃</w:t>
                  </w:r>
                </w:p>
              </w:tc>
              <w:tc>
                <w:tcPr>
                  <w:tcW w:w="440" w:type="pct"/>
                  <w:tcBorders>
                    <w:tl2br w:val="nil"/>
                    <w:tr2bl w:val="nil"/>
                  </w:tcBorders>
                  <w:noWrap w:val="0"/>
                  <w:vAlign w:val="center"/>
                </w:tcPr>
                <w:p w14:paraId="4668F1B6">
                  <w:pPr>
                    <w:pStyle w:val="30"/>
                    <w:bidi w:val="0"/>
                    <w:rPr>
                      <w:rFonts w:hint="default"/>
                      <w:color w:val="auto"/>
                      <w:lang w:val="en-US" w:eastAsia="zh-CN"/>
                    </w:rPr>
                  </w:pPr>
                  <w:r>
                    <w:rPr>
                      <w:rFonts w:hint="eastAsia"/>
                      <w:color w:val="auto"/>
                      <w:lang w:val="en-US" w:eastAsia="zh-CN"/>
                    </w:rPr>
                    <w:t>低毒</w:t>
                  </w:r>
                </w:p>
              </w:tc>
            </w:tr>
          </w:tbl>
          <w:p w14:paraId="1CD65B0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olor w:val="auto"/>
                <w:sz w:val="24"/>
                <w:szCs w:val="24"/>
                <w:lang w:val="en-US" w:eastAsia="zh-CN"/>
              </w:rPr>
            </w:pPr>
            <w:r>
              <w:rPr>
                <w:rFonts w:hint="eastAsia"/>
                <w:color w:val="auto"/>
                <w:sz w:val="24"/>
                <w:szCs w:val="24"/>
                <w:lang w:val="en-US" w:eastAsia="zh-CN"/>
              </w:rPr>
              <w:t>本项目原辅材料挥发性有机物含量限值相符性分析见下表。</w:t>
            </w:r>
          </w:p>
          <w:p w14:paraId="761A0B56">
            <w:pPr>
              <w:pStyle w:val="51"/>
              <w:bidi w:val="0"/>
              <w:rPr>
                <w:rFonts w:hint="eastAsia" w:ascii="Times New Roman" w:hAnsi="Times New Roman" w:eastAsia="宋体"/>
                <w:b/>
                <w:bCs w:val="0"/>
                <w:color w:val="auto"/>
                <w:sz w:val="21"/>
              </w:rPr>
            </w:pPr>
            <w:bookmarkStart w:id="0" w:name="_Toc16713"/>
            <w:r>
              <w:rPr>
                <w:rFonts w:hint="eastAsia" w:ascii="Times New Roman" w:hAnsi="Times New Roman" w:eastAsia="宋体"/>
                <w:b/>
                <w:bCs w:val="0"/>
                <w:color w:val="auto"/>
                <w:sz w:val="21"/>
              </w:rPr>
              <w:t>表</w:t>
            </w:r>
            <w:r>
              <w:rPr>
                <w:rFonts w:hint="eastAsia" w:ascii="Times New Roman" w:hAnsi="Times New Roman" w:eastAsia="宋体"/>
                <w:b/>
                <w:bCs w:val="0"/>
                <w:color w:val="auto"/>
                <w:sz w:val="21"/>
                <w:lang w:val="en-US" w:eastAsia="zh-CN"/>
              </w:rPr>
              <w:t>2-6</w:t>
            </w:r>
            <w:r>
              <w:rPr>
                <w:rFonts w:hint="eastAsia" w:ascii="Times New Roman" w:hAnsi="Times New Roman" w:eastAsia="宋体"/>
                <w:b/>
                <w:bCs w:val="0"/>
                <w:color w:val="auto"/>
                <w:sz w:val="21"/>
              </w:rPr>
              <w:t xml:space="preserve"> </w:t>
            </w:r>
            <w:r>
              <w:rPr>
                <w:rFonts w:hint="eastAsia" w:ascii="Times New Roman" w:hAnsi="Times New Roman" w:eastAsia="宋体"/>
                <w:b/>
                <w:bCs w:val="0"/>
                <w:color w:val="auto"/>
                <w:sz w:val="21"/>
                <w:lang w:val="en-US" w:eastAsia="zh-CN"/>
              </w:rPr>
              <w:t xml:space="preserve"> </w:t>
            </w:r>
            <w:r>
              <w:rPr>
                <w:rFonts w:hint="eastAsia" w:ascii="Times New Roman" w:hAnsi="Times New Roman" w:eastAsia="宋体"/>
                <w:b/>
                <w:bCs w:val="0"/>
                <w:color w:val="auto"/>
                <w:sz w:val="21"/>
              </w:rPr>
              <w:t>项目</w:t>
            </w:r>
            <w:r>
              <w:rPr>
                <w:rFonts w:hint="eastAsia" w:ascii="Times New Roman" w:hAnsi="Times New Roman" w:eastAsia="宋体"/>
                <w:b/>
                <w:bCs w:val="0"/>
                <w:color w:val="auto"/>
                <w:sz w:val="21"/>
                <w:lang w:val="en-US" w:eastAsia="zh-CN"/>
              </w:rPr>
              <w:t>部分原辅料</w:t>
            </w:r>
            <w:r>
              <w:rPr>
                <w:rFonts w:hint="eastAsia" w:ascii="Times New Roman" w:hAnsi="Times New Roman" w:eastAsia="宋体"/>
                <w:b/>
                <w:bCs w:val="0"/>
                <w:color w:val="auto"/>
                <w:sz w:val="21"/>
              </w:rPr>
              <w:t>挥发性有机化合物含量限值的相符性分析</w:t>
            </w:r>
            <w:bookmarkEnd w:id="0"/>
          </w:p>
          <w:tbl>
            <w:tblPr>
              <w:tblStyle w:val="23"/>
              <w:tblW w:w="800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4"/>
              <w:gridCol w:w="892"/>
              <w:gridCol w:w="1032"/>
              <w:gridCol w:w="675"/>
              <w:gridCol w:w="450"/>
              <w:gridCol w:w="862"/>
              <w:gridCol w:w="1069"/>
              <w:gridCol w:w="1770"/>
              <w:gridCol w:w="504"/>
            </w:tblGrid>
            <w:tr w14:paraId="6194F9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78" w:type="dxa"/>
                  <w:gridSpan w:val="3"/>
                  <w:noWrap w:val="0"/>
                  <w:vAlign w:val="center"/>
                </w:tcPr>
                <w:p w14:paraId="2B74A859">
                  <w:pPr>
                    <w:pStyle w:val="30"/>
                    <w:bidi w:val="0"/>
                    <w:rPr>
                      <w:rFonts w:hint="eastAsia" w:ascii="Times New Roman" w:hAnsi="Times New Roman" w:eastAsia="宋体"/>
                      <w:b w:val="0"/>
                      <w:color w:val="auto"/>
                      <w:sz w:val="21"/>
                    </w:rPr>
                  </w:pPr>
                  <w:r>
                    <w:rPr>
                      <w:rFonts w:hint="eastAsia" w:ascii="Times New Roman" w:hAnsi="Times New Roman" w:eastAsia="宋体"/>
                      <w:b w:val="0"/>
                      <w:color w:val="auto"/>
                      <w:sz w:val="21"/>
                    </w:rPr>
                    <w:t>VOCs含量限值</w:t>
                  </w:r>
                </w:p>
              </w:tc>
              <w:tc>
                <w:tcPr>
                  <w:tcW w:w="3056" w:type="dxa"/>
                  <w:gridSpan w:val="4"/>
                  <w:noWrap w:val="0"/>
                  <w:vAlign w:val="center"/>
                </w:tcPr>
                <w:p w14:paraId="42758DEB">
                  <w:pPr>
                    <w:pStyle w:val="30"/>
                    <w:bidi w:val="0"/>
                    <w:rPr>
                      <w:rFonts w:hint="eastAsia" w:ascii="Times New Roman" w:hAnsi="Times New Roman" w:eastAsia="宋体"/>
                      <w:b w:val="0"/>
                      <w:color w:val="auto"/>
                      <w:sz w:val="21"/>
                    </w:rPr>
                  </w:pPr>
                  <w:r>
                    <w:rPr>
                      <w:rFonts w:hint="eastAsia" w:ascii="Times New Roman" w:hAnsi="Times New Roman" w:eastAsia="宋体"/>
                      <w:b w:val="0"/>
                      <w:color w:val="auto"/>
                      <w:sz w:val="21"/>
                    </w:rPr>
                    <w:t>本项目</w:t>
                  </w:r>
                </w:p>
              </w:tc>
              <w:tc>
                <w:tcPr>
                  <w:tcW w:w="1770" w:type="dxa"/>
                  <w:vMerge w:val="restart"/>
                  <w:noWrap w:val="0"/>
                  <w:vAlign w:val="center"/>
                </w:tcPr>
                <w:p w14:paraId="1888ACC1">
                  <w:pPr>
                    <w:pStyle w:val="30"/>
                    <w:bidi w:val="0"/>
                    <w:rPr>
                      <w:rFonts w:hint="eastAsia" w:ascii="Times New Roman" w:hAnsi="Times New Roman" w:eastAsia="宋体"/>
                      <w:b w:val="0"/>
                      <w:color w:val="auto"/>
                      <w:sz w:val="21"/>
                      <w:lang w:val="en-US" w:eastAsia="zh-CN"/>
                    </w:rPr>
                  </w:pPr>
                  <w:r>
                    <w:rPr>
                      <w:rFonts w:hint="eastAsia" w:ascii="Times New Roman" w:hAnsi="Times New Roman" w:eastAsia="宋体"/>
                      <w:b w:val="0"/>
                      <w:color w:val="auto"/>
                      <w:sz w:val="21"/>
                      <w:lang w:val="en-US" w:eastAsia="zh-CN"/>
                    </w:rPr>
                    <w:t>文件名称</w:t>
                  </w:r>
                </w:p>
              </w:tc>
              <w:tc>
                <w:tcPr>
                  <w:tcW w:w="504" w:type="dxa"/>
                  <w:vMerge w:val="restart"/>
                  <w:noWrap w:val="0"/>
                  <w:vAlign w:val="center"/>
                </w:tcPr>
                <w:p w14:paraId="06CF485E">
                  <w:pPr>
                    <w:pStyle w:val="30"/>
                    <w:bidi w:val="0"/>
                    <w:rPr>
                      <w:rFonts w:ascii="Times New Roman" w:hAnsi="Times New Roman" w:eastAsia="宋体"/>
                      <w:b w:val="0"/>
                      <w:color w:val="auto"/>
                      <w:sz w:val="21"/>
                    </w:rPr>
                  </w:pPr>
                  <w:r>
                    <w:rPr>
                      <w:rFonts w:hint="eastAsia" w:ascii="Times New Roman" w:hAnsi="Times New Roman" w:eastAsia="宋体"/>
                      <w:b w:val="0"/>
                      <w:color w:val="auto"/>
                      <w:sz w:val="21"/>
                    </w:rPr>
                    <w:t>相符性</w:t>
                  </w:r>
                </w:p>
              </w:tc>
            </w:tr>
            <w:tr w14:paraId="62B395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noWrap w:val="0"/>
                  <w:vAlign w:val="center"/>
                </w:tcPr>
                <w:p w14:paraId="456DF165">
                  <w:pPr>
                    <w:pStyle w:val="30"/>
                    <w:bidi w:val="0"/>
                    <w:rPr>
                      <w:rFonts w:ascii="Times New Roman" w:hAnsi="Times New Roman" w:eastAsia="宋体"/>
                      <w:b w:val="0"/>
                      <w:color w:val="auto"/>
                      <w:sz w:val="21"/>
                    </w:rPr>
                  </w:pPr>
                  <w:r>
                    <w:rPr>
                      <w:rFonts w:hint="eastAsia" w:ascii="Times New Roman" w:hAnsi="Times New Roman" w:eastAsia="宋体"/>
                      <w:b w:val="0"/>
                      <w:color w:val="auto"/>
                      <w:sz w:val="21"/>
                    </w:rPr>
                    <w:t>类别</w:t>
                  </w:r>
                </w:p>
              </w:tc>
              <w:tc>
                <w:tcPr>
                  <w:tcW w:w="892" w:type="dxa"/>
                  <w:noWrap w:val="0"/>
                  <w:vAlign w:val="center"/>
                </w:tcPr>
                <w:p w14:paraId="255FD21E">
                  <w:pPr>
                    <w:pStyle w:val="30"/>
                    <w:bidi w:val="0"/>
                    <w:rPr>
                      <w:rFonts w:ascii="Times New Roman" w:hAnsi="Times New Roman" w:eastAsia="宋体"/>
                      <w:b w:val="0"/>
                      <w:color w:val="auto"/>
                      <w:sz w:val="21"/>
                    </w:rPr>
                  </w:pPr>
                  <w:r>
                    <w:rPr>
                      <w:rFonts w:hint="eastAsia" w:ascii="Times New Roman" w:hAnsi="Times New Roman" w:eastAsia="宋体"/>
                      <w:b w:val="0"/>
                      <w:color w:val="auto"/>
                      <w:sz w:val="21"/>
                    </w:rPr>
                    <w:t>应用领域及类型</w:t>
                  </w:r>
                </w:p>
              </w:tc>
              <w:tc>
                <w:tcPr>
                  <w:tcW w:w="1032" w:type="dxa"/>
                  <w:noWrap w:val="0"/>
                  <w:vAlign w:val="center"/>
                </w:tcPr>
                <w:p w14:paraId="0A0339E2">
                  <w:pPr>
                    <w:pStyle w:val="30"/>
                    <w:bidi w:val="0"/>
                    <w:rPr>
                      <w:rFonts w:hint="eastAsia" w:ascii="Times New Roman" w:hAnsi="Times New Roman" w:eastAsia="宋体"/>
                      <w:b w:val="0"/>
                      <w:color w:val="auto"/>
                      <w:sz w:val="21"/>
                      <w:lang w:val="en-US" w:eastAsia="zh-CN"/>
                    </w:rPr>
                  </w:pPr>
                  <w:r>
                    <w:rPr>
                      <w:rFonts w:hint="eastAsia" w:ascii="Times New Roman" w:hAnsi="Times New Roman" w:eastAsia="宋体"/>
                      <w:b w:val="0"/>
                      <w:color w:val="auto"/>
                      <w:sz w:val="21"/>
                    </w:rPr>
                    <w:t>VOC限量值（g/</w:t>
                  </w:r>
                  <w:r>
                    <w:rPr>
                      <w:rFonts w:hint="eastAsia" w:ascii="Times New Roman" w:hAnsi="Times New Roman" w:eastAsia="宋体"/>
                      <w:b w:val="0"/>
                      <w:color w:val="auto"/>
                      <w:sz w:val="21"/>
                      <w:lang w:val="en-US" w:eastAsia="zh-CN"/>
                    </w:rPr>
                    <w:t>kg</w:t>
                  </w:r>
                  <w:r>
                    <w:rPr>
                      <w:rFonts w:hint="eastAsia" w:ascii="Times New Roman" w:hAnsi="Times New Roman" w:eastAsia="宋体"/>
                      <w:b w:val="0"/>
                      <w:color w:val="auto"/>
                      <w:sz w:val="21"/>
                    </w:rPr>
                    <w:t>）</w:t>
                  </w:r>
                </w:p>
              </w:tc>
              <w:tc>
                <w:tcPr>
                  <w:tcW w:w="675" w:type="dxa"/>
                  <w:noWrap w:val="0"/>
                  <w:vAlign w:val="center"/>
                </w:tcPr>
                <w:p w14:paraId="0CCDAAFF">
                  <w:pPr>
                    <w:pStyle w:val="30"/>
                    <w:bidi w:val="0"/>
                    <w:rPr>
                      <w:rFonts w:ascii="Times New Roman" w:hAnsi="Times New Roman" w:eastAsia="宋体"/>
                      <w:b w:val="0"/>
                      <w:color w:val="auto"/>
                      <w:sz w:val="21"/>
                    </w:rPr>
                  </w:pPr>
                  <w:r>
                    <w:rPr>
                      <w:rFonts w:hint="eastAsia" w:ascii="Times New Roman" w:hAnsi="Times New Roman" w:eastAsia="宋体"/>
                      <w:b w:val="0"/>
                      <w:color w:val="auto"/>
                      <w:sz w:val="21"/>
                    </w:rPr>
                    <w:t>名称</w:t>
                  </w:r>
                </w:p>
              </w:tc>
              <w:tc>
                <w:tcPr>
                  <w:tcW w:w="450" w:type="dxa"/>
                  <w:noWrap w:val="0"/>
                  <w:vAlign w:val="center"/>
                </w:tcPr>
                <w:p w14:paraId="4CE79C30">
                  <w:pPr>
                    <w:pStyle w:val="30"/>
                    <w:bidi w:val="0"/>
                    <w:rPr>
                      <w:rFonts w:hint="eastAsia" w:ascii="Times New Roman" w:hAnsi="Times New Roman" w:eastAsia="宋体"/>
                      <w:b w:val="0"/>
                      <w:color w:val="auto"/>
                      <w:sz w:val="21"/>
                      <w:lang w:eastAsia="zh-CN"/>
                    </w:rPr>
                  </w:pPr>
                  <w:r>
                    <w:rPr>
                      <w:rFonts w:hint="eastAsia" w:ascii="Times New Roman" w:hAnsi="Times New Roman" w:eastAsia="宋体"/>
                      <w:b w:val="0"/>
                      <w:color w:val="auto"/>
                      <w:sz w:val="21"/>
                      <w:lang w:val="en-US" w:eastAsia="zh-CN"/>
                    </w:rPr>
                    <w:t>密度</w:t>
                  </w:r>
                </w:p>
              </w:tc>
              <w:tc>
                <w:tcPr>
                  <w:tcW w:w="862" w:type="dxa"/>
                  <w:noWrap w:val="0"/>
                  <w:vAlign w:val="center"/>
                </w:tcPr>
                <w:p w14:paraId="747C02AA">
                  <w:pPr>
                    <w:pStyle w:val="30"/>
                    <w:bidi w:val="0"/>
                    <w:rPr>
                      <w:rFonts w:hint="eastAsia" w:ascii="Times New Roman" w:hAnsi="Times New Roman" w:eastAsia="宋体"/>
                      <w:b w:val="0"/>
                      <w:color w:val="auto"/>
                      <w:sz w:val="21"/>
                      <w:lang w:val="en-US" w:eastAsia="zh-CN"/>
                    </w:rPr>
                  </w:pPr>
                  <w:r>
                    <w:rPr>
                      <w:rFonts w:hint="eastAsia" w:ascii="Times New Roman" w:hAnsi="Times New Roman" w:eastAsia="宋体"/>
                      <w:b w:val="0"/>
                      <w:color w:val="auto"/>
                      <w:sz w:val="21"/>
                    </w:rPr>
                    <w:t>VOC占比（%）</w:t>
                  </w:r>
                </w:p>
              </w:tc>
              <w:tc>
                <w:tcPr>
                  <w:tcW w:w="1069" w:type="dxa"/>
                  <w:noWrap w:val="0"/>
                  <w:vAlign w:val="center"/>
                </w:tcPr>
                <w:p w14:paraId="52338DA4">
                  <w:pPr>
                    <w:pStyle w:val="30"/>
                    <w:bidi w:val="0"/>
                    <w:rPr>
                      <w:rFonts w:ascii="Times New Roman" w:hAnsi="Times New Roman" w:eastAsia="宋体"/>
                      <w:b w:val="0"/>
                      <w:color w:val="auto"/>
                      <w:sz w:val="21"/>
                    </w:rPr>
                  </w:pPr>
                  <w:r>
                    <w:rPr>
                      <w:rFonts w:hint="eastAsia" w:ascii="Times New Roman" w:hAnsi="Times New Roman" w:eastAsia="宋体"/>
                      <w:b w:val="0"/>
                      <w:color w:val="auto"/>
                      <w:sz w:val="21"/>
                    </w:rPr>
                    <w:t>VOC含量（g/</w:t>
                  </w:r>
                  <w:r>
                    <w:rPr>
                      <w:rFonts w:hint="eastAsia" w:ascii="Times New Roman" w:hAnsi="Times New Roman" w:eastAsia="宋体"/>
                      <w:b w:val="0"/>
                      <w:color w:val="auto"/>
                      <w:sz w:val="21"/>
                      <w:lang w:val="en-US" w:eastAsia="zh-CN"/>
                    </w:rPr>
                    <w:t>kg</w:t>
                  </w:r>
                  <w:r>
                    <w:rPr>
                      <w:rFonts w:hint="eastAsia" w:ascii="Times New Roman" w:hAnsi="Times New Roman" w:eastAsia="宋体"/>
                      <w:b w:val="0"/>
                      <w:color w:val="auto"/>
                      <w:sz w:val="21"/>
                    </w:rPr>
                    <w:t>）</w:t>
                  </w:r>
                </w:p>
              </w:tc>
              <w:tc>
                <w:tcPr>
                  <w:tcW w:w="1770" w:type="dxa"/>
                  <w:vMerge w:val="continue"/>
                  <w:noWrap w:val="0"/>
                  <w:vAlign w:val="center"/>
                </w:tcPr>
                <w:p w14:paraId="25117521">
                  <w:pPr>
                    <w:pStyle w:val="30"/>
                    <w:bidi w:val="0"/>
                    <w:rPr>
                      <w:rFonts w:hint="eastAsia" w:ascii="Times New Roman" w:hAnsi="Times New Roman" w:eastAsia="宋体"/>
                      <w:b w:val="0"/>
                      <w:color w:val="auto"/>
                      <w:sz w:val="21"/>
                      <w:lang w:val="en-US" w:eastAsia="zh-CN"/>
                    </w:rPr>
                  </w:pPr>
                </w:p>
              </w:tc>
              <w:tc>
                <w:tcPr>
                  <w:tcW w:w="504" w:type="dxa"/>
                  <w:vMerge w:val="continue"/>
                  <w:noWrap w:val="0"/>
                  <w:vAlign w:val="center"/>
                </w:tcPr>
                <w:p w14:paraId="144D9BF2">
                  <w:pPr>
                    <w:pStyle w:val="30"/>
                    <w:bidi w:val="0"/>
                    <w:rPr>
                      <w:rFonts w:hint="eastAsia" w:ascii="Times New Roman" w:hAnsi="Times New Roman" w:eastAsia="宋体"/>
                      <w:b w:val="0"/>
                      <w:color w:val="auto"/>
                      <w:sz w:val="21"/>
                    </w:rPr>
                  </w:pPr>
                </w:p>
              </w:tc>
            </w:tr>
            <w:tr w14:paraId="46BF02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noWrap w:val="0"/>
                  <w:vAlign w:val="center"/>
                </w:tcPr>
                <w:p w14:paraId="433380C5">
                  <w:pPr>
                    <w:pStyle w:val="30"/>
                    <w:bidi w:val="0"/>
                    <w:rPr>
                      <w:rFonts w:hint="default" w:ascii="Times New Roman" w:hAnsi="Times New Roman" w:eastAsia="宋体"/>
                      <w:b w:val="0"/>
                      <w:color w:val="auto"/>
                      <w:sz w:val="21"/>
                      <w:lang w:val="en-US" w:eastAsia="zh-CN"/>
                    </w:rPr>
                  </w:pPr>
                  <w:r>
                    <w:rPr>
                      <w:rFonts w:hint="eastAsia" w:ascii="Times New Roman" w:hAnsi="Times New Roman" w:eastAsia="宋体"/>
                      <w:b w:val="0"/>
                      <w:color w:val="auto"/>
                      <w:sz w:val="21"/>
                      <w:lang w:val="en-US" w:eastAsia="zh-CN"/>
                    </w:rPr>
                    <w:t>本体型胶黏剂</w:t>
                  </w:r>
                </w:p>
              </w:tc>
              <w:tc>
                <w:tcPr>
                  <w:tcW w:w="892" w:type="dxa"/>
                  <w:noWrap w:val="0"/>
                  <w:vAlign w:val="center"/>
                </w:tcPr>
                <w:p w14:paraId="6992E689">
                  <w:pPr>
                    <w:pStyle w:val="30"/>
                    <w:bidi w:val="0"/>
                    <w:rPr>
                      <w:rFonts w:hint="default" w:ascii="Times New Roman" w:hAnsi="Times New Roman" w:eastAsia="宋体"/>
                      <w:b w:val="0"/>
                      <w:color w:val="auto"/>
                      <w:sz w:val="21"/>
                      <w:lang w:val="en-US" w:eastAsia="zh-CN"/>
                    </w:rPr>
                  </w:pPr>
                  <w:r>
                    <w:rPr>
                      <w:rFonts w:hint="eastAsia" w:ascii="Times New Roman" w:hAnsi="Times New Roman" w:eastAsia="宋体"/>
                      <w:b w:val="0"/>
                      <w:color w:val="auto"/>
                      <w:sz w:val="21"/>
                      <w:lang w:val="en-US" w:eastAsia="zh-CN"/>
                    </w:rPr>
                    <w:t>建筑</w:t>
                  </w:r>
                </w:p>
              </w:tc>
              <w:tc>
                <w:tcPr>
                  <w:tcW w:w="1032" w:type="dxa"/>
                  <w:noWrap w:val="0"/>
                  <w:vAlign w:val="center"/>
                </w:tcPr>
                <w:p w14:paraId="7FDD3E69">
                  <w:pPr>
                    <w:pStyle w:val="30"/>
                    <w:bidi w:val="0"/>
                    <w:rPr>
                      <w:rFonts w:hint="eastAsia" w:ascii="Times New Roman" w:hAnsi="Times New Roman" w:eastAsia="宋体"/>
                      <w:b w:val="0"/>
                      <w:color w:val="auto"/>
                      <w:sz w:val="21"/>
                      <w:lang w:val="en-US" w:eastAsia="zh-CN"/>
                    </w:rPr>
                  </w:pPr>
                  <w:r>
                    <w:rPr>
                      <w:rFonts w:hint="eastAsia" w:ascii="Times New Roman" w:hAnsi="Times New Roman" w:eastAsia="宋体"/>
                      <w:b w:val="0"/>
                      <w:color w:val="auto"/>
                      <w:sz w:val="21"/>
                      <w:lang w:val="en-US" w:eastAsia="zh-CN"/>
                    </w:rPr>
                    <w:t>50（其他）</w:t>
                  </w:r>
                </w:p>
              </w:tc>
              <w:tc>
                <w:tcPr>
                  <w:tcW w:w="675" w:type="dxa"/>
                  <w:noWrap w:val="0"/>
                  <w:vAlign w:val="center"/>
                </w:tcPr>
                <w:p w14:paraId="22413901">
                  <w:pPr>
                    <w:pStyle w:val="30"/>
                    <w:bidi w:val="0"/>
                    <w:rPr>
                      <w:rFonts w:hint="default" w:ascii="Times New Roman" w:hAnsi="Times New Roman" w:eastAsia="宋体"/>
                      <w:b w:val="0"/>
                      <w:color w:val="auto"/>
                      <w:sz w:val="21"/>
                      <w:lang w:val="en-US" w:eastAsia="zh-CN"/>
                    </w:rPr>
                  </w:pPr>
                  <w:r>
                    <w:rPr>
                      <w:rFonts w:hint="eastAsia" w:ascii="Times New Roman" w:hAnsi="Times New Roman" w:eastAsia="宋体"/>
                      <w:b w:val="0"/>
                      <w:color w:val="auto"/>
                      <w:sz w:val="21"/>
                      <w:lang w:val="en-US" w:eastAsia="zh-CN"/>
                    </w:rPr>
                    <w:t>硅酮胶</w:t>
                  </w:r>
                </w:p>
              </w:tc>
              <w:tc>
                <w:tcPr>
                  <w:tcW w:w="450" w:type="dxa"/>
                  <w:noWrap w:val="0"/>
                  <w:vAlign w:val="center"/>
                </w:tcPr>
                <w:p w14:paraId="08ACDA08">
                  <w:pPr>
                    <w:pStyle w:val="30"/>
                    <w:bidi w:val="0"/>
                    <w:rPr>
                      <w:rFonts w:hint="default" w:ascii="Times New Roman" w:hAnsi="Times New Roman" w:eastAsia="宋体"/>
                      <w:b w:val="0"/>
                      <w:color w:val="auto"/>
                      <w:sz w:val="21"/>
                      <w:lang w:val="en-US" w:eastAsia="zh-CN"/>
                    </w:rPr>
                  </w:pPr>
                  <w:r>
                    <w:rPr>
                      <w:rFonts w:hint="eastAsia" w:ascii="Times New Roman" w:hAnsi="Times New Roman" w:eastAsia="宋体"/>
                      <w:b w:val="0"/>
                      <w:color w:val="auto"/>
                      <w:sz w:val="21"/>
                      <w:lang w:val="en-US" w:eastAsia="zh-CN"/>
                    </w:rPr>
                    <w:t>/</w:t>
                  </w:r>
                </w:p>
              </w:tc>
              <w:tc>
                <w:tcPr>
                  <w:tcW w:w="862" w:type="dxa"/>
                  <w:noWrap w:val="0"/>
                  <w:vAlign w:val="center"/>
                </w:tcPr>
                <w:p w14:paraId="72894756">
                  <w:pPr>
                    <w:pStyle w:val="30"/>
                    <w:bidi w:val="0"/>
                    <w:rPr>
                      <w:rFonts w:hint="eastAsia" w:ascii="Times New Roman" w:hAnsi="Times New Roman" w:eastAsia="宋体"/>
                      <w:b w:val="0"/>
                      <w:color w:val="auto"/>
                      <w:sz w:val="21"/>
                      <w:lang w:val="en-US" w:eastAsia="zh-CN"/>
                    </w:rPr>
                  </w:pPr>
                  <w:r>
                    <w:rPr>
                      <w:rFonts w:hint="eastAsia" w:ascii="Times New Roman" w:hAnsi="Times New Roman" w:eastAsia="宋体"/>
                      <w:b w:val="0"/>
                      <w:color w:val="auto"/>
                      <w:sz w:val="21"/>
                      <w:lang w:val="en-US" w:eastAsia="zh-CN"/>
                    </w:rPr>
                    <w:t>/</w:t>
                  </w:r>
                </w:p>
              </w:tc>
              <w:tc>
                <w:tcPr>
                  <w:tcW w:w="1069" w:type="dxa"/>
                  <w:noWrap w:val="0"/>
                  <w:vAlign w:val="center"/>
                </w:tcPr>
                <w:p w14:paraId="245A6BFA">
                  <w:pPr>
                    <w:pStyle w:val="30"/>
                    <w:bidi w:val="0"/>
                    <w:rPr>
                      <w:rFonts w:hint="default" w:ascii="Times New Roman" w:hAnsi="Times New Roman" w:eastAsia="宋体"/>
                      <w:b w:val="0"/>
                      <w:color w:val="auto"/>
                      <w:sz w:val="21"/>
                      <w:lang w:val="en-US" w:eastAsia="zh-CN"/>
                    </w:rPr>
                  </w:pPr>
                  <w:r>
                    <w:rPr>
                      <w:rFonts w:hint="eastAsia" w:ascii="Times New Roman" w:hAnsi="Times New Roman" w:eastAsia="宋体"/>
                      <w:b w:val="0"/>
                      <w:color w:val="auto"/>
                      <w:sz w:val="21"/>
                      <w:lang w:val="en-US" w:eastAsia="zh-CN"/>
                    </w:rPr>
                    <w:t>13.2</w:t>
                  </w:r>
                </w:p>
              </w:tc>
              <w:tc>
                <w:tcPr>
                  <w:tcW w:w="1770" w:type="dxa"/>
                  <w:vMerge w:val="restart"/>
                  <w:noWrap w:val="0"/>
                  <w:vAlign w:val="center"/>
                </w:tcPr>
                <w:p w14:paraId="0CFF926F">
                  <w:pPr>
                    <w:pStyle w:val="30"/>
                    <w:bidi w:val="0"/>
                    <w:rPr>
                      <w:rFonts w:hint="eastAsia" w:ascii="Times New Roman" w:hAnsi="Times New Roman" w:eastAsia="宋体"/>
                      <w:b w:val="0"/>
                      <w:color w:val="auto"/>
                      <w:sz w:val="21"/>
                      <w:lang w:val="en-US" w:eastAsia="zh-CN"/>
                    </w:rPr>
                  </w:pPr>
                  <w:r>
                    <w:rPr>
                      <w:rFonts w:hint="eastAsia" w:ascii="Times New Roman" w:hAnsi="Times New Roman" w:eastAsia="宋体"/>
                      <w:b w:val="0"/>
                      <w:color w:val="auto"/>
                      <w:sz w:val="21"/>
                    </w:rPr>
                    <w:t>《</w:t>
                  </w:r>
                  <w:r>
                    <w:rPr>
                      <w:rFonts w:hint="eastAsia" w:ascii="Times New Roman"/>
                      <w:b w:val="0"/>
                      <w:color w:val="auto"/>
                      <w:sz w:val="21"/>
                      <w:lang w:eastAsia="zh-CN"/>
                    </w:rPr>
                    <w:t>胶黏剂</w:t>
                  </w:r>
                  <w:r>
                    <w:rPr>
                      <w:rFonts w:hint="eastAsia" w:ascii="Times New Roman" w:hAnsi="Times New Roman" w:eastAsia="宋体"/>
                      <w:b w:val="0"/>
                      <w:color w:val="auto"/>
                      <w:sz w:val="21"/>
                    </w:rPr>
                    <w:t>挥发性有机化合物限量》GB33372-2020</w:t>
                  </w:r>
                </w:p>
              </w:tc>
              <w:tc>
                <w:tcPr>
                  <w:tcW w:w="504" w:type="dxa"/>
                  <w:noWrap w:val="0"/>
                  <w:vAlign w:val="center"/>
                </w:tcPr>
                <w:p w14:paraId="3B99B96C">
                  <w:pPr>
                    <w:pStyle w:val="30"/>
                    <w:bidi w:val="0"/>
                    <w:rPr>
                      <w:rFonts w:ascii="Times New Roman" w:hAnsi="Times New Roman" w:eastAsia="宋体"/>
                      <w:b w:val="0"/>
                      <w:color w:val="auto"/>
                      <w:sz w:val="21"/>
                    </w:rPr>
                  </w:pPr>
                  <w:r>
                    <w:rPr>
                      <w:rFonts w:hint="eastAsia" w:ascii="Times New Roman" w:hAnsi="Times New Roman" w:eastAsia="宋体"/>
                      <w:b w:val="0"/>
                      <w:color w:val="auto"/>
                      <w:sz w:val="21"/>
                    </w:rPr>
                    <w:t>符合</w:t>
                  </w:r>
                </w:p>
              </w:tc>
            </w:tr>
            <w:tr w14:paraId="069E77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noWrap w:val="0"/>
                  <w:vAlign w:val="center"/>
                </w:tcPr>
                <w:p w14:paraId="5A91D468">
                  <w:pPr>
                    <w:pStyle w:val="30"/>
                    <w:bidi w:val="0"/>
                    <w:rPr>
                      <w:rFonts w:hint="eastAsia" w:ascii="Times New Roman" w:hAnsi="Times New Roman" w:eastAsia="宋体"/>
                      <w:b w:val="0"/>
                      <w:color w:val="auto"/>
                      <w:sz w:val="21"/>
                      <w:lang w:val="en-US" w:eastAsia="zh-CN"/>
                    </w:rPr>
                  </w:pPr>
                  <w:r>
                    <w:rPr>
                      <w:rFonts w:hint="eastAsia" w:ascii="Times New Roman" w:hAnsi="Times New Roman" w:eastAsia="宋体"/>
                      <w:b w:val="0"/>
                      <w:color w:val="auto"/>
                      <w:sz w:val="21"/>
                      <w:lang w:val="en-US" w:eastAsia="zh-CN"/>
                    </w:rPr>
                    <w:t>本体型胶黏剂</w:t>
                  </w:r>
                </w:p>
              </w:tc>
              <w:tc>
                <w:tcPr>
                  <w:tcW w:w="892" w:type="dxa"/>
                  <w:noWrap w:val="0"/>
                  <w:vAlign w:val="center"/>
                </w:tcPr>
                <w:p w14:paraId="68ACEDE3">
                  <w:pPr>
                    <w:pStyle w:val="30"/>
                    <w:bidi w:val="0"/>
                    <w:ind w:firstLine="0" w:firstLineChars="0"/>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eastAsia="宋体"/>
                      <w:b w:val="0"/>
                      <w:color w:val="auto"/>
                      <w:sz w:val="21"/>
                      <w:lang w:val="en-US" w:eastAsia="zh-CN"/>
                    </w:rPr>
                    <w:t>建筑</w:t>
                  </w:r>
                </w:p>
              </w:tc>
              <w:tc>
                <w:tcPr>
                  <w:tcW w:w="1032" w:type="dxa"/>
                  <w:noWrap w:val="0"/>
                  <w:vAlign w:val="center"/>
                </w:tcPr>
                <w:p w14:paraId="78A8E2EF">
                  <w:pPr>
                    <w:pStyle w:val="30"/>
                    <w:bidi w:val="0"/>
                    <w:ind w:firstLine="0" w:firstLineChars="0"/>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eastAsia="宋体"/>
                      <w:b w:val="0"/>
                      <w:color w:val="auto"/>
                      <w:sz w:val="21"/>
                      <w:lang w:val="en-US" w:eastAsia="zh-CN"/>
                    </w:rPr>
                    <w:t>50（其他）</w:t>
                  </w:r>
                </w:p>
              </w:tc>
              <w:tc>
                <w:tcPr>
                  <w:tcW w:w="675" w:type="dxa"/>
                  <w:noWrap w:val="0"/>
                  <w:vAlign w:val="center"/>
                </w:tcPr>
                <w:p w14:paraId="3B2CE09E">
                  <w:pPr>
                    <w:pStyle w:val="30"/>
                    <w:bidi w:val="0"/>
                    <w:ind w:firstLine="0" w:firstLineChars="0"/>
                    <w:rPr>
                      <w:rFonts w:hint="default" w:ascii="Times New Roman" w:hAnsi="Times New Roman" w:eastAsia="宋体" w:cs="Times New Roman"/>
                      <w:b w:val="0"/>
                      <w:color w:val="auto"/>
                      <w:kern w:val="2"/>
                      <w:sz w:val="21"/>
                      <w:szCs w:val="21"/>
                      <w:lang w:val="en-US" w:eastAsia="zh-CN" w:bidi="ar-SA"/>
                    </w:rPr>
                  </w:pPr>
                  <w:r>
                    <w:rPr>
                      <w:rFonts w:hint="eastAsia" w:ascii="Times New Roman" w:hAnsi="Times New Roman" w:eastAsia="宋体"/>
                      <w:b w:val="0"/>
                      <w:color w:val="auto"/>
                      <w:sz w:val="21"/>
                      <w:lang w:val="en-US" w:eastAsia="zh-CN"/>
                    </w:rPr>
                    <w:t>PVB胶片</w:t>
                  </w:r>
                </w:p>
              </w:tc>
              <w:tc>
                <w:tcPr>
                  <w:tcW w:w="450" w:type="dxa"/>
                  <w:noWrap w:val="0"/>
                  <w:vAlign w:val="center"/>
                </w:tcPr>
                <w:p w14:paraId="59A2D0E7">
                  <w:pPr>
                    <w:pStyle w:val="30"/>
                    <w:bidi w:val="0"/>
                    <w:rPr>
                      <w:rFonts w:hint="default" w:ascii="Times New Roman" w:hAnsi="Times New Roman" w:eastAsia="宋体"/>
                      <w:b w:val="0"/>
                      <w:color w:val="auto"/>
                      <w:sz w:val="21"/>
                      <w:lang w:val="en-US" w:eastAsia="zh-CN"/>
                    </w:rPr>
                  </w:pPr>
                  <w:r>
                    <w:rPr>
                      <w:rFonts w:hint="eastAsia" w:ascii="Times New Roman" w:hAnsi="Times New Roman" w:eastAsia="宋体"/>
                      <w:b w:val="0"/>
                      <w:color w:val="auto"/>
                      <w:sz w:val="21"/>
                      <w:lang w:val="en-US" w:eastAsia="zh-CN"/>
                    </w:rPr>
                    <w:t>/</w:t>
                  </w:r>
                </w:p>
              </w:tc>
              <w:tc>
                <w:tcPr>
                  <w:tcW w:w="862" w:type="dxa"/>
                  <w:noWrap w:val="0"/>
                  <w:vAlign w:val="center"/>
                </w:tcPr>
                <w:p w14:paraId="0521D1AC">
                  <w:pPr>
                    <w:pStyle w:val="30"/>
                    <w:bidi w:val="0"/>
                    <w:rPr>
                      <w:rFonts w:hint="default" w:ascii="Times New Roman" w:hAnsi="Times New Roman" w:eastAsia="宋体"/>
                      <w:b w:val="0"/>
                      <w:color w:val="auto"/>
                      <w:sz w:val="21"/>
                      <w:lang w:val="en-US" w:eastAsia="zh-CN"/>
                    </w:rPr>
                  </w:pPr>
                  <w:r>
                    <w:rPr>
                      <w:rFonts w:hint="eastAsia" w:ascii="Times New Roman" w:hAnsi="Times New Roman" w:eastAsia="宋体"/>
                      <w:b w:val="0"/>
                      <w:color w:val="auto"/>
                      <w:sz w:val="21"/>
                      <w:lang w:val="en-US" w:eastAsia="zh-CN"/>
                    </w:rPr>
                    <w:t>/</w:t>
                  </w:r>
                </w:p>
              </w:tc>
              <w:tc>
                <w:tcPr>
                  <w:tcW w:w="1069" w:type="dxa"/>
                  <w:noWrap w:val="0"/>
                  <w:vAlign w:val="center"/>
                </w:tcPr>
                <w:p w14:paraId="50011681">
                  <w:pPr>
                    <w:pStyle w:val="30"/>
                    <w:bidi w:val="0"/>
                    <w:rPr>
                      <w:rFonts w:hint="default" w:ascii="Times New Roman" w:hAnsi="Times New Roman" w:eastAsia="宋体"/>
                      <w:b w:val="0"/>
                      <w:color w:val="auto"/>
                      <w:sz w:val="21"/>
                      <w:lang w:val="en-US" w:eastAsia="zh-CN"/>
                    </w:rPr>
                  </w:pPr>
                  <w:r>
                    <w:rPr>
                      <w:rFonts w:hint="eastAsia" w:ascii="Times New Roman" w:hAnsi="Times New Roman" w:eastAsia="宋体"/>
                      <w:b w:val="0"/>
                      <w:color w:val="auto"/>
                      <w:sz w:val="21"/>
                      <w:lang w:val="en-US" w:eastAsia="zh-CN"/>
                    </w:rPr>
                    <w:t>3.8</w:t>
                  </w:r>
                </w:p>
              </w:tc>
              <w:tc>
                <w:tcPr>
                  <w:tcW w:w="1770" w:type="dxa"/>
                  <w:vMerge w:val="continue"/>
                  <w:noWrap w:val="0"/>
                  <w:vAlign w:val="center"/>
                </w:tcPr>
                <w:p w14:paraId="0C4B79BC">
                  <w:pPr>
                    <w:pStyle w:val="30"/>
                    <w:bidi w:val="0"/>
                    <w:rPr>
                      <w:rFonts w:hint="eastAsia" w:ascii="Times New Roman" w:hAnsi="Times New Roman" w:eastAsia="宋体"/>
                      <w:b w:val="0"/>
                      <w:color w:val="auto"/>
                      <w:sz w:val="21"/>
                    </w:rPr>
                  </w:pPr>
                </w:p>
              </w:tc>
              <w:tc>
                <w:tcPr>
                  <w:tcW w:w="504" w:type="dxa"/>
                  <w:noWrap w:val="0"/>
                  <w:vAlign w:val="center"/>
                </w:tcPr>
                <w:p w14:paraId="03596CCC">
                  <w:pPr>
                    <w:pStyle w:val="30"/>
                    <w:bidi w:val="0"/>
                    <w:rPr>
                      <w:rFonts w:hint="eastAsia" w:ascii="Times New Roman" w:hAnsi="Times New Roman" w:eastAsia="宋体"/>
                      <w:b w:val="0"/>
                      <w:color w:val="auto"/>
                      <w:sz w:val="21"/>
                      <w:lang w:val="en-US" w:eastAsia="zh-CN"/>
                    </w:rPr>
                  </w:pPr>
                  <w:r>
                    <w:rPr>
                      <w:rFonts w:hint="eastAsia" w:ascii="Times New Roman" w:hAnsi="Times New Roman" w:eastAsia="宋体"/>
                      <w:b w:val="0"/>
                      <w:color w:val="auto"/>
                      <w:sz w:val="21"/>
                      <w:lang w:val="en-US" w:eastAsia="zh-CN"/>
                    </w:rPr>
                    <w:t>符合</w:t>
                  </w:r>
                </w:p>
              </w:tc>
            </w:tr>
          </w:tbl>
          <w:p w14:paraId="56EE80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根</w:t>
            </w:r>
            <w:r>
              <w:rPr>
                <w:rFonts w:hint="eastAsia"/>
                <w:color w:val="auto"/>
                <w:sz w:val="24"/>
                <w:szCs w:val="24"/>
                <w:lang w:val="en-US" w:eastAsia="zh-CN"/>
              </w:rPr>
              <w:t>据硅酮胶检测报告，项目所使用硅酮胶VOC含量为13.2g/kg，小于50g/kg的限值，依据项目使用的用途及类别，项目硅酮胶适用于《胶黏剂挥发性有机化合物限量》（GB 33372-2020）表3“本体型胶黏剂”中“建筑行业”中“其他”，故限量值选取“≤50g/kg”），项目所使用硅酮胶</w:t>
            </w:r>
            <w:r>
              <w:rPr>
                <w:rFonts w:hint="eastAsia"/>
                <w:color w:val="auto"/>
                <w:sz w:val="24"/>
                <w:lang w:val="en-US" w:eastAsia="zh-CN"/>
              </w:rPr>
              <w:t>VOC含量为13.2g/kg，小于50g/kg的限值，综上可知，本项目使用的硅酮胶符合《胶黏剂挥发性有机化合物限量》（GB33372-2020）中的相关限值要求。</w:t>
            </w:r>
          </w:p>
          <w:p w14:paraId="5D6263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lang w:val="en-US" w:eastAsia="zh-CN"/>
              </w:rPr>
            </w:pPr>
            <w:r>
              <w:rPr>
                <w:rFonts w:hint="eastAsia"/>
                <w:color w:val="auto"/>
                <w:sz w:val="24"/>
                <w:lang w:val="en-US" w:eastAsia="zh-CN"/>
              </w:rPr>
              <w:t>根据PVB胶片检测报告，其挥发物质量分数平均值为0.38%，即</w:t>
            </w:r>
            <w:r>
              <w:rPr>
                <w:rFonts w:hint="eastAsia"/>
                <w:color w:val="auto"/>
                <w:sz w:val="24"/>
              </w:rPr>
              <w:t>VOC</w:t>
            </w:r>
            <w:r>
              <w:rPr>
                <w:rFonts w:hint="eastAsia"/>
                <w:color w:val="auto"/>
                <w:sz w:val="24"/>
                <w:lang w:val="en-US" w:eastAsia="zh-CN"/>
              </w:rPr>
              <w:t>s含</w:t>
            </w:r>
            <w:r>
              <w:rPr>
                <w:rFonts w:hint="eastAsia"/>
                <w:color w:val="auto"/>
                <w:sz w:val="24"/>
              </w:rPr>
              <w:t>值</w:t>
            </w:r>
            <w:r>
              <w:rPr>
                <w:rFonts w:hint="eastAsia"/>
                <w:color w:val="auto"/>
                <w:sz w:val="24"/>
                <w:lang w:val="en-US" w:eastAsia="zh-CN"/>
              </w:rPr>
              <w:t>为3.8</w:t>
            </w:r>
            <w:r>
              <w:rPr>
                <w:rFonts w:hint="eastAsia"/>
                <w:color w:val="auto"/>
                <w:sz w:val="24"/>
              </w:rPr>
              <w:t>g/</w:t>
            </w:r>
            <w:r>
              <w:rPr>
                <w:rFonts w:hint="eastAsia"/>
                <w:color w:val="auto"/>
                <w:sz w:val="24"/>
                <w:lang w:val="en-US" w:eastAsia="zh-CN"/>
              </w:rPr>
              <w:t>kg。依据项目使用的用途及类别，项目PVB胶片适用于《胶黏剂挥发性有机化合物限量》（GB 33372-2020）表3“本体型胶黏剂”中“建筑行业”中“其他”，故限量值选取“≤50g/kg”），项目所使用PVB胶片VOC含量为3.8g/kg，小于50g/kg的限值，综上可知，本项目使用的PVB胶片符合《胶黏剂挥发性有机化合物限量》（GB33372-2020）中的相关限值要求。</w:t>
            </w:r>
          </w:p>
          <w:p w14:paraId="52FC7A9A">
            <w:pPr>
              <w:pStyle w:val="6"/>
              <w:keepNext w:val="0"/>
              <w:keepLines w:val="0"/>
              <w:pageBreakBefore w:val="0"/>
              <w:widowControl w:val="0"/>
              <w:kinsoku/>
              <w:wordWrap/>
              <w:overflowPunct/>
              <w:topLinePunct w:val="0"/>
              <w:bidi w:val="0"/>
              <w:spacing w:after="0" w:line="360" w:lineRule="auto"/>
              <w:ind w:left="0" w:leftChars="0" w:firstLine="480" w:firstLineChars="200"/>
              <w:textAlignment w:val="auto"/>
              <w:rPr>
                <w:rFonts w:hint="eastAsia"/>
                <w:color w:val="auto"/>
              </w:rPr>
            </w:pPr>
            <w:r>
              <w:rPr>
                <w:rFonts w:hint="eastAsia"/>
                <w:color w:val="auto"/>
              </w:rPr>
              <w:t>14、水平衡分析</w:t>
            </w:r>
          </w:p>
          <w:p w14:paraId="65A1A2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auto"/>
                <w:sz w:val="24"/>
                <w:lang w:val="en-US" w:eastAsia="zh-CN"/>
              </w:rPr>
            </w:pPr>
            <w:r>
              <w:rPr>
                <w:rFonts w:hint="eastAsia"/>
                <w:color w:val="auto"/>
                <w:sz w:val="24"/>
                <w:lang w:val="en-US" w:eastAsia="zh-CN"/>
              </w:rPr>
              <w:t>迁</w:t>
            </w:r>
            <w:r>
              <w:rPr>
                <w:rFonts w:hint="eastAsia" w:ascii="Times New Roman" w:hAnsi="Times New Roman" w:eastAsia="宋体"/>
                <w:color w:val="auto"/>
                <w:sz w:val="24"/>
              </w:rPr>
              <w:t>建项目</w:t>
            </w:r>
            <w:r>
              <w:rPr>
                <w:rFonts w:hint="eastAsia" w:ascii="Times New Roman" w:hAnsi="Times New Roman" w:eastAsia="宋体"/>
                <w:color w:val="auto"/>
                <w:sz w:val="24"/>
                <w:lang w:val="en-US" w:eastAsia="zh-CN"/>
              </w:rPr>
              <w:t>无新增定员，因此无新增生活用水，</w:t>
            </w:r>
            <w:r>
              <w:rPr>
                <w:rFonts w:hint="eastAsia" w:cs="Times New Roman"/>
                <w:color w:val="auto"/>
                <w:kern w:val="0"/>
                <w:sz w:val="24"/>
                <w:szCs w:val="20"/>
                <w:lang w:val="en-US" w:eastAsia="zh-CN"/>
              </w:rPr>
              <w:t>原有</w:t>
            </w:r>
            <w:r>
              <w:rPr>
                <w:rFonts w:hint="eastAsia" w:ascii="Times New Roman" w:hAnsi="Times New Roman" w:eastAsia="宋体" w:cs="Times New Roman"/>
                <w:color w:val="auto"/>
                <w:kern w:val="0"/>
                <w:sz w:val="24"/>
                <w:szCs w:val="20"/>
                <w:lang w:val="en-US" w:eastAsia="zh-CN"/>
              </w:rPr>
              <w:t>项目已进行了自主验收</w:t>
            </w:r>
            <w:r>
              <w:rPr>
                <w:rFonts w:hint="eastAsia" w:ascii="Times New Roman" w:hAnsi="Times New Roman" w:eastAsia="宋体"/>
                <w:color w:val="auto"/>
                <w:sz w:val="24"/>
                <w:lang w:val="en-US" w:eastAsia="zh-CN"/>
              </w:rPr>
              <w:t>，</w:t>
            </w:r>
            <w:r>
              <w:rPr>
                <w:rFonts w:hint="eastAsia"/>
                <w:color w:val="auto"/>
                <w:sz w:val="24"/>
                <w:lang w:val="en-US" w:eastAsia="zh-CN"/>
              </w:rPr>
              <w:t>迁</w:t>
            </w:r>
            <w:r>
              <w:rPr>
                <w:rFonts w:hint="eastAsia" w:ascii="Times New Roman" w:hAnsi="Times New Roman" w:eastAsia="宋体"/>
                <w:color w:val="auto"/>
                <w:sz w:val="24"/>
                <w:lang w:val="en-US" w:eastAsia="zh-CN"/>
              </w:rPr>
              <w:t>建项目新增用水主要为磨边用水、钻孔用水、清洗用水。</w:t>
            </w:r>
          </w:p>
          <w:p w14:paraId="0B0353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auto"/>
                <w:sz w:val="24"/>
              </w:rPr>
            </w:pPr>
            <w:r>
              <w:rPr>
                <w:rFonts w:hint="default" w:ascii="Times New Roman" w:hAnsi="Times New Roman" w:eastAsia="宋体"/>
                <w:color w:val="auto"/>
                <w:sz w:val="24"/>
                <w:lang w:val="en-US" w:eastAsia="zh-CN"/>
              </w:rPr>
              <w:t>①</w:t>
            </w:r>
            <w:r>
              <w:rPr>
                <w:rFonts w:hint="eastAsia" w:ascii="Times New Roman" w:hAnsi="Times New Roman" w:eastAsia="宋体"/>
                <w:color w:val="auto"/>
                <w:sz w:val="24"/>
                <w:lang w:val="en-US" w:eastAsia="zh-CN"/>
              </w:rPr>
              <w:t>磨边</w:t>
            </w:r>
            <w:r>
              <w:rPr>
                <w:rFonts w:hint="default" w:ascii="Times New Roman" w:hAnsi="Times New Roman" w:eastAsia="宋体"/>
                <w:color w:val="auto"/>
                <w:sz w:val="24"/>
                <w:lang w:val="en-US" w:eastAsia="zh-CN"/>
              </w:rPr>
              <w:t>用水</w:t>
            </w:r>
          </w:p>
          <w:p w14:paraId="3DC38C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玻璃磨边时为了避免粉尘的产生，采用带水打磨，磨边废水依托现有沉淀池处理后回用，仅补充损耗量，故项目磨边过程中无废水外排。根据</w:t>
            </w:r>
            <w:r>
              <w:rPr>
                <w:rFonts w:hint="eastAsia"/>
                <w:color w:val="auto"/>
                <w:sz w:val="24"/>
                <w:lang w:val="en-US" w:eastAsia="zh-CN"/>
              </w:rPr>
              <w:t>原</w:t>
            </w:r>
            <w:r>
              <w:rPr>
                <w:rFonts w:hint="eastAsia" w:ascii="Times New Roman" w:hAnsi="Times New Roman" w:eastAsia="宋体"/>
                <w:color w:val="auto"/>
                <w:sz w:val="24"/>
                <w:lang w:val="en-US" w:eastAsia="zh-CN"/>
              </w:rPr>
              <w:t>项目情况，迁建项目日补充水量约为0.</w:t>
            </w:r>
            <w:r>
              <w:rPr>
                <w:rFonts w:hint="eastAsia"/>
                <w:color w:val="auto"/>
                <w:sz w:val="24"/>
                <w:lang w:val="en-US" w:eastAsia="zh-CN"/>
              </w:rPr>
              <w:t>2</w:t>
            </w:r>
            <w:r>
              <w:rPr>
                <w:rFonts w:hint="eastAsia" w:ascii="Times New Roman" w:hAnsi="Times New Roman" w:eastAsia="宋体"/>
                <w:color w:val="auto"/>
                <w:sz w:val="24"/>
                <w:lang w:val="en-US" w:eastAsia="zh-CN"/>
              </w:rPr>
              <w:t>m</w:t>
            </w:r>
            <w:r>
              <w:rPr>
                <w:rFonts w:hint="eastAsia" w:ascii="Times New Roman" w:hAnsi="Times New Roman" w:eastAsia="宋体"/>
                <w:color w:val="auto"/>
                <w:sz w:val="24"/>
                <w:vertAlign w:val="superscript"/>
                <w:lang w:val="en-US" w:eastAsia="zh-CN"/>
              </w:rPr>
              <w:t>3</w:t>
            </w:r>
            <w:r>
              <w:rPr>
                <w:rFonts w:hint="eastAsia" w:ascii="Times New Roman" w:hAnsi="Times New Roman" w:eastAsia="宋体"/>
                <w:color w:val="auto"/>
                <w:sz w:val="24"/>
                <w:lang w:val="en-US" w:eastAsia="zh-CN"/>
              </w:rPr>
              <w:t>/d，全年按300天计，则磨边年补充水量为</w:t>
            </w:r>
            <w:r>
              <w:rPr>
                <w:rFonts w:hint="eastAsia"/>
                <w:color w:val="auto"/>
                <w:sz w:val="24"/>
                <w:lang w:val="en-US" w:eastAsia="zh-CN"/>
              </w:rPr>
              <w:t>60</w:t>
            </w:r>
            <w:r>
              <w:rPr>
                <w:rFonts w:hint="eastAsia" w:ascii="Times New Roman" w:hAnsi="Times New Roman" w:eastAsia="宋体"/>
                <w:color w:val="auto"/>
                <w:sz w:val="24"/>
                <w:lang w:val="en-US" w:eastAsia="zh-CN"/>
              </w:rPr>
              <w:t>m</w:t>
            </w:r>
            <w:r>
              <w:rPr>
                <w:rFonts w:hint="eastAsia" w:ascii="Times New Roman" w:hAnsi="Times New Roman" w:eastAsia="宋体"/>
                <w:color w:val="auto"/>
                <w:sz w:val="24"/>
                <w:vertAlign w:val="superscript"/>
                <w:lang w:val="en-US" w:eastAsia="zh-CN"/>
              </w:rPr>
              <w:t>3</w:t>
            </w:r>
            <w:r>
              <w:rPr>
                <w:rFonts w:hint="eastAsia" w:ascii="Times New Roman" w:hAnsi="Times New Roman" w:eastAsia="宋体"/>
                <w:color w:val="auto"/>
                <w:sz w:val="24"/>
                <w:lang w:val="en-US" w:eastAsia="zh-CN"/>
              </w:rPr>
              <w:t>/a。</w:t>
            </w:r>
          </w:p>
          <w:p w14:paraId="66B709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auto"/>
                <w:sz w:val="24"/>
                <w:lang w:val="en-US" w:eastAsia="zh-CN"/>
              </w:rPr>
            </w:pPr>
            <w:r>
              <w:rPr>
                <w:rFonts w:hint="default" w:ascii="Times New Roman" w:hAnsi="Times New Roman" w:eastAsia="宋体"/>
                <w:color w:val="auto"/>
                <w:sz w:val="24"/>
                <w:lang w:val="en-US" w:eastAsia="zh-CN"/>
              </w:rPr>
              <w:t>②钻孔用水</w:t>
            </w:r>
          </w:p>
          <w:p w14:paraId="45D05A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auto"/>
                <w:sz w:val="24"/>
                <w:lang w:val="en-US" w:eastAsia="zh-CN"/>
              </w:rPr>
            </w:pPr>
            <w:r>
              <w:rPr>
                <w:rFonts w:hint="default" w:ascii="Times New Roman" w:hAnsi="Times New Roman" w:eastAsia="宋体"/>
                <w:color w:val="auto"/>
                <w:sz w:val="24"/>
                <w:lang w:val="en-US" w:eastAsia="zh-CN"/>
              </w:rPr>
              <w:t>在给玻璃钻孔时会发烫，所以采用湿式钻孔处理，在钻孔时，水从中空的钻头内流出，在有效抑尘的同时，对钻头进行冷却。</w:t>
            </w:r>
            <w:r>
              <w:rPr>
                <w:rFonts w:hint="eastAsia" w:ascii="Times New Roman" w:hAnsi="Times New Roman" w:eastAsia="宋体"/>
                <w:color w:val="auto"/>
                <w:sz w:val="24"/>
                <w:lang w:val="en-US" w:eastAsia="zh-CN"/>
              </w:rPr>
              <w:t>钻孔</w:t>
            </w:r>
            <w:r>
              <w:rPr>
                <w:rFonts w:hint="default" w:ascii="Times New Roman" w:hAnsi="Times New Roman" w:eastAsia="宋体"/>
                <w:color w:val="auto"/>
                <w:sz w:val="24"/>
                <w:lang w:val="en-US" w:eastAsia="zh-CN"/>
              </w:rPr>
              <w:t>废水</w:t>
            </w:r>
            <w:r>
              <w:rPr>
                <w:rFonts w:hint="eastAsia" w:ascii="Times New Roman" w:hAnsi="Times New Roman" w:eastAsia="宋体"/>
                <w:color w:val="auto"/>
                <w:sz w:val="24"/>
                <w:lang w:val="en-US" w:eastAsia="zh-CN"/>
              </w:rPr>
              <w:t>依托现有</w:t>
            </w:r>
            <w:r>
              <w:rPr>
                <w:rFonts w:hint="default" w:ascii="Times New Roman" w:hAnsi="Times New Roman" w:eastAsia="宋体"/>
                <w:color w:val="auto"/>
                <w:sz w:val="24"/>
                <w:lang w:val="en-US" w:eastAsia="zh-CN"/>
              </w:rPr>
              <w:t>沉淀池</w:t>
            </w:r>
            <w:r>
              <w:rPr>
                <w:rFonts w:hint="eastAsia" w:ascii="Times New Roman" w:hAnsi="Times New Roman" w:eastAsia="宋体"/>
                <w:color w:val="auto"/>
                <w:sz w:val="24"/>
                <w:lang w:val="en-US" w:eastAsia="zh-CN"/>
              </w:rPr>
              <w:t>处理</w:t>
            </w:r>
            <w:r>
              <w:rPr>
                <w:rFonts w:hint="default" w:ascii="Times New Roman" w:hAnsi="Times New Roman" w:eastAsia="宋体"/>
                <w:color w:val="auto"/>
                <w:sz w:val="24"/>
                <w:lang w:val="en-US" w:eastAsia="zh-CN"/>
              </w:rPr>
              <w:t>后循环使用，</w:t>
            </w:r>
            <w:r>
              <w:rPr>
                <w:rFonts w:hint="eastAsia" w:ascii="Times New Roman" w:hAnsi="Times New Roman" w:eastAsia="宋体"/>
                <w:color w:val="auto"/>
                <w:sz w:val="24"/>
                <w:lang w:val="en-US" w:eastAsia="zh-CN"/>
              </w:rPr>
              <w:t>仅补充损耗量，</w:t>
            </w:r>
            <w:r>
              <w:rPr>
                <w:rFonts w:hint="default" w:ascii="Times New Roman" w:hAnsi="Times New Roman" w:eastAsia="宋体"/>
                <w:color w:val="auto"/>
                <w:sz w:val="24"/>
                <w:lang w:val="en-US" w:eastAsia="zh-CN"/>
              </w:rPr>
              <w:t>故项目钻孔过程中无废水外排。</w:t>
            </w:r>
            <w:r>
              <w:rPr>
                <w:rFonts w:hint="eastAsia" w:ascii="Times New Roman" w:hAnsi="Times New Roman" w:eastAsia="宋体"/>
                <w:color w:val="auto"/>
                <w:sz w:val="24"/>
                <w:lang w:val="en-US" w:eastAsia="zh-CN"/>
              </w:rPr>
              <w:t>根据</w:t>
            </w:r>
            <w:r>
              <w:rPr>
                <w:rFonts w:hint="eastAsia"/>
                <w:color w:val="auto"/>
                <w:sz w:val="24"/>
                <w:lang w:val="en-US" w:eastAsia="zh-CN"/>
              </w:rPr>
              <w:t>原有</w:t>
            </w:r>
            <w:r>
              <w:rPr>
                <w:rFonts w:hint="eastAsia" w:ascii="Times New Roman" w:hAnsi="Times New Roman" w:eastAsia="宋体"/>
                <w:color w:val="auto"/>
                <w:sz w:val="24"/>
                <w:lang w:val="en-US" w:eastAsia="zh-CN"/>
              </w:rPr>
              <w:t>项目情况，迁建项目钻孔过程日补充水</w:t>
            </w:r>
            <w:r>
              <w:rPr>
                <w:rFonts w:hint="default" w:ascii="Times New Roman" w:hAnsi="Times New Roman" w:eastAsia="宋体"/>
                <w:color w:val="auto"/>
                <w:sz w:val="24"/>
                <w:lang w:val="en-US" w:eastAsia="zh-CN"/>
              </w:rPr>
              <w:t>量</w:t>
            </w:r>
            <w:r>
              <w:rPr>
                <w:rFonts w:hint="eastAsia" w:ascii="Times New Roman" w:hAnsi="Times New Roman" w:eastAsia="宋体"/>
                <w:color w:val="auto"/>
                <w:sz w:val="24"/>
                <w:lang w:val="en-US" w:eastAsia="zh-CN"/>
              </w:rPr>
              <w:t>约</w:t>
            </w:r>
            <w:r>
              <w:rPr>
                <w:rFonts w:hint="default" w:ascii="Times New Roman" w:hAnsi="Times New Roman" w:eastAsia="宋体"/>
                <w:color w:val="auto"/>
                <w:sz w:val="24"/>
                <w:lang w:val="en-US" w:eastAsia="zh-CN"/>
              </w:rPr>
              <w:t>为0.</w:t>
            </w:r>
            <w:r>
              <w:rPr>
                <w:rFonts w:hint="eastAsia"/>
                <w:color w:val="auto"/>
                <w:sz w:val="24"/>
                <w:lang w:val="en-US" w:eastAsia="zh-CN"/>
              </w:rPr>
              <w:t>107</w:t>
            </w:r>
            <w:r>
              <w:rPr>
                <w:rFonts w:hint="eastAsia" w:ascii="Times New Roman" w:hAnsi="Times New Roman" w:eastAsia="宋体"/>
                <w:color w:val="auto"/>
                <w:sz w:val="24"/>
                <w:lang w:val="en-US" w:eastAsia="zh-CN"/>
              </w:rPr>
              <w:t>m</w:t>
            </w:r>
            <w:r>
              <w:rPr>
                <w:rFonts w:hint="eastAsia" w:ascii="Times New Roman" w:hAnsi="Times New Roman" w:eastAsia="宋体"/>
                <w:color w:val="auto"/>
                <w:sz w:val="24"/>
                <w:vertAlign w:val="superscript"/>
                <w:lang w:val="en-US" w:eastAsia="zh-CN"/>
              </w:rPr>
              <w:t>3</w:t>
            </w:r>
            <w:r>
              <w:rPr>
                <w:rFonts w:hint="default" w:ascii="Times New Roman" w:hAnsi="Times New Roman" w:eastAsia="宋体"/>
                <w:color w:val="auto"/>
                <w:sz w:val="24"/>
                <w:lang w:val="en-US" w:eastAsia="zh-CN"/>
              </w:rPr>
              <w:t>/d，全年按300天计，则</w:t>
            </w:r>
            <w:r>
              <w:rPr>
                <w:rFonts w:hint="eastAsia" w:ascii="Times New Roman" w:hAnsi="Times New Roman" w:eastAsia="宋体"/>
                <w:color w:val="auto"/>
                <w:sz w:val="24"/>
                <w:lang w:val="en-US" w:eastAsia="zh-CN"/>
              </w:rPr>
              <w:t>钻孔补充</w:t>
            </w:r>
            <w:r>
              <w:rPr>
                <w:rFonts w:hint="default" w:ascii="Times New Roman" w:hAnsi="Times New Roman" w:eastAsia="宋体"/>
                <w:color w:val="auto"/>
                <w:sz w:val="24"/>
                <w:lang w:val="en-US" w:eastAsia="zh-CN"/>
              </w:rPr>
              <w:t>水</w:t>
            </w:r>
            <w:r>
              <w:rPr>
                <w:rFonts w:hint="eastAsia" w:ascii="Times New Roman" w:hAnsi="Times New Roman" w:eastAsia="宋体"/>
                <w:color w:val="auto"/>
                <w:sz w:val="24"/>
                <w:lang w:val="en-US" w:eastAsia="zh-CN"/>
              </w:rPr>
              <w:t>量为</w:t>
            </w:r>
            <w:r>
              <w:rPr>
                <w:rFonts w:hint="eastAsia"/>
                <w:color w:val="auto"/>
                <w:sz w:val="24"/>
                <w:lang w:val="en-US" w:eastAsia="zh-CN"/>
              </w:rPr>
              <w:t>32.1</w:t>
            </w:r>
            <w:r>
              <w:rPr>
                <w:rFonts w:hint="eastAsia" w:ascii="Times New Roman" w:hAnsi="Times New Roman" w:eastAsia="宋体"/>
                <w:color w:val="auto"/>
                <w:sz w:val="24"/>
                <w:lang w:val="en-US" w:eastAsia="zh-CN"/>
              </w:rPr>
              <w:t>m</w:t>
            </w:r>
            <w:r>
              <w:rPr>
                <w:rFonts w:hint="eastAsia" w:ascii="Times New Roman" w:hAnsi="Times New Roman" w:eastAsia="宋体"/>
                <w:color w:val="auto"/>
                <w:sz w:val="24"/>
                <w:vertAlign w:val="superscript"/>
                <w:lang w:val="en-US" w:eastAsia="zh-CN"/>
              </w:rPr>
              <w:t>3</w:t>
            </w:r>
            <w:r>
              <w:rPr>
                <w:rFonts w:hint="default" w:ascii="Times New Roman" w:hAnsi="Times New Roman" w:eastAsia="宋体"/>
                <w:color w:val="auto"/>
                <w:sz w:val="24"/>
                <w:lang w:val="en-US" w:eastAsia="zh-CN"/>
              </w:rPr>
              <w:t>/a。</w:t>
            </w:r>
          </w:p>
          <w:p w14:paraId="1B22EB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olor w:val="auto"/>
                <w:sz w:val="24"/>
              </w:rPr>
            </w:pPr>
            <w:r>
              <w:rPr>
                <w:rFonts w:hint="default" w:ascii="Times New Roman" w:hAnsi="Times New Roman" w:eastAsia="宋体"/>
                <w:color w:val="auto"/>
                <w:sz w:val="24"/>
                <w:lang w:val="en-US" w:eastAsia="zh-CN"/>
              </w:rPr>
              <w:t>③清洗用水</w:t>
            </w:r>
          </w:p>
          <w:p w14:paraId="31831C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lang w:eastAsia="zh-CN"/>
              </w:rPr>
            </w:pPr>
            <w:r>
              <w:rPr>
                <w:rFonts w:hint="eastAsia" w:ascii="Times New Roman" w:hAnsi="Times New Roman" w:eastAsia="宋体"/>
                <w:color w:val="auto"/>
                <w:sz w:val="24"/>
                <w:lang w:val="en-US" w:eastAsia="zh-CN"/>
              </w:rPr>
              <w:t>项目生产过程中需要对</w:t>
            </w:r>
            <w:r>
              <w:rPr>
                <w:rFonts w:hint="default" w:ascii="Times New Roman" w:hAnsi="Times New Roman" w:eastAsia="宋体"/>
                <w:color w:val="auto"/>
                <w:sz w:val="24"/>
                <w:lang w:val="en-US" w:eastAsia="zh-CN"/>
              </w:rPr>
              <w:t>玻璃使用自来水（不含其他清洗剂）进行表面清洁，清洗废水</w:t>
            </w:r>
            <w:r>
              <w:rPr>
                <w:rFonts w:hint="eastAsia" w:ascii="Times New Roman" w:hAnsi="Times New Roman" w:eastAsia="宋体"/>
                <w:color w:val="auto"/>
                <w:sz w:val="24"/>
                <w:lang w:val="en-US" w:eastAsia="zh-CN"/>
              </w:rPr>
              <w:t>依托</w:t>
            </w:r>
            <w:r>
              <w:rPr>
                <w:rFonts w:hint="eastAsia"/>
                <w:color w:val="auto"/>
                <w:sz w:val="24"/>
                <w:lang w:val="en-US" w:eastAsia="zh-CN"/>
              </w:rPr>
              <w:t>清洗机自带水箱</w:t>
            </w:r>
            <w:r>
              <w:rPr>
                <w:rFonts w:hint="eastAsia" w:ascii="Times New Roman" w:hAnsi="Times New Roman" w:eastAsia="宋体"/>
                <w:color w:val="auto"/>
                <w:sz w:val="24"/>
                <w:lang w:val="en-US" w:eastAsia="zh-CN"/>
              </w:rPr>
              <w:t>处理后回用</w:t>
            </w:r>
            <w:r>
              <w:rPr>
                <w:rFonts w:hint="default" w:ascii="Times New Roman" w:hAnsi="Times New Roman" w:eastAsia="宋体"/>
                <w:color w:val="auto"/>
                <w:sz w:val="24"/>
                <w:lang w:val="en-US" w:eastAsia="zh-CN"/>
              </w:rPr>
              <w:t>，</w:t>
            </w:r>
            <w:r>
              <w:rPr>
                <w:rFonts w:hint="eastAsia" w:ascii="Times New Roman" w:hAnsi="Times New Roman" w:eastAsia="宋体"/>
                <w:color w:val="auto"/>
                <w:sz w:val="24"/>
                <w:lang w:val="en-US" w:eastAsia="zh-CN"/>
              </w:rPr>
              <w:t>仅补充损耗量，</w:t>
            </w:r>
            <w:r>
              <w:rPr>
                <w:rFonts w:hint="default" w:ascii="Times New Roman" w:hAnsi="Times New Roman" w:eastAsia="宋体"/>
                <w:color w:val="auto"/>
                <w:sz w:val="24"/>
                <w:lang w:val="en-US" w:eastAsia="zh-CN"/>
              </w:rPr>
              <w:t>故项目</w:t>
            </w:r>
            <w:r>
              <w:rPr>
                <w:rFonts w:hint="eastAsia" w:ascii="Times New Roman" w:hAnsi="Times New Roman" w:eastAsia="宋体"/>
                <w:color w:val="auto"/>
                <w:sz w:val="24"/>
                <w:lang w:val="en-US" w:eastAsia="zh-CN"/>
              </w:rPr>
              <w:t>清洗</w:t>
            </w:r>
            <w:r>
              <w:rPr>
                <w:rFonts w:hint="default" w:ascii="Times New Roman" w:hAnsi="Times New Roman" w:eastAsia="宋体"/>
                <w:color w:val="auto"/>
                <w:sz w:val="24"/>
                <w:lang w:val="en-US" w:eastAsia="zh-CN"/>
              </w:rPr>
              <w:t>过程中无废水外排。</w:t>
            </w:r>
            <w:r>
              <w:rPr>
                <w:rFonts w:hint="eastAsia" w:ascii="Times New Roman" w:hAnsi="Times New Roman" w:eastAsia="宋体"/>
                <w:color w:val="auto"/>
                <w:sz w:val="24"/>
                <w:lang w:val="en-US" w:eastAsia="zh-CN"/>
              </w:rPr>
              <w:t>根据</w:t>
            </w:r>
            <w:r>
              <w:rPr>
                <w:rFonts w:hint="eastAsia"/>
                <w:color w:val="auto"/>
                <w:sz w:val="24"/>
                <w:lang w:val="en-US" w:eastAsia="zh-CN"/>
              </w:rPr>
              <w:t>原有</w:t>
            </w:r>
            <w:r>
              <w:rPr>
                <w:rFonts w:hint="eastAsia" w:ascii="Times New Roman" w:hAnsi="Times New Roman" w:eastAsia="宋体"/>
                <w:color w:val="auto"/>
                <w:sz w:val="24"/>
                <w:lang w:val="en-US" w:eastAsia="zh-CN"/>
              </w:rPr>
              <w:t>项目情况</w:t>
            </w:r>
            <w:r>
              <w:rPr>
                <w:rFonts w:hint="default" w:ascii="Times New Roman" w:hAnsi="Times New Roman" w:eastAsia="宋体"/>
                <w:color w:val="auto"/>
                <w:sz w:val="24"/>
                <w:lang w:val="en-US" w:eastAsia="zh-CN"/>
              </w:rPr>
              <w:t>，</w:t>
            </w:r>
            <w:r>
              <w:rPr>
                <w:rFonts w:hint="eastAsia" w:ascii="Times New Roman" w:hAnsi="Times New Roman" w:eastAsia="宋体"/>
                <w:color w:val="auto"/>
                <w:sz w:val="24"/>
                <w:lang w:val="en-US" w:eastAsia="zh-CN"/>
              </w:rPr>
              <w:t>补充水</w:t>
            </w:r>
            <w:r>
              <w:rPr>
                <w:rFonts w:hint="default" w:ascii="Times New Roman" w:hAnsi="Times New Roman" w:eastAsia="宋体"/>
                <w:color w:val="auto"/>
                <w:sz w:val="24"/>
                <w:lang w:val="en-US" w:eastAsia="zh-CN"/>
              </w:rPr>
              <w:t>量</w:t>
            </w:r>
            <w:r>
              <w:rPr>
                <w:rFonts w:hint="eastAsia" w:ascii="Times New Roman" w:hAnsi="Times New Roman" w:eastAsia="宋体"/>
                <w:color w:val="auto"/>
                <w:sz w:val="24"/>
                <w:lang w:val="en-US" w:eastAsia="zh-CN"/>
              </w:rPr>
              <w:t>约为0.</w:t>
            </w:r>
            <w:r>
              <w:rPr>
                <w:rFonts w:hint="eastAsia"/>
                <w:color w:val="auto"/>
                <w:sz w:val="24"/>
                <w:lang w:val="en-US" w:eastAsia="zh-CN"/>
              </w:rPr>
              <w:t>307</w:t>
            </w:r>
            <w:r>
              <w:rPr>
                <w:rFonts w:hint="eastAsia" w:ascii="Times New Roman" w:hAnsi="Times New Roman" w:eastAsia="宋体"/>
                <w:color w:val="auto"/>
                <w:sz w:val="24"/>
                <w:lang w:val="en-US" w:eastAsia="zh-CN"/>
              </w:rPr>
              <w:t>m</w:t>
            </w:r>
            <w:r>
              <w:rPr>
                <w:rFonts w:hint="eastAsia" w:ascii="Times New Roman" w:hAnsi="Times New Roman" w:eastAsia="宋体"/>
                <w:color w:val="auto"/>
                <w:sz w:val="24"/>
                <w:vertAlign w:val="superscript"/>
                <w:lang w:val="en-US" w:eastAsia="zh-CN"/>
              </w:rPr>
              <w:t>3</w:t>
            </w:r>
            <w:r>
              <w:rPr>
                <w:rFonts w:hint="default" w:ascii="Times New Roman" w:hAnsi="Times New Roman" w:eastAsia="宋体"/>
                <w:color w:val="auto"/>
                <w:sz w:val="24"/>
                <w:lang w:val="en-US" w:eastAsia="zh-CN"/>
              </w:rPr>
              <w:t>/d，全年按300</w:t>
            </w:r>
            <w:r>
              <w:rPr>
                <w:rFonts w:hint="eastAsia"/>
                <w:color w:val="auto"/>
                <w:sz w:val="24"/>
                <w:lang w:val="en-US" w:eastAsia="zh-CN"/>
              </w:rPr>
              <w:t>天</w:t>
            </w:r>
            <w:r>
              <w:rPr>
                <w:rFonts w:hint="default" w:ascii="Times New Roman" w:hAnsi="Times New Roman" w:eastAsia="宋体"/>
                <w:color w:val="auto"/>
                <w:sz w:val="24"/>
                <w:lang w:val="en-US" w:eastAsia="zh-CN"/>
              </w:rPr>
              <w:t>计，则</w:t>
            </w:r>
            <w:r>
              <w:rPr>
                <w:rFonts w:hint="eastAsia" w:ascii="Times New Roman" w:hAnsi="Times New Roman" w:eastAsia="宋体"/>
                <w:color w:val="auto"/>
                <w:sz w:val="24"/>
                <w:lang w:val="en-US" w:eastAsia="zh-CN"/>
              </w:rPr>
              <w:t>清洗</w:t>
            </w:r>
            <w:r>
              <w:rPr>
                <w:rFonts w:hint="default" w:ascii="Times New Roman" w:hAnsi="Times New Roman" w:eastAsia="宋体"/>
                <w:color w:val="auto"/>
                <w:sz w:val="24"/>
                <w:lang w:val="en-US" w:eastAsia="zh-CN"/>
              </w:rPr>
              <w:t>用水</w:t>
            </w:r>
            <w:r>
              <w:rPr>
                <w:rFonts w:hint="eastAsia" w:ascii="Times New Roman" w:hAnsi="Times New Roman" w:eastAsia="宋体"/>
                <w:color w:val="auto"/>
                <w:sz w:val="24"/>
                <w:lang w:val="en-US" w:eastAsia="zh-CN"/>
              </w:rPr>
              <w:t>量为</w:t>
            </w:r>
            <w:r>
              <w:rPr>
                <w:rFonts w:hint="eastAsia"/>
                <w:color w:val="auto"/>
                <w:sz w:val="24"/>
                <w:lang w:val="en-US" w:eastAsia="zh-CN"/>
              </w:rPr>
              <w:t>92.1</w:t>
            </w:r>
            <w:r>
              <w:rPr>
                <w:rFonts w:hint="eastAsia" w:ascii="Times New Roman" w:hAnsi="Times New Roman" w:eastAsia="宋体"/>
                <w:color w:val="auto"/>
                <w:sz w:val="24"/>
                <w:lang w:val="en-US" w:eastAsia="zh-CN"/>
              </w:rPr>
              <w:t>m</w:t>
            </w:r>
            <w:r>
              <w:rPr>
                <w:rFonts w:hint="eastAsia" w:ascii="Times New Roman" w:hAnsi="Times New Roman" w:eastAsia="宋体"/>
                <w:color w:val="auto"/>
                <w:sz w:val="24"/>
                <w:vertAlign w:val="superscript"/>
                <w:lang w:val="en-US" w:eastAsia="zh-CN"/>
              </w:rPr>
              <w:t>3</w:t>
            </w:r>
            <w:r>
              <w:rPr>
                <w:rFonts w:hint="default" w:ascii="Times New Roman" w:hAnsi="Times New Roman" w:eastAsia="宋体"/>
                <w:color w:val="auto"/>
                <w:sz w:val="24"/>
                <w:lang w:val="en-US" w:eastAsia="zh-CN"/>
              </w:rPr>
              <w:t>/a</w:t>
            </w:r>
            <w:r>
              <w:rPr>
                <w:rFonts w:hint="eastAsia" w:ascii="Times New Roman" w:hAnsi="Times New Roman" w:eastAsia="宋体"/>
                <w:color w:val="auto"/>
                <w:sz w:val="24"/>
                <w:lang w:val="en-US" w:eastAsia="zh-CN"/>
              </w:rPr>
              <w:t>。</w:t>
            </w:r>
          </w:p>
          <w:p w14:paraId="0111F726">
            <w:pPr>
              <w:pStyle w:val="13"/>
              <w:widowControl w:val="0"/>
              <w:numPr>
                <w:ilvl w:val="0"/>
                <w:numId w:val="0"/>
              </w:numPr>
              <w:jc w:val="both"/>
              <w:rPr>
                <w:rFonts w:hint="default" w:ascii="Times New Roman" w:hAnsi="Times New Roman" w:cs="Times New Roman"/>
                <w:b/>
                <w:bCs w:val="0"/>
                <w:color w:val="auto"/>
                <w:sz w:val="24"/>
                <w:szCs w:val="24"/>
                <w:lang w:val="en-US" w:eastAsia="zh-CN"/>
              </w:rPr>
            </w:pPr>
            <w:r>
              <w:rPr>
                <w:rFonts w:hint="default" w:ascii="Times New Roman" w:hAnsi="Times New Roman" w:cs="Times New Roman"/>
                <w:b/>
                <w:bCs w:val="0"/>
                <w:color w:val="auto"/>
                <w:sz w:val="24"/>
                <w:szCs w:val="24"/>
                <w:lang w:val="en-US" w:eastAsia="zh-CN"/>
              </w:rPr>
              <w:object>
                <v:shape id="_x0000_i1025" o:spt="75" type="#_x0000_t75" style="height:262.15pt;width:396.95pt;" o:ole="t" filled="f" o:preferrelative="t" stroked="f" coordsize="21600,21600">
                  <v:path/>
                  <v:fill on="f" focussize="0,0"/>
                  <v:stroke on="f"/>
                  <v:imagedata r:id="rId8" o:title=""/>
                  <o:lock v:ext="edit" aspectratio="f"/>
                  <w10:wrap type="none"/>
                  <w10:anchorlock/>
                </v:shape>
                <o:OLEObject Type="Embed" ProgID="Visio.Drawing.15" ShapeID="_x0000_i1025" DrawAspect="Content" ObjectID="_1468075725" r:id="rId7">
                  <o:LockedField>false</o:LockedField>
                </o:OLEObject>
              </w:object>
            </w:r>
          </w:p>
          <w:p w14:paraId="0EF17381">
            <w:pPr>
              <w:adjustRightInd w:val="0"/>
              <w:snapToGrid w:val="0"/>
              <w:jc w:val="center"/>
              <w:rPr>
                <w:color w:val="auto"/>
              </w:rPr>
            </w:pPr>
            <w:r>
              <w:rPr>
                <w:rFonts w:hint="default" w:ascii="Times New Roman" w:hAnsi="Times New Roman" w:cs="Times New Roman"/>
                <w:b/>
                <w:bCs w:val="0"/>
                <w:color w:val="auto"/>
                <w:sz w:val="24"/>
                <w:szCs w:val="24"/>
                <w:lang w:val="en-US" w:eastAsia="zh-CN"/>
              </w:rPr>
              <w:t>图2-1</w:t>
            </w:r>
            <w:r>
              <w:rPr>
                <w:rFonts w:hint="eastAsia" w:cs="Times New Roman"/>
                <w:b/>
                <w:bCs w:val="0"/>
                <w:color w:val="auto"/>
                <w:sz w:val="24"/>
                <w:szCs w:val="24"/>
                <w:lang w:val="en-US" w:eastAsia="zh-CN"/>
              </w:rPr>
              <w:t xml:space="preserve">  </w:t>
            </w:r>
            <w:r>
              <w:rPr>
                <w:rFonts w:hint="default" w:ascii="Times New Roman" w:hAnsi="Times New Roman" w:cs="Times New Roman"/>
                <w:b/>
                <w:bCs w:val="0"/>
                <w:color w:val="auto"/>
                <w:sz w:val="24"/>
                <w:szCs w:val="24"/>
                <w:lang w:val="en-US" w:eastAsia="zh-CN"/>
              </w:rPr>
              <w:t>项目水平衡单位：</w:t>
            </w:r>
            <w:r>
              <w:rPr>
                <w:rFonts w:hint="eastAsia" w:cs="Times New Roman"/>
                <w:b/>
                <w:bCs w:val="0"/>
                <w:color w:val="auto"/>
                <w:sz w:val="24"/>
                <w:szCs w:val="24"/>
                <w:lang w:val="en-US" w:eastAsia="zh-CN"/>
              </w:rPr>
              <w:t>m</w:t>
            </w:r>
            <w:r>
              <w:rPr>
                <w:rFonts w:hint="eastAsia" w:cs="Times New Roman"/>
                <w:b/>
                <w:bCs w:val="0"/>
                <w:color w:val="auto"/>
                <w:sz w:val="24"/>
                <w:szCs w:val="24"/>
                <w:vertAlign w:val="superscript"/>
                <w:lang w:val="en-US" w:eastAsia="zh-CN"/>
              </w:rPr>
              <w:t>3</w:t>
            </w:r>
            <w:r>
              <w:rPr>
                <w:rFonts w:hint="default" w:ascii="Times New Roman" w:hAnsi="Times New Roman" w:cs="Times New Roman"/>
                <w:b/>
                <w:bCs w:val="0"/>
                <w:color w:val="auto"/>
                <w:sz w:val="24"/>
                <w:szCs w:val="24"/>
                <w:lang w:val="en-US" w:eastAsia="zh-CN"/>
              </w:rPr>
              <w:t>/a</w:t>
            </w:r>
          </w:p>
          <w:p w14:paraId="7BEE89CE">
            <w:pPr>
              <w:adjustRightInd w:val="0"/>
              <w:snapToGrid w:val="0"/>
              <w:jc w:val="both"/>
              <w:rPr>
                <w:color w:val="auto"/>
              </w:rPr>
            </w:pPr>
          </w:p>
          <w:p w14:paraId="1F184DD9">
            <w:pPr>
              <w:pStyle w:val="8"/>
              <w:rPr>
                <w:color w:val="auto"/>
              </w:rPr>
            </w:pPr>
          </w:p>
          <w:p w14:paraId="28D6836F">
            <w:pPr>
              <w:rPr>
                <w:color w:val="auto"/>
              </w:rPr>
            </w:pPr>
          </w:p>
          <w:p w14:paraId="71F2C46D">
            <w:pPr>
              <w:pStyle w:val="8"/>
              <w:rPr>
                <w:color w:val="auto"/>
              </w:rPr>
            </w:pPr>
          </w:p>
          <w:p w14:paraId="163943E6">
            <w:pPr>
              <w:rPr>
                <w:color w:val="auto"/>
              </w:rPr>
            </w:pPr>
          </w:p>
          <w:p w14:paraId="42E238C0">
            <w:pPr>
              <w:pStyle w:val="8"/>
              <w:rPr>
                <w:color w:val="auto"/>
              </w:rPr>
            </w:pPr>
          </w:p>
          <w:p w14:paraId="06BE1F57">
            <w:pPr>
              <w:rPr>
                <w:color w:val="auto"/>
              </w:rPr>
            </w:pPr>
          </w:p>
          <w:p w14:paraId="2F828ABA">
            <w:pPr>
              <w:pStyle w:val="8"/>
              <w:rPr>
                <w:color w:val="auto"/>
              </w:rPr>
            </w:pPr>
          </w:p>
          <w:p w14:paraId="7FA9B8C9">
            <w:pPr>
              <w:rPr>
                <w:color w:val="auto"/>
              </w:rPr>
            </w:pPr>
          </w:p>
          <w:p w14:paraId="76996C1F">
            <w:pPr>
              <w:pStyle w:val="8"/>
              <w:rPr>
                <w:color w:val="auto"/>
              </w:rPr>
            </w:pPr>
          </w:p>
          <w:p w14:paraId="1EF9AA66">
            <w:pPr>
              <w:pStyle w:val="8"/>
              <w:ind w:left="0" w:leftChars="0" w:firstLine="0" w:firstLineChars="0"/>
              <w:rPr>
                <w:color w:val="auto"/>
              </w:rPr>
            </w:pPr>
          </w:p>
          <w:p w14:paraId="7B041C5A">
            <w:pPr>
              <w:rPr>
                <w:color w:val="auto"/>
              </w:rPr>
            </w:pPr>
          </w:p>
          <w:p w14:paraId="5195F3DC">
            <w:pPr>
              <w:pStyle w:val="2"/>
              <w:rPr>
                <w:color w:val="auto"/>
              </w:rPr>
            </w:pPr>
          </w:p>
          <w:p w14:paraId="0B8EAC4C">
            <w:pPr>
              <w:pStyle w:val="6"/>
              <w:rPr>
                <w:color w:val="auto"/>
              </w:rPr>
            </w:pPr>
          </w:p>
          <w:p w14:paraId="39B32C84">
            <w:pPr>
              <w:pStyle w:val="2"/>
              <w:rPr>
                <w:color w:val="auto"/>
              </w:rPr>
            </w:pPr>
          </w:p>
          <w:p w14:paraId="407D0F99">
            <w:pPr>
              <w:pStyle w:val="6"/>
              <w:rPr>
                <w:color w:val="auto"/>
              </w:rPr>
            </w:pPr>
          </w:p>
          <w:p w14:paraId="62EF0E8E">
            <w:pPr>
              <w:pStyle w:val="2"/>
              <w:rPr>
                <w:color w:val="auto"/>
              </w:rPr>
            </w:pPr>
          </w:p>
          <w:p w14:paraId="1847FBC5">
            <w:pPr>
              <w:pStyle w:val="6"/>
            </w:pPr>
          </w:p>
        </w:tc>
      </w:tr>
      <w:tr w14:paraId="7A8BF4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3" w:hRule="atLeast"/>
          <w:jc w:val="center"/>
        </w:trPr>
        <w:tc>
          <w:tcPr>
            <w:tcW w:w="823" w:type="dxa"/>
            <w:noWrap w:val="0"/>
            <w:vAlign w:val="center"/>
          </w:tcPr>
          <w:p w14:paraId="7C73E15B">
            <w:pPr>
              <w:pStyle w:val="20"/>
              <w:adjustRightInd w:val="0"/>
              <w:snapToGrid w:val="0"/>
              <w:spacing w:before="0" w:beforeAutospacing="0" w:after="0" w:afterAutospacing="0"/>
              <w:jc w:val="center"/>
              <w:rPr>
                <w:rFonts w:hint="eastAsia" w:cs="宋体"/>
                <w:color w:val="auto"/>
                <w:sz w:val="21"/>
                <w:szCs w:val="21"/>
              </w:rPr>
            </w:pPr>
          </w:p>
          <w:p w14:paraId="396C4D2B">
            <w:pPr>
              <w:pStyle w:val="20"/>
              <w:adjustRightInd w:val="0"/>
              <w:snapToGrid w:val="0"/>
              <w:spacing w:before="0" w:beforeAutospacing="0" w:after="0" w:afterAutospacing="0"/>
              <w:jc w:val="center"/>
              <w:rPr>
                <w:rFonts w:hint="eastAsia" w:cs="宋体"/>
                <w:color w:val="auto"/>
                <w:sz w:val="21"/>
                <w:szCs w:val="21"/>
              </w:rPr>
            </w:pPr>
          </w:p>
          <w:p w14:paraId="6B577EC5">
            <w:pPr>
              <w:pStyle w:val="20"/>
              <w:adjustRightInd w:val="0"/>
              <w:snapToGrid w:val="0"/>
              <w:spacing w:before="0" w:beforeAutospacing="0" w:after="0" w:afterAutospacing="0"/>
              <w:jc w:val="center"/>
              <w:rPr>
                <w:rFonts w:hint="eastAsia" w:cs="宋体"/>
                <w:color w:val="auto"/>
                <w:sz w:val="21"/>
                <w:szCs w:val="21"/>
              </w:rPr>
            </w:pPr>
          </w:p>
          <w:p w14:paraId="42436D6E">
            <w:pPr>
              <w:pStyle w:val="20"/>
              <w:adjustRightInd w:val="0"/>
              <w:snapToGrid w:val="0"/>
              <w:spacing w:before="0" w:beforeAutospacing="0" w:after="0" w:afterAutospacing="0"/>
              <w:jc w:val="center"/>
              <w:rPr>
                <w:rFonts w:hint="eastAsia" w:cs="宋体"/>
                <w:color w:val="auto"/>
                <w:sz w:val="21"/>
                <w:szCs w:val="21"/>
              </w:rPr>
            </w:pPr>
          </w:p>
          <w:p w14:paraId="017CC932">
            <w:pPr>
              <w:pStyle w:val="20"/>
              <w:adjustRightInd w:val="0"/>
              <w:snapToGrid w:val="0"/>
              <w:spacing w:before="0" w:beforeAutospacing="0" w:after="0" w:afterAutospacing="0"/>
              <w:jc w:val="center"/>
              <w:rPr>
                <w:rFonts w:hint="eastAsia" w:cs="宋体"/>
                <w:color w:val="auto"/>
                <w:sz w:val="21"/>
                <w:szCs w:val="21"/>
              </w:rPr>
            </w:pPr>
          </w:p>
          <w:p w14:paraId="544B57EC">
            <w:pPr>
              <w:pStyle w:val="20"/>
              <w:adjustRightInd w:val="0"/>
              <w:snapToGrid w:val="0"/>
              <w:spacing w:before="0" w:beforeAutospacing="0" w:after="0" w:afterAutospacing="0"/>
              <w:jc w:val="center"/>
              <w:rPr>
                <w:rFonts w:hint="eastAsia" w:cs="宋体"/>
                <w:color w:val="auto"/>
                <w:sz w:val="21"/>
                <w:szCs w:val="21"/>
              </w:rPr>
            </w:pPr>
          </w:p>
          <w:p w14:paraId="55DE9B5B">
            <w:pPr>
              <w:pStyle w:val="20"/>
              <w:adjustRightInd w:val="0"/>
              <w:snapToGrid w:val="0"/>
              <w:spacing w:before="0" w:beforeAutospacing="0" w:after="0" w:afterAutospacing="0"/>
              <w:jc w:val="center"/>
              <w:rPr>
                <w:rFonts w:hint="eastAsia" w:cs="宋体"/>
                <w:color w:val="auto"/>
                <w:sz w:val="21"/>
                <w:szCs w:val="21"/>
              </w:rPr>
            </w:pPr>
          </w:p>
          <w:p w14:paraId="61B96E5F">
            <w:pPr>
              <w:pStyle w:val="20"/>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工艺流程和产排污环节</w:t>
            </w:r>
          </w:p>
        </w:tc>
        <w:tc>
          <w:tcPr>
            <w:tcW w:w="8161" w:type="dxa"/>
            <w:noWrap w:val="0"/>
            <w:vAlign w:val="top"/>
          </w:tcPr>
          <w:p w14:paraId="4D68DD4B">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b/>
                <w:bCs/>
                <w:color w:val="auto"/>
              </w:rPr>
            </w:pPr>
            <w:r>
              <w:rPr>
                <w:rFonts w:hint="eastAsia"/>
                <w:b/>
                <w:bCs/>
                <w:color w:val="auto"/>
              </w:rPr>
              <w:t>三、生产工艺流程</w:t>
            </w:r>
            <w:r>
              <w:rPr>
                <w:rFonts w:hint="eastAsia"/>
                <w:b/>
                <w:bCs/>
                <w:color w:val="auto"/>
                <w:lang w:eastAsia="zh-CN"/>
              </w:rPr>
              <w:t>及生</w:t>
            </w:r>
            <w:r>
              <w:rPr>
                <w:rFonts w:hint="eastAsia"/>
                <w:b/>
                <w:bCs/>
                <w:color w:val="auto"/>
              </w:rPr>
              <w:t>产排污环节</w:t>
            </w:r>
          </w:p>
          <w:p w14:paraId="363C3902">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ascii="Times New Roman" w:hAnsi="Times New Roman" w:cs="Times New Roman"/>
                <w:color w:val="auto"/>
                <w:sz w:val="24"/>
                <w:szCs w:val="24"/>
                <w:lang w:val="en-US" w:eastAsia="zh-CN"/>
              </w:rPr>
              <w:pict>
                <v:shape id="_x0000_s2610" o:spid="_x0000_s2610" o:spt="75" type="#_x0000_t75" style="position:absolute;left:0pt;margin-left:3.2pt;margin-top:31.2pt;height:282.65pt;width:396.85pt;mso-wrap-distance-bottom:0pt;mso-wrap-distance-top:0pt;z-index:251661312;mso-width-relative:page;mso-height-relative:page;" o:ole="t" filled="f" o:preferrelative="t" stroked="f" coordsize="21600,21600">
                  <v:path/>
                  <v:fill on="f" focussize="0,0"/>
                  <v:stroke on="f"/>
                  <v:imagedata r:id="rId10" o:title=""/>
                  <o:lock v:ext="edit" aspectratio="f"/>
                  <w10:wrap type="topAndBottom"/>
                </v:shape>
                <o:OLEObject Type="Embed" ProgID="Visio.Drawing.15" ShapeID="_x0000_s2610" DrawAspect="Content" ObjectID="_1468075726" r:id="rId9">
                  <o:LockedField>false</o:LockedField>
                </o:OLEObject>
              </w:pict>
            </w:r>
            <w:r>
              <w:rPr>
                <w:rFonts w:hint="eastAsia" w:cs="宋体"/>
                <w:bCs/>
                <w:color w:val="auto"/>
                <w:kern w:val="2"/>
                <w:szCs w:val="24"/>
              </w:rPr>
              <w:t>1、</w:t>
            </w:r>
            <w:r>
              <w:rPr>
                <w:rFonts w:hint="eastAsia"/>
                <w:color w:val="auto"/>
              </w:rPr>
              <w:t>本项目</w:t>
            </w:r>
            <w:r>
              <w:rPr>
                <w:rFonts w:hint="eastAsia"/>
                <w:color w:val="auto"/>
                <w:lang w:val="en-US" w:eastAsia="zh-CN"/>
              </w:rPr>
              <w:t>钢化玻璃</w:t>
            </w:r>
            <w:r>
              <w:rPr>
                <w:rFonts w:hint="eastAsia"/>
                <w:color w:val="auto"/>
              </w:rPr>
              <w:t>生产工艺流程见</w:t>
            </w:r>
            <w:r>
              <w:rPr>
                <w:rFonts w:hint="eastAsia"/>
                <w:color w:val="auto"/>
                <w:lang w:val="en-US" w:eastAsia="zh-CN"/>
              </w:rPr>
              <w:t>下图</w:t>
            </w:r>
            <w:r>
              <w:rPr>
                <w:rFonts w:hint="eastAsia" w:cs="Times New Roman"/>
                <w:color w:val="auto"/>
                <w:lang w:val="en-US" w:eastAsia="zh-CN"/>
              </w:rPr>
              <w:t>：</w:t>
            </w:r>
          </w:p>
          <w:p w14:paraId="243B87A0">
            <w:pPr>
              <w:pStyle w:val="2"/>
              <w:ind w:left="0" w:leftChars="0" w:firstLine="0" w:firstLineChars="0"/>
              <w:jc w:val="center"/>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图2-2  钢化玻璃工</w:t>
            </w:r>
            <w:r>
              <w:rPr>
                <w:rFonts w:hint="default" w:ascii="Times New Roman" w:hAnsi="Times New Roman" w:cs="Times New Roman"/>
                <w:color w:val="auto"/>
                <w:sz w:val="24"/>
                <w:szCs w:val="24"/>
              </w:rPr>
              <w:t>艺流程图</w:t>
            </w:r>
          </w:p>
          <w:p w14:paraId="30F1F360">
            <w:pPr>
              <w:pStyle w:val="6"/>
              <w:keepNext w:val="0"/>
              <w:keepLines w:val="0"/>
              <w:pageBreakBefore w:val="0"/>
              <w:kinsoku/>
              <w:wordWrap/>
              <w:overflowPunct/>
              <w:topLinePunct w:val="0"/>
              <w:bidi w:val="0"/>
              <w:snapToGrid/>
              <w:spacing w:after="0" w:line="360" w:lineRule="auto"/>
              <w:ind w:left="0" w:leftChars="0" w:firstLine="480"/>
              <w:textAlignment w:val="auto"/>
              <w:rPr>
                <w:rFonts w:hint="eastAsia" w:cs="宋体"/>
                <w:bCs/>
                <w:color w:val="auto"/>
                <w:kern w:val="2"/>
                <w:szCs w:val="24"/>
              </w:rPr>
            </w:pPr>
            <w:r>
              <w:rPr>
                <w:rFonts w:hint="eastAsia" w:cs="宋体"/>
                <w:bCs/>
                <w:color w:val="auto"/>
                <w:kern w:val="2"/>
                <w:szCs w:val="24"/>
              </w:rPr>
              <w:t>生产工艺流程简述：</w:t>
            </w:r>
          </w:p>
          <w:p w14:paraId="3C3393EF">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宋体"/>
                <w:b w:val="0"/>
                <w:bCs w:val="0"/>
                <w:color w:val="auto"/>
                <w:kern w:val="2"/>
                <w:sz w:val="24"/>
                <w:szCs w:val="24"/>
                <w:lang w:val="en-US" w:eastAsia="zh-CN"/>
              </w:rPr>
            </w:pPr>
            <w:r>
              <w:rPr>
                <w:rFonts w:hint="eastAsia" w:ascii="Times New Roman" w:hAnsi="Times New Roman" w:cs="宋体"/>
                <w:b w:val="0"/>
                <w:bCs w:val="0"/>
                <w:color w:val="auto"/>
                <w:kern w:val="2"/>
                <w:sz w:val="24"/>
                <w:szCs w:val="24"/>
                <w:lang w:val="en-US" w:eastAsia="zh-CN"/>
              </w:rPr>
              <w:t>切割：将玻璃原片通过切片机切割成客户所需的产品规格。玻璃是一种典型的脆性材料，玻璃切割并不是通常意义上的直接切割，而是制造划痕，造成应力集中然后裂片。该过程不产生粉尘，主要污染物为噪声</w:t>
            </w:r>
            <w:r>
              <w:rPr>
                <w:rFonts w:hint="eastAsia" w:cs="宋体"/>
                <w:b w:val="0"/>
                <w:bCs w:val="0"/>
                <w:color w:val="auto"/>
                <w:kern w:val="2"/>
                <w:sz w:val="24"/>
                <w:szCs w:val="24"/>
                <w:lang w:val="en-US" w:eastAsia="zh-CN"/>
              </w:rPr>
              <w:t>N</w:t>
            </w:r>
            <w:r>
              <w:rPr>
                <w:rFonts w:hint="eastAsia" w:ascii="Times New Roman" w:hAnsi="Times New Roman" w:cs="宋体"/>
                <w:b w:val="0"/>
                <w:bCs w:val="0"/>
                <w:color w:val="auto"/>
                <w:kern w:val="2"/>
                <w:sz w:val="24"/>
                <w:szCs w:val="24"/>
                <w:lang w:val="en-US" w:eastAsia="zh-CN"/>
              </w:rPr>
              <w:t>及少量玻璃边角料S</w:t>
            </w:r>
            <w:r>
              <w:rPr>
                <w:rFonts w:hint="eastAsia" w:ascii="Times New Roman" w:hAnsi="Times New Roman" w:cs="宋体"/>
                <w:b w:val="0"/>
                <w:bCs w:val="0"/>
                <w:color w:val="auto"/>
                <w:kern w:val="2"/>
                <w:sz w:val="24"/>
                <w:szCs w:val="24"/>
                <w:vertAlign w:val="subscript"/>
                <w:lang w:val="en-US" w:eastAsia="zh-CN"/>
              </w:rPr>
              <w:t>1</w:t>
            </w:r>
            <w:r>
              <w:rPr>
                <w:rFonts w:hint="eastAsia" w:cs="宋体"/>
                <w:b w:val="0"/>
                <w:bCs w:val="0"/>
                <w:color w:val="auto"/>
                <w:kern w:val="2"/>
                <w:sz w:val="24"/>
                <w:szCs w:val="24"/>
                <w:vertAlign w:val="subscript"/>
                <w:lang w:val="en-US" w:eastAsia="zh-CN"/>
              </w:rPr>
              <w:t>-1</w:t>
            </w:r>
            <w:r>
              <w:rPr>
                <w:rFonts w:hint="eastAsia" w:ascii="Times New Roman" w:hAnsi="Times New Roman" w:cs="宋体"/>
                <w:b w:val="0"/>
                <w:bCs w:val="0"/>
                <w:color w:val="auto"/>
                <w:kern w:val="2"/>
                <w:sz w:val="24"/>
                <w:szCs w:val="24"/>
                <w:lang w:val="en-US" w:eastAsia="zh-CN"/>
              </w:rPr>
              <w:t>。</w:t>
            </w:r>
          </w:p>
          <w:p w14:paraId="4C440BAB">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宋体"/>
                <w:b w:val="0"/>
                <w:bCs w:val="0"/>
                <w:color w:val="auto"/>
                <w:kern w:val="2"/>
                <w:sz w:val="24"/>
                <w:szCs w:val="24"/>
                <w:lang w:val="en-US" w:eastAsia="zh-CN"/>
              </w:rPr>
            </w:pPr>
            <w:r>
              <w:rPr>
                <w:rFonts w:hint="eastAsia" w:ascii="Times New Roman" w:hAnsi="Times New Roman" w:cs="宋体"/>
                <w:b w:val="0"/>
                <w:bCs w:val="0"/>
                <w:color w:val="auto"/>
                <w:kern w:val="2"/>
                <w:sz w:val="24"/>
                <w:szCs w:val="24"/>
                <w:lang w:val="en-US" w:eastAsia="zh-CN"/>
              </w:rPr>
              <w:t>磨边：将切割好的玻璃在磨边机上将锋利的边角打磨平滑，为了避免粉尘的产生，项目磨边采用水磨法进行，即在磨边机磨边的同时，在砂轮与玻璃接触部位冲水，废水进入沉淀池静置沉淀后，上层清水循环使用。该过程主要污染物为噪声</w:t>
            </w:r>
            <w:r>
              <w:rPr>
                <w:rFonts w:hint="eastAsia" w:cs="宋体"/>
                <w:b w:val="0"/>
                <w:bCs w:val="0"/>
                <w:color w:val="auto"/>
                <w:kern w:val="2"/>
                <w:sz w:val="24"/>
                <w:szCs w:val="24"/>
                <w:lang w:val="en-US" w:eastAsia="zh-CN"/>
              </w:rPr>
              <w:t>N</w:t>
            </w:r>
            <w:r>
              <w:rPr>
                <w:rFonts w:hint="eastAsia" w:ascii="Times New Roman" w:hAnsi="Times New Roman" w:cs="宋体"/>
                <w:b w:val="0"/>
                <w:bCs w:val="0"/>
                <w:color w:val="auto"/>
                <w:kern w:val="2"/>
                <w:sz w:val="24"/>
                <w:szCs w:val="24"/>
                <w:lang w:val="en-US" w:eastAsia="zh-CN"/>
              </w:rPr>
              <w:t>、磨边废水</w:t>
            </w:r>
            <w:r>
              <w:rPr>
                <w:rFonts w:hint="eastAsia" w:cs="宋体"/>
                <w:b w:val="0"/>
                <w:bCs w:val="0"/>
                <w:color w:val="auto"/>
                <w:kern w:val="2"/>
                <w:sz w:val="24"/>
                <w:szCs w:val="24"/>
                <w:lang w:val="en-US" w:eastAsia="zh-CN"/>
              </w:rPr>
              <w:t>W</w:t>
            </w:r>
            <w:r>
              <w:rPr>
                <w:rFonts w:hint="eastAsia" w:cs="宋体"/>
                <w:b w:val="0"/>
                <w:bCs w:val="0"/>
                <w:color w:val="auto"/>
                <w:kern w:val="2"/>
                <w:sz w:val="24"/>
                <w:szCs w:val="24"/>
                <w:vertAlign w:val="subscript"/>
                <w:lang w:val="en-US" w:eastAsia="zh-CN"/>
              </w:rPr>
              <w:t>1-1</w:t>
            </w:r>
            <w:r>
              <w:rPr>
                <w:rFonts w:hint="eastAsia" w:ascii="Times New Roman" w:hAnsi="Times New Roman" w:cs="宋体"/>
                <w:b w:val="0"/>
                <w:bCs w:val="0"/>
                <w:color w:val="auto"/>
                <w:kern w:val="2"/>
                <w:sz w:val="24"/>
                <w:szCs w:val="24"/>
                <w:lang w:val="en-US" w:eastAsia="zh-CN"/>
              </w:rPr>
              <w:t>。</w:t>
            </w:r>
          </w:p>
          <w:p w14:paraId="6BB640F6">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宋体"/>
                <w:b w:val="0"/>
                <w:bCs w:val="0"/>
                <w:color w:val="auto"/>
                <w:kern w:val="2"/>
                <w:sz w:val="24"/>
                <w:szCs w:val="24"/>
                <w:lang w:val="en-US" w:eastAsia="zh-CN"/>
              </w:rPr>
            </w:pPr>
            <w:r>
              <w:rPr>
                <w:rFonts w:hint="eastAsia" w:ascii="Times New Roman" w:hAnsi="Times New Roman" w:cs="宋体"/>
                <w:b w:val="0"/>
                <w:bCs w:val="0"/>
                <w:color w:val="auto"/>
                <w:kern w:val="2"/>
                <w:sz w:val="24"/>
                <w:szCs w:val="24"/>
                <w:lang w:val="en-US" w:eastAsia="zh-CN"/>
              </w:rPr>
              <w:t>开缺、打孔：根据客户对产品的要求，少部分玻璃磨边后需要进行打孔或是开缺。该过程主要污染物为噪声</w:t>
            </w:r>
            <w:r>
              <w:rPr>
                <w:rFonts w:hint="eastAsia" w:cs="宋体"/>
                <w:b w:val="0"/>
                <w:bCs w:val="0"/>
                <w:color w:val="auto"/>
                <w:kern w:val="2"/>
                <w:sz w:val="24"/>
                <w:szCs w:val="24"/>
                <w:lang w:val="en-US" w:eastAsia="zh-CN"/>
              </w:rPr>
              <w:t>N</w:t>
            </w:r>
            <w:r>
              <w:rPr>
                <w:rFonts w:hint="eastAsia" w:ascii="Times New Roman" w:hAnsi="Times New Roman" w:cs="宋体"/>
                <w:b w:val="0"/>
                <w:bCs w:val="0"/>
                <w:color w:val="auto"/>
                <w:kern w:val="2"/>
                <w:sz w:val="24"/>
                <w:szCs w:val="24"/>
                <w:lang w:val="en-US" w:eastAsia="zh-CN"/>
              </w:rPr>
              <w:t>及少量玻璃边角料</w:t>
            </w:r>
            <w:r>
              <w:rPr>
                <w:rFonts w:hint="eastAsia" w:cs="宋体"/>
                <w:b w:val="0"/>
                <w:bCs w:val="0"/>
                <w:color w:val="auto"/>
                <w:kern w:val="2"/>
                <w:sz w:val="24"/>
                <w:szCs w:val="24"/>
                <w:lang w:val="en-US" w:eastAsia="zh-CN"/>
              </w:rPr>
              <w:t>S</w:t>
            </w:r>
            <w:r>
              <w:rPr>
                <w:rFonts w:hint="eastAsia" w:cs="宋体"/>
                <w:b w:val="0"/>
                <w:bCs w:val="0"/>
                <w:color w:val="auto"/>
                <w:kern w:val="2"/>
                <w:sz w:val="24"/>
                <w:szCs w:val="24"/>
                <w:vertAlign w:val="subscript"/>
                <w:lang w:val="en-US" w:eastAsia="zh-CN"/>
              </w:rPr>
              <w:t>1-2</w:t>
            </w:r>
            <w:r>
              <w:rPr>
                <w:rFonts w:hint="eastAsia" w:cs="宋体"/>
                <w:b w:val="0"/>
                <w:bCs w:val="0"/>
                <w:color w:val="auto"/>
                <w:kern w:val="2"/>
                <w:sz w:val="24"/>
                <w:szCs w:val="24"/>
                <w:lang w:val="en-US" w:eastAsia="zh-CN"/>
              </w:rPr>
              <w:t>、S</w:t>
            </w:r>
            <w:r>
              <w:rPr>
                <w:rFonts w:hint="eastAsia" w:cs="宋体"/>
                <w:b w:val="0"/>
                <w:bCs w:val="0"/>
                <w:color w:val="auto"/>
                <w:kern w:val="2"/>
                <w:sz w:val="24"/>
                <w:szCs w:val="24"/>
                <w:vertAlign w:val="subscript"/>
                <w:lang w:val="en-US" w:eastAsia="zh-CN"/>
              </w:rPr>
              <w:t>1-3</w:t>
            </w:r>
            <w:r>
              <w:rPr>
                <w:rFonts w:hint="eastAsia" w:ascii="Times New Roman" w:hAnsi="Times New Roman" w:cs="宋体"/>
                <w:b w:val="0"/>
                <w:bCs w:val="0"/>
                <w:color w:val="auto"/>
                <w:kern w:val="2"/>
                <w:sz w:val="24"/>
                <w:szCs w:val="24"/>
                <w:lang w:val="en-US" w:eastAsia="zh-CN"/>
              </w:rPr>
              <w:t>。</w:t>
            </w:r>
          </w:p>
          <w:p w14:paraId="73C0BDC6">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宋体"/>
                <w:b w:val="0"/>
                <w:bCs w:val="0"/>
                <w:color w:val="auto"/>
                <w:kern w:val="2"/>
                <w:sz w:val="24"/>
                <w:szCs w:val="24"/>
                <w:lang w:val="en-US" w:eastAsia="zh-CN"/>
              </w:rPr>
            </w:pPr>
            <w:r>
              <w:rPr>
                <w:rFonts w:hint="eastAsia" w:ascii="Times New Roman" w:hAnsi="Times New Roman" w:cs="宋体"/>
                <w:b w:val="0"/>
                <w:bCs w:val="0"/>
                <w:color w:val="auto"/>
                <w:kern w:val="2"/>
                <w:sz w:val="24"/>
                <w:szCs w:val="24"/>
                <w:lang w:val="en-US" w:eastAsia="zh-CN"/>
              </w:rPr>
              <w:t>清洗：处理后的玻璃进入清洗机进行清洗，清洗过程中无需使用洗涤剂，只用水冲洗掉表面的玻璃粉尘，清洗用水于自带的水箱中静置沉淀后，上层清水循环使用。该过程主要污染物为噪声</w:t>
            </w:r>
            <w:r>
              <w:rPr>
                <w:rFonts w:hint="eastAsia" w:cs="宋体"/>
                <w:b w:val="0"/>
                <w:bCs w:val="0"/>
                <w:color w:val="auto"/>
                <w:kern w:val="2"/>
                <w:sz w:val="24"/>
                <w:szCs w:val="24"/>
                <w:lang w:val="en-US" w:eastAsia="zh-CN"/>
              </w:rPr>
              <w:t>N</w:t>
            </w:r>
            <w:r>
              <w:rPr>
                <w:rFonts w:hint="eastAsia" w:ascii="Times New Roman" w:hAnsi="Times New Roman" w:cs="宋体"/>
                <w:b w:val="0"/>
                <w:bCs w:val="0"/>
                <w:color w:val="auto"/>
                <w:kern w:val="2"/>
                <w:sz w:val="24"/>
                <w:szCs w:val="24"/>
                <w:lang w:val="en-US" w:eastAsia="zh-CN"/>
              </w:rPr>
              <w:t>、清洗废水W</w:t>
            </w:r>
            <w:r>
              <w:rPr>
                <w:rFonts w:hint="eastAsia" w:cs="宋体"/>
                <w:b w:val="0"/>
                <w:bCs w:val="0"/>
                <w:color w:val="auto"/>
                <w:kern w:val="2"/>
                <w:sz w:val="24"/>
                <w:szCs w:val="24"/>
                <w:vertAlign w:val="subscript"/>
                <w:lang w:val="en-US" w:eastAsia="zh-CN"/>
              </w:rPr>
              <w:t>1-2</w:t>
            </w:r>
            <w:r>
              <w:rPr>
                <w:rFonts w:hint="eastAsia" w:ascii="Times New Roman" w:hAnsi="Times New Roman" w:cs="宋体"/>
                <w:b w:val="0"/>
                <w:bCs w:val="0"/>
                <w:color w:val="auto"/>
                <w:kern w:val="2"/>
                <w:sz w:val="24"/>
                <w:szCs w:val="24"/>
                <w:lang w:val="en-US" w:eastAsia="zh-CN"/>
              </w:rPr>
              <w:t>。</w:t>
            </w:r>
          </w:p>
          <w:p w14:paraId="37A7CBD3">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宋体"/>
                <w:b w:val="0"/>
                <w:bCs w:val="0"/>
                <w:color w:val="auto"/>
                <w:kern w:val="2"/>
                <w:sz w:val="24"/>
                <w:szCs w:val="24"/>
                <w:lang w:val="en-US" w:eastAsia="zh-CN"/>
              </w:rPr>
            </w:pPr>
            <w:r>
              <w:rPr>
                <w:rFonts w:hint="eastAsia" w:ascii="Times New Roman" w:hAnsi="Times New Roman" w:cs="宋体"/>
                <w:b w:val="0"/>
                <w:bCs w:val="0"/>
                <w:color w:val="auto"/>
                <w:kern w:val="2"/>
                <w:sz w:val="24"/>
                <w:szCs w:val="24"/>
                <w:lang w:val="en-US" w:eastAsia="zh-CN"/>
              </w:rPr>
              <w:t>钢化：清洗后玻璃匀速通过电加热钢化炉，根据玻璃厚度控制通过速度，一般加热时间在15</w:t>
            </w:r>
            <w:r>
              <w:rPr>
                <w:rFonts w:hint="eastAsia" w:cs="宋体"/>
                <w:b w:val="0"/>
                <w:bCs w:val="0"/>
                <w:color w:val="auto"/>
                <w:kern w:val="2"/>
                <w:sz w:val="24"/>
                <w:szCs w:val="24"/>
                <w:lang w:val="en-US" w:eastAsia="zh-CN"/>
              </w:rPr>
              <w:t>～</w:t>
            </w:r>
            <w:r>
              <w:rPr>
                <w:rFonts w:hint="eastAsia" w:ascii="Times New Roman" w:hAnsi="Times New Roman" w:cs="宋体"/>
                <w:b w:val="0"/>
                <w:bCs w:val="0"/>
                <w:color w:val="auto"/>
                <w:kern w:val="2"/>
                <w:sz w:val="24"/>
                <w:szCs w:val="24"/>
                <w:lang w:val="en-US" w:eastAsia="zh-CN"/>
              </w:rPr>
              <w:t>30分钟之间，加热温度600</w:t>
            </w:r>
            <w:r>
              <w:rPr>
                <w:rFonts w:hint="default" w:ascii="Times New Roman" w:hAnsi="Times New Roman" w:cs="Times New Roman"/>
                <w:b w:val="0"/>
                <w:bCs w:val="0"/>
                <w:color w:val="auto"/>
                <w:kern w:val="2"/>
                <w:sz w:val="24"/>
                <w:szCs w:val="24"/>
                <w:lang w:val="en-US" w:eastAsia="zh-CN"/>
              </w:rPr>
              <w:t>℃</w:t>
            </w:r>
            <w:r>
              <w:rPr>
                <w:rFonts w:hint="eastAsia" w:ascii="Times New Roman" w:hAnsi="Times New Roman" w:cs="宋体"/>
                <w:b w:val="0"/>
                <w:bCs w:val="0"/>
                <w:color w:val="auto"/>
                <w:kern w:val="2"/>
                <w:sz w:val="24"/>
                <w:szCs w:val="24"/>
                <w:lang w:val="en-US" w:eastAsia="zh-CN"/>
              </w:rPr>
              <w:t>左右，刚好到玻璃软化点，然后出炉经多头喷嘴向两面喷吹空气，使之迅速地、均匀地冷却，当冷却至室温时，就形成了高强度的钢化玻璃。该过程污染物主要是钢化炉运行产生的噪声</w:t>
            </w:r>
            <w:r>
              <w:rPr>
                <w:rFonts w:hint="eastAsia" w:cs="宋体"/>
                <w:b w:val="0"/>
                <w:bCs w:val="0"/>
                <w:color w:val="auto"/>
                <w:kern w:val="2"/>
                <w:sz w:val="24"/>
                <w:szCs w:val="24"/>
                <w:lang w:val="en-US" w:eastAsia="zh-CN"/>
              </w:rPr>
              <w:t>N、玻璃边角料S</w:t>
            </w:r>
            <w:r>
              <w:rPr>
                <w:rFonts w:hint="eastAsia" w:cs="宋体"/>
                <w:b w:val="0"/>
                <w:bCs w:val="0"/>
                <w:color w:val="auto"/>
                <w:kern w:val="2"/>
                <w:sz w:val="24"/>
                <w:szCs w:val="24"/>
                <w:vertAlign w:val="subscript"/>
                <w:lang w:val="en-US" w:eastAsia="zh-CN"/>
              </w:rPr>
              <w:t>1-4</w:t>
            </w:r>
            <w:r>
              <w:rPr>
                <w:rFonts w:hint="eastAsia" w:ascii="Times New Roman" w:hAnsi="Times New Roman" w:cs="宋体"/>
                <w:b w:val="0"/>
                <w:bCs w:val="0"/>
                <w:color w:val="auto"/>
                <w:kern w:val="2"/>
                <w:sz w:val="24"/>
                <w:szCs w:val="24"/>
                <w:lang w:val="en-US" w:eastAsia="zh-CN"/>
              </w:rPr>
              <w:t>。</w:t>
            </w:r>
          </w:p>
          <w:p w14:paraId="1C2FE9A8">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宋体"/>
                <w:b w:val="0"/>
                <w:bCs w:val="0"/>
                <w:color w:val="auto"/>
                <w:kern w:val="2"/>
                <w:sz w:val="24"/>
                <w:szCs w:val="24"/>
                <w:lang w:val="en-US" w:eastAsia="zh-CN"/>
              </w:rPr>
            </w:pPr>
            <w:r>
              <w:rPr>
                <w:rFonts w:hint="eastAsia" w:ascii="Times New Roman" w:hAnsi="Times New Roman" w:cs="宋体"/>
                <w:b w:val="0"/>
                <w:bCs w:val="0"/>
                <w:color w:val="auto"/>
                <w:kern w:val="2"/>
                <w:sz w:val="24"/>
                <w:szCs w:val="24"/>
                <w:lang w:val="en-US" w:eastAsia="zh-CN"/>
              </w:rPr>
              <w:t>风冷：钢化后出炉经风机多头喷嘴向两面喷吹空气，使之迅速地、均匀地冷却，当冷却至室温时，就形成了高强度的钢化玻璃。冷却方式通过大功率鼓风机产生的大量冷风实现，该过程不产生废气，仅排放热空气，通过设备专用排风口排出。将玻璃由变频器驱动电机带动辊道高速运转将玻璃运往下片台，人工卸片。此工序无污染物产生。</w:t>
            </w:r>
          </w:p>
          <w:p w14:paraId="77C08AC4">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cs="宋体"/>
                <w:b w:val="0"/>
                <w:bCs w:val="0"/>
                <w:color w:val="auto"/>
                <w:kern w:val="2"/>
                <w:sz w:val="24"/>
                <w:szCs w:val="24"/>
                <w:lang w:val="en-US" w:eastAsia="zh-CN"/>
              </w:rPr>
            </w:pPr>
            <w:r>
              <w:rPr>
                <w:rFonts w:hint="eastAsia" w:cs="宋体"/>
                <w:bCs/>
                <w:color w:val="auto"/>
                <w:kern w:val="2"/>
                <w:szCs w:val="24"/>
                <w:lang w:val="en-US" w:eastAsia="zh-CN"/>
              </w:rPr>
              <w:pict>
                <v:shape id="_x0000_s2618" o:spid="_x0000_s2618" o:spt="75" type="#_x0000_t75" style="position:absolute;left:0pt;margin-left:10pt;margin-top:83.45pt;height:295.7pt;width:397.15pt;mso-wrap-distance-bottom:0pt;mso-wrap-distance-top:0pt;z-index:251664384;mso-width-relative:page;mso-height-relative:page;" o:ole="t" filled="f" o:preferrelative="t" stroked="f" coordsize="21600,21600">
                  <v:path/>
                  <v:fill on="f" focussize="0,0"/>
                  <v:stroke on="f"/>
                  <v:imagedata r:id="rId12" o:title=""/>
                  <o:lock v:ext="edit" aspectratio="f"/>
                  <w10:wrap type="topAndBottom"/>
                </v:shape>
                <o:OLEObject Type="Embed" ProgID="Visio.Drawing.15" ShapeID="_x0000_s2618" DrawAspect="Content" ObjectID="_1468075727" r:id="rId11">
                  <o:LockedField>false</o:LockedField>
                </o:OLEObject>
              </w:pict>
            </w:r>
            <w:r>
              <w:rPr>
                <w:rFonts w:hint="eastAsia" w:ascii="Times New Roman" w:hAnsi="Times New Roman" w:cs="宋体"/>
                <w:b w:val="0"/>
                <w:bCs w:val="0"/>
                <w:color w:val="auto"/>
                <w:kern w:val="2"/>
                <w:sz w:val="24"/>
                <w:szCs w:val="24"/>
                <w:lang w:val="en-US" w:eastAsia="zh-CN"/>
              </w:rPr>
              <w:t>检验：</w:t>
            </w:r>
            <w:r>
              <w:rPr>
                <w:rFonts w:hint="eastAsia" w:cs="宋体"/>
                <w:b w:val="0"/>
                <w:bCs w:val="0"/>
                <w:color w:val="auto"/>
                <w:kern w:val="2"/>
                <w:sz w:val="24"/>
                <w:szCs w:val="24"/>
                <w:lang w:val="en-US" w:eastAsia="zh-CN"/>
              </w:rPr>
              <w:t>通过人工方式检验玻璃是否存在损坏，</w:t>
            </w:r>
            <w:r>
              <w:rPr>
                <w:rFonts w:hint="eastAsia" w:ascii="Times New Roman" w:hAnsi="Times New Roman" w:cs="宋体"/>
                <w:b w:val="0"/>
                <w:bCs w:val="0"/>
                <w:color w:val="auto"/>
                <w:kern w:val="2"/>
                <w:sz w:val="24"/>
                <w:szCs w:val="24"/>
                <w:lang w:val="en-US" w:eastAsia="zh-CN"/>
              </w:rPr>
              <w:t>检验后合格品入库待售</w:t>
            </w:r>
            <w:r>
              <w:rPr>
                <w:rFonts w:hint="eastAsia" w:cs="宋体"/>
                <w:b w:val="0"/>
                <w:bCs w:val="0"/>
                <w:color w:val="auto"/>
                <w:kern w:val="2"/>
                <w:sz w:val="24"/>
                <w:szCs w:val="24"/>
                <w:lang w:val="en-US" w:eastAsia="zh-CN"/>
              </w:rPr>
              <w:t>，检验不合格品作为一般固废外售，此过程产生不合格品S</w:t>
            </w:r>
            <w:r>
              <w:rPr>
                <w:rFonts w:hint="eastAsia" w:cs="宋体"/>
                <w:b w:val="0"/>
                <w:bCs w:val="0"/>
                <w:color w:val="auto"/>
                <w:kern w:val="2"/>
                <w:sz w:val="24"/>
                <w:szCs w:val="24"/>
                <w:vertAlign w:val="subscript"/>
                <w:lang w:val="en-US" w:eastAsia="zh-CN"/>
              </w:rPr>
              <w:t>1-5</w:t>
            </w:r>
            <w:r>
              <w:rPr>
                <w:rFonts w:hint="eastAsia" w:cs="宋体"/>
                <w:b w:val="0"/>
                <w:bCs w:val="0"/>
                <w:color w:val="auto"/>
                <w:kern w:val="2"/>
                <w:sz w:val="24"/>
                <w:szCs w:val="24"/>
                <w:lang w:val="en-US" w:eastAsia="zh-CN"/>
              </w:rPr>
              <w:t>。</w:t>
            </w:r>
          </w:p>
          <w:p w14:paraId="33FB5878">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s="宋体"/>
                <w:bCs/>
                <w:color w:val="auto"/>
                <w:kern w:val="2"/>
                <w:szCs w:val="24"/>
                <w:lang w:val="en-US" w:eastAsia="zh-CN"/>
              </w:rPr>
              <w:t>2</w:t>
            </w:r>
            <w:r>
              <w:rPr>
                <w:rFonts w:hint="eastAsia" w:cs="宋体"/>
                <w:bCs/>
                <w:color w:val="auto"/>
                <w:kern w:val="2"/>
                <w:szCs w:val="24"/>
              </w:rPr>
              <w:t>、</w:t>
            </w:r>
            <w:r>
              <w:rPr>
                <w:rFonts w:hint="eastAsia"/>
                <w:color w:val="auto"/>
              </w:rPr>
              <w:t>本项目</w:t>
            </w:r>
            <w:r>
              <w:rPr>
                <w:rFonts w:hint="eastAsia"/>
                <w:color w:val="auto"/>
                <w:lang w:val="en-US" w:eastAsia="zh-CN"/>
              </w:rPr>
              <w:t>中空玻璃</w:t>
            </w:r>
            <w:r>
              <w:rPr>
                <w:rFonts w:hint="eastAsia"/>
                <w:color w:val="auto"/>
              </w:rPr>
              <w:t>生产工艺流程见</w:t>
            </w:r>
            <w:r>
              <w:rPr>
                <w:rFonts w:hint="eastAsia"/>
                <w:color w:val="auto"/>
                <w:lang w:val="en-US" w:eastAsia="zh-CN"/>
              </w:rPr>
              <w:t>下图</w:t>
            </w:r>
            <w:r>
              <w:rPr>
                <w:rFonts w:hint="eastAsia" w:cs="Times New Roman"/>
                <w:color w:val="auto"/>
                <w:lang w:val="en-US" w:eastAsia="zh-CN"/>
              </w:rPr>
              <w:t>：</w:t>
            </w:r>
          </w:p>
          <w:p w14:paraId="526E1871">
            <w:pPr>
              <w:pStyle w:val="2"/>
              <w:ind w:left="0" w:leftChars="0" w:firstLine="0" w:firstLineChars="0"/>
              <w:jc w:val="center"/>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图2-3  中空玻璃工</w:t>
            </w:r>
            <w:r>
              <w:rPr>
                <w:rFonts w:hint="default" w:ascii="Times New Roman" w:hAnsi="Times New Roman" w:cs="Times New Roman"/>
                <w:color w:val="auto"/>
                <w:sz w:val="24"/>
                <w:szCs w:val="24"/>
              </w:rPr>
              <w:t>艺流程图</w:t>
            </w:r>
          </w:p>
          <w:p w14:paraId="01727D19">
            <w:pPr>
              <w:pStyle w:val="6"/>
              <w:keepNext w:val="0"/>
              <w:keepLines w:val="0"/>
              <w:pageBreakBefore w:val="0"/>
              <w:kinsoku/>
              <w:wordWrap/>
              <w:overflowPunct/>
              <w:topLinePunct w:val="0"/>
              <w:bidi w:val="0"/>
              <w:snapToGrid/>
              <w:spacing w:after="0" w:line="360" w:lineRule="auto"/>
              <w:ind w:left="0" w:leftChars="0" w:firstLine="480"/>
              <w:textAlignment w:val="auto"/>
              <w:rPr>
                <w:rFonts w:hint="eastAsia" w:cs="宋体"/>
                <w:bCs/>
                <w:color w:val="auto"/>
                <w:kern w:val="2"/>
                <w:szCs w:val="24"/>
              </w:rPr>
            </w:pPr>
            <w:r>
              <w:rPr>
                <w:rFonts w:hint="eastAsia" w:cs="宋体"/>
                <w:bCs/>
                <w:color w:val="auto"/>
                <w:kern w:val="2"/>
                <w:szCs w:val="24"/>
              </w:rPr>
              <w:t>生产工艺流程简述：</w:t>
            </w:r>
          </w:p>
          <w:p w14:paraId="69B688BB">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cs="宋体"/>
                <w:bCs/>
                <w:color w:val="auto"/>
                <w:kern w:val="2"/>
                <w:szCs w:val="24"/>
                <w:lang w:val="en-US" w:eastAsia="zh-CN"/>
              </w:rPr>
            </w:pPr>
            <w:r>
              <w:rPr>
                <w:rFonts w:hint="eastAsia" w:ascii="Times New Roman" w:hAnsi="Times New Roman" w:cs="宋体"/>
                <w:bCs/>
                <w:color w:val="auto"/>
                <w:kern w:val="2"/>
                <w:szCs w:val="24"/>
                <w:lang w:val="en-US" w:eastAsia="zh-CN"/>
              </w:rPr>
              <w:t>折弯裁剪：外购的铝条经自动折弯机先折弯成所需尺寸的框型，再从整个铝条上裁剪下来，经人工通过卡扣的方式扣好接头后制作成铝框，裁剪过程会产生铝边角料</w:t>
            </w:r>
            <w:r>
              <w:rPr>
                <w:rFonts w:hint="eastAsia" w:cs="宋体"/>
                <w:bCs/>
                <w:color w:val="auto"/>
                <w:kern w:val="2"/>
                <w:szCs w:val="24"/>
                <w:lang w:val="en-US" w:eastAsia="zh-CN"/>
              </w:rPr>
              <w:t>S</w:t>
            </w:r>
            <w:r>
              <w:rPr>
                <w:rFonts w:hint="eastAsia" w:cs="宋体"/>
                <w:bCs/>
                <w:color w:val="auto"/>
                <w:kern w:val="2"/>
                <w:szCs w:val="24"/>
                <w:vertAlign w:val="subscript"/>
                <w:lang w:val="en-US" w:eastAsia="zh-CN"/>
              </w:rPr>
              <w:t>2-1</w:t>
            </w:r>
            <w:r>
              <w:rPr>
                <w:rFonts w:hint="eastAsia" w:ascii="Times New Roman" w:hAnsi="Times New Roman" w:cs="宋体"/>
                <w:bCs/>
                <w:color w:val="auto"/>
                <w:kern w:val="2"/>
                <w:szCs w:val="24"/>
                <w:lang w:val="en-US" w:eastAsia="zh-CN"/>
              </w:rPr>
              <w:t>。</w:t>
            </w:r>
          </w:p>
          <w:p w14:paraId="5EC5A1E9">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cs="宋体"/>
                <w:bCs/>
                <w:color w:val="auto"/>
                <w:kern w:val="2"/>
                <w:szCs w:val="24"/>
                <w:lang w:val="en-US" w:eastAsia="zh-CN"/>
              </w:rPr>
            </w:pPr>
            <w:r>
              <w:rPr>
                <w:rFonts w:hint="eastAsia" w:ascii="Times New Roman" w:hAnsi="Times New Roman" w:cs="宋体"/>
                <w:bCs/>
                <w:color w:val="auto"/>
                <w:kern w:val="2"/>
                <w:szCs w:val="24"/>
                <w:lang w:val="en-US" w:eastAsia="zh-CN"/>
              </w:rPr>
              <w:t>灌装合胶：加工好的铝框移入封闭的中空玻璃生产线内，上挂架后使用打胶机对其边框两侧进行机械涂胶。涂胶用胶为丁基胶，呈固体块状，事先放于打胶机胶盒内。使用前预热至130</w:t>
            </w:r>
            <w:r>
              <w:rPr>
                <w:rFonts w:hint="default" w:ascii="Times New Roman" w:hAnsi="Times New Roman" w:cs="Times New Roman"/>
                <w:bCs/>
                <w:color w:val="auto"/>
                <w:kern w:val="2"/>
                <w:szCs w:val="24"/>
                <w:lang w:val="en-US" w:eastAsia="zh-CN"/>
              </w:rPr>
              <w:t>℃</w:t>
            </w:r>
            <w:r>
              <w:rPr>
                <w:rFonts w:hint="eastAsia" w:ascii="Times New Roman" w:hAnsi="Times New Roman" w:cs="宋体"/>
                <w:bCs/>
                <w:color w:val="auto"/>
                <w:kern w:val="2"/>
                <w:szCs w:val="24"/>
                <w:lang w:val="en-US" w:eastAsia="zh-CN"/>
              </w:rPr>
              <w:t>左右（电加热），使丁基胶处于熔融状态，打胶机维持该工艺温度，连续对铝条进行打胶，保证机械上胶的上胶率。丁基胶为速干胶，其熔融、涂胶、干燥过程可在较短时间内（同步）完成。该工序产生的污染因素主要为</w:t>
            </w:r>
            <w:r>
              <w:rPr>
                <w:rFonts w:hint="eastAsia" w:cs="宋体"/>
                <w:bCs/>
                <w:color w:val="auto"/>
                <w:kern w:val="2"/>
                <w:szCs w:val="24"/>
                <w:lang w:val="en-US" w:eastAsia="zh-CN"/>
              </w:rPr>
              <w:t>设备</w:t>
            </w:r>
            <w:r>
              <w:rPr>
                <w:rFonts w:hint="eastAsia" w:ascii="Times New Roman" w:hAnsi="Times New Roman" w:cs="宋体"/>
                <w:bCs/>
                <w:color w:val="auto"/>
                <w:kern w:val="2"/>
                <w:szCs w:val="24"/>
                <w:lang w:val="en-US" w:eastAsia="zh-CN"/>
              </w:rPr>
              <w:t>噪声</w:t>
            </w:r>
            <w:r>
              <w:rPr>
                <w:rFonts w:hint="eastAsia" w:cs="宋体"/>
                <w:bCs/>
                <w:color w:val="auto"/>
                <w:kern w:val="2"/>
                <w:szCs w:val="24"/>
                <w:lang w:val="en-US" w:eastAsia="zh-CN"/>
              </w:rPr>
              <w:t>N、</w:t>
            </w:r>
            <w:r>
              <w:rPr>
                <w:rFonts w:hint="eastAsia" w:ascii="Times New Roman" w:hAnsi="Times New Roman" w:cs="宋体"/>
                <w:bCs/>
                <w:color w:val="auto"/>
                <w:kern w:val="2"/>
                <w:szCs w:val="24"/>
                <w:lang w:val="en-US" w:eastAsia="zh-CN"/>
              </w:rPr>
              <w:t>有机废气G</w:t>
            </w:r>
            <w:r>
              <w:rPr>
                <w:rFonts w:hint="eastAsia" w:ascii="Times New Roman" w:hAnsi="Times New Roman" w:cs="宋体"/>
                <w:bCs/>
                <w:color w:val="auto"/>
                <w:kern w:val="2"/>
                <w:szCs w:val="24"/>
                <w:vertAlign w:val="subscript"/>
                <w:lang w:val="en-US" w:eastAsia="zh-CN"/>
              </w:rPr>
              <w:t>1</w:t>
            </w:r>
            <w:r>
              <w:rPr>
                <w:rFonts w:hint="eastAsia" w:cs="宋体"/>
                <w:bCs/>
                <w:color w:val="auto"/>
                <w:kern w:val="2"/>
                <w:szCs w:val="24"/>
                <w:vertAlign w:val="subscript"/>
                <w:lang w:val="en-US" w:eastAsia="zh-CN"/>
              </w:rPr>
              <w:t>-1</w:t>
            </w:r>
            <w:r>
              <w:rPr>
                <w:rFonts w:hint="eastAsia" w:ascii="Times New Roman" w:hAnsi="Times New Roman" w:cs="宋体"/>
                <w:bCs/>
                <w:color w:val="auto"/>
                <w:kern w:val="2"/>
                <w:szCs w:val="24"/>
                <w:lang w:val="en-US" w:eastAsia="zh-CN"/>
              </w:rPr>
              <w:t>。</w:t>
            </w:r>
          </w:p>
          <w:p w14:paraId="632CDB12">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cs="宋体"/>
                <w:bCs/>
                <w:color w:val="auto"/>
                <w:kern w:val="2"/>
                <w:szCs w:val="24"/>
                <w:lang w:val="en-US" w:eastAsia="zh-CN"/>
              </w:rPr>
            </w:pPr>
            <w:r>
              <w:rPr>
                <w:rFonts w:hint="eastAsia" w:ascii="Times New Roman" w:hAnsi="Times New Roman" w:cs="宋体"/>
                <w:bCs/>
                <w:color w:val="auto"/>
                <w:kern w:val="2"/>
                <w:szCs w:val="24"/>
                <w:lang w:val="en-US" w:eastAsia="zh-CN"/>
              </w:rPr>
              <w:t>合片平压：灌装合胶后的玻璃通过中空机进行合片并平压，以保证合片</w:t>
            </w:r>
          </w:p>
          <w:p w14:paraId="0E742CDA">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Times New Roman" w:hAnsi="Times New Roman" w:cs="宋体"/>
                <w:bCs/>
                <w:color w:val="auto"/>
                <w:kern w:val="2"/>
                <w:szCs w:val="24"/>
                <w:lang w:val="en-US" w:eastAsia="zh-CN"/>
              </w:rPr>
            </w:pPr>
            <w:r>
              <w:rPr>
                <w:rFonts w:hint="eastAsia" w:ascii="Times New Roman" w:hAnsi="Times New Roman" w:cs="宋体"/>
                <w:bCs/>
                <w:color w:val="auto"/>
                <w:kern w:val="2"/>
                <w:szCs w:val="24"/>
                <w:lang w:val="en-US" w:eastAsia="zh-CN"/>
              </w:rPr>
              <w:t>稳固。该过程</w:t>
            </w:r>
            <w:r>
              <w:rPr>
                <w:rFonts w:hint="eastAsia" w:cs="宋体"/>
                <w:bCs/>
                <w:color w:val="auto"/>
                <w:kern w:val="2"/>
                <w:szCs w:val="24"/>
                <w:lang w:val="en-US" w:eastAsia="zh-CN"/>
              </w:rPr>
              <w:t>主要产生设备</w:t>
            </w:r>
            <w:r>
              <w:rPr>
                <w:rFonts w:hint="eastAsia" w:ascii="Times New Roman" w:hAnsi="Times New Roman" w:cs="宋体"/>
                <w:bCs/>
                <w:color w:val="auto"/>
                <w:kern w:val="2"/>
                <w:szCs w:val="24"/>
                <w:lang w:val="en-US" w:eastAsia="zh-CN"/>
              </w:rPr>
              <w:t>噪声</w:t>
            </w:r>
            <w:r>
              <w:rPr>
                <w:rFonts w:hint="eastAsia" w:cs="宋体"/>
                <w:bCs/>
                <w:color w:val="auto"/>
                <w:kern w:val="2"/>
                <w:szCs w:val="24"/>
                <w:lang w:val="en-US" w:eastAsia="zh-CN"/>
              </w:rPr>
              <w:t>N</w:t>
            </w:r>
            <w:r>
              <w:rPr>
                <w:rFonts w:hint="eastAsia" w:ascii="Times New Roman" w:hAnsi="Times New Roman" w:cs="宋体"/>
                <w:bCs/>
                <w:color w:val="auto"/>
                <w:kern w:val="2"/>
                <w:szCs w:val="24"/>
                <w:lang w:val="en-US" w:eastAsia="zh-CN"/>
              </w:rPr>
              <w:t>。</w:t>
            </w:r>
          </w:p>
          <w:p w14:paraId="69D6C01C">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cs="宋体"/>
                <w:bCs/>
                <w:color w:val="auto"/>
                <w:kern w:val="2"/>
                <w:szCs w:val="24"/>
                <w:lang w:val="en-US" w:eastAsia="zh-CN"/>
              </w:rPr>
            </w:pPr>
            <w:r>
              <w:rPr>
                <w:rFonts w:hint="eastAsia" w:ascii="Times New Roman" w:hAnsi="Times New Roman" w:cs="宋体"/>
                <w:bCs/>
                <w:color w:val="auto"/>
                <w:kern w:val="2"/>
                <w:szCs w:val="24"/>
                <w:lang w:val="en-US" w:eastAsia="zh-CN"/>
              </w:rPr>
              <w:t>密封：人工将硅酮密封胶均匀涂抹于玻璃、铝框合片处，使中空玻璃内部与外界空气处于隔绝状态。封胶过程为人工操作，未</w:t>
            </w:r>
            <w:r>
              <w:rPr>
                <w:rFonts w:hint="eastAsia" w:cs="宋体"/>
                <w:bCs/>
                <w:color w:val="auto"/>
                <w:kern w:val="2"/>
                <w:szCs w:val="24"/>
                <w:lang w:val="en-US" w:eastAsia="zh-CN"/>
              </w:rPr>
              <w:t>使用</w:t>
            </w:r>
            <w:r>
              <w:rPr>
                <w:rFonts w:hint="eastAsia" w:ascii="Times New Roman" w:hAnsi="Times New Roman" w:cs="宋体"/>
                <w:bCs/>
                <w:color w:val="auto"/>
                <w:kern w:val="2"/>
                <w:szCs w:val="24"/>
                <w:lang w:val="en-US" w:eastAsia="zh-CN"/>
              </w:rPr>
              <w:t>涂布机等设备。该工序产生的污染因素主要为硅酮密封胶使用过程中产生的有机废气G</w:t>
            </w:r>
            <w:r>
              <w:rPr>
                <w:rFonts w:hint="eastAsia" w:cs="宋体"/>
                <w:bCs/>
                <w:color w:val="auto"/>
                <w:kern w:val="2"/>
                <w:szCs w:val="24"/>
                <w:vertAlign w:val="subscript"/>
                <w:lang w:val="en-US" w:eastAsia="zh-CN"/>
              </w:rPr>
              <w:t>1-</w:t>
            </w:r>
            <w:r>
              <w:rPr>
                <w:rFonts w:hint="eastAsia" w:ascii="Times New Roman" w:hAnsi="Times New Roman" w:cs="宋体"/>
                <w:bCs/>
                <w:color w:val="auto"/>
                <w:kern w:val="2"/>
                <w:szCs w:val="24"/>
                <w:vertAlign w:val="subscript"/>
                <w:lang w:val="en-US" w:eastAsia="zh-CN"/>
              </w:rPr>
              <w:t>2</w:t>
            </w:r>
            <w:r>
              <w:rPr>
                <w:rFonts w:hint="eastAsia" w:ascii="Times New Roman" w:hAnsi="Times New Roman" w:cs="宋体"/>
                <w:bCs/>
                <w:color w:val="auto"/>
                <w:kern w:val="2"/>
                <w:szCs w:val="24"/>
                <w:lang w:val="en-US" w:eastAsia="zh-CN"/>
              </w:rPr>
              <w:t>。</w:t>
            </w:r>
          </w:p>
          <w:p w14:paraId="5F25DF9F">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cs="宋体"/>
                <w:bCs/>
                <w:color w:val="auto"/>
                <w:kern w:val="2"/>
                <w:szCs w:val="24"/>
                <w:lang w:val="en-US" w:eastAsia="zh-CN"/>
              </w:rPr>
            </w:pPr>
            <w:r>
              <w:rPr>
                <w:rFonts w:hint="eastAsia" w:ascii="Times New Roman" w:hAnsi="Times New Roman" w:cs="宋体"/>
                <w:b w:val="0"/>
                <w:bCs w:val="0"/>
                <w:color w:val="auto"/>
                <w:kern w:val="2"/>
                <w:sz w:val="24"/>
                <w:szCs w:val="24"/>
                <w:lang w:val="en-US" w:eastAsia="zh-CN"/>
              </w:rPr>
              <w:t>检验：</w:t>
            </w:r>
            <w:r>
              <w:rPr>
                <w:rFonts w:hint="eastAsia" w:cs="宋体"/>
                <w:b w:val="0"/>
                <w:bCs w:val="0"/>
                <w:color w:val="auto"/>
                <w:kern w:val="2"/>
                <w:sz w:val="24"/>
                <w:szCs w:val="24"/>
                <w:lang w:val="en-US" w:eastAsia="zh-CN"/>
              </w:rPr>
              <w:t>通过人工方式检验玻璃是否存在损坏，</w:t>
            </w:r>
            <w:r>
              <w:rPr>
                <w:rFonts w:hint="eastAsia" w:ascii="Times New Roman" w:hAnsi="Times New Roman" w:cs="宋体"/>
                <w:b w:val="0"/>
                <w:bCs w:val="0"/>
                <w:color w:val="auto"/>
                <w:kern w:val="2"/>
                <w:sz w:val="24"/>
                <w:szCs w:val="24"/>
                <w:lang w:val="en-US" w:eastAsia="zh-CN"/>
              </w:rPr>
              <w:t>检验后合格品入库待售</w:t>
            </w:r>
            <w:r>
              <w:rPr>
                <w:rFonts w:hint="eastAsia" w:cs="宋体"/>
                <w:b w:val="0"/>
                <w:bCs w:val="0"/>
                <w:color w:val="auto"/>
                <w:kern w:val="2"/>
                <w:sz w:val="24"/>
                <w:szCs w:val="24"/>
                <w:lang w:val="en-US" w:eastAsia="zh-CN"/>
              </w:rPr>
              <w:t>，检验不合格品作为一般固废外售，此过程产生不合格品S</w:t>
            </w:r>
            <w:r>
              <w:rPr>
                <w:rFonts w:hint="eastAsia" w:cs="宋体"/>
                <w:b w:val="0"/>
                <w:bCs w:val="0"/>
                <w:color w:val="auto"/>
                <w:kern w:val="2"/>
                <w:sz w:val="24"/>
                <w:szCs w:val="24"/>
                <w:vertAlign w:val="subscript"/>
                <w:lang w:val="en-US" w:eastAsia="zh-CN"/>
              </w:rPr>
              <w:t>2-2</w:t>
            </w:r>
            <w:r>
              <w:rPr>
                <w:rFonts w:hint="eastAsia" w:cs="宋体"/>
                <w:b w:val="0"/>
                <w:bCs w:val="0"/>
                <w:color w:val="auto"/>
                <w:kern w:val="2"/>
                <w:sz w:val="24"/>
                <w:szCs w:val="24"/>
                <w:lang w:val="en-US" w:eastAsia="zh-CN"/>
              </w:rPr>
              <w:t>。</w:t>
            </w:r>
          </w:p>
          <w:p w14:paraId="0FAAE7E8">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s="宋体"/>
                <w:bCs/>
                <w:color w:val="auto"/>
                <w:kern w:val="2"/>
                <w:szCs w:val="24"/>
                <w:lang w:val="en-US" w:eastAsia="zh-CN"/>
              </w:rPr>
              <w:t>3</w:t>
            </w:r>
            <w:r>
              <w:rPr>
                <w:rFonts w:hint="eastAsia" w:cs="宋体"/>
                <w:bCs/>
                <w:color w:val="auto"/>
                <w:kern w:val="2"/>
                <w:szCs w:val="24"/>
              </w:rPr>
              <w:t>、</w:t>
            </w:r>
            <w:r>
              <w:rPr>
                <w:rFonts w:hint="eastAsia"/>
                <w:color w:val="auto"/>
              </w:rPr>
              <w:t>本项目</w:t>
            </w:r>
            <w:r>
              <w:rPr>
                <w:rFonts w:hint="eastAsia"/>
                <w:color w:val="auto"/>
                <w:lang w:val="en-US" w:eastAsia="zh-CN"/>
              </w:rPr>
              <w:t>夹胶玻璃</w:t>
            </w:r>
            <w:r>
              <w:rPr>
                <w:rFonts w:hint="eastAsia"/>
                <w:color w:val="auto"/>
              </w:rPr>
              <w:t>生产工艺流程见</w:t>
            </w:r>
            <w:r>
              <w:rPr>
                <w:rFonts w:hint="eastAsia"/>
                <w:color w:val="auto"/>
                <w:lang w:val="en-US" w:eastAsia="zh-CN"/>
              </w:rPr>
              <w:t>下图</w:t>
            </w:r>
            <w:r>
              <w:rPr>
                <w:rFonts w:hint="eastAsia" w:cs="Times New Roman"/>
                <w:color w:val="auto"/>
                <w:lang w:val="en-US" w:eastAsia="zh-CN"/>
              </w:rPr>
              <w:t>：</w:t>
            </w:r>
          </w:p>
          <w:p w14:paraId="14CBCF86">
            <w:pPr>
              <w:pStyle w:val="6"/>
              <w:keepNext w:val="0"/>
              <w:keepLines w:val="0"/>
              <w:pageBreakBefore w:val="0"/>
              <w:numPr>
                <w:ilvl w:val="0"/>
                <w:numId w:val="0"/>
              </w:numPr>
              <w:kinsoku/>
              <w:wordWrap/>
              <w:overflowPunct/>
              <w:topLinePunct w:val="0"/>
              <w:bidi w:val="0"/>
              <w:snapToGrid/>
              <w:spacing w:after="0" w:line="360" w:lineRule="auto"/>
              <w:ind w:leftChars="400"/>
              <w:jc w:val="center"/>
              <w:textAlignment w:val="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pict>
                <v:shape id="_x0000_s2612" o:spid="_x0000_s2612" o:spt="75" type="#_x0000_t75" style="position:absolute;left:0pt;margin-left:-0.25pt;margin-top:6.75pt;height:271.45pt;width:396.9pt;mso-wrap-distance-bottom:0pt;mso-wrap-distance-top:0pt;z-index:251662336;mso-width-relative:page;mso-height-relative:page;" o:ole="t" filled="f" o:preferrelative="t" stroked="f" coordsize="21600,21600">
                  <v:path/>
                  <v:fill on="f" focussize="0,0"/>
                  <v:stroke on="f"/>
                  <v:imagedata r:id="rId14" o:title=""/>
                  <o:lock v:ext="edit" aspectratio="f"/>
                  <w10:wrap type="topAndBottom"/>
                </v:shape>
                <o:OLEObject Type="Embed" ProgID="Visio.Drawing.15" ShapeID="_x0000_s2612" DrawAspect="Content" ObjectID="_1468075728" r:id="rId13">
                  <o:LockedField>false</o:LockedField>
                </o:OLEObject>
              </w:pict>
            </w:r>
            <w:r>
              <w:rPr>
                <w:rFonts w:hint="eastAsia" w:ascii="Times New Roman" w:hAnsi="Times New Roman" w:cs="Times New Roman"/>
                <w:b/>
                <w:bCs/>
                <w:color w:val="auto"/>
                <w:sz w:val="24"/>
                <w:szCs w:val="24"/>
                <w:lang w:val="en-US" w:eastAsia="zh-CN"/>
              </w:rPr>
              <w:t xml:space="preserve">图2-4  </w:t>
            </w:r>
            <w:r>
              <w:rPr>
                <w:rFonts w:hint="eastAsia" w:cs="Times New Roman"/>
                <w:b/>
                <w:bCs/>
                <w:color w:val="auto"/>
                <w:sz w:val="24"/>
                <w:szCs w:val="24"/>
                <w:lang w:val="en-US" w:eastAsia="zh-CN"/>
              </w:rPr>
              <w:t>夹胶</w:t>
            </w:r>
            <w:r>
              <w:rPr>
                <w:rFonts w:hint="eastAsia" w:ascii="Times New Roman" w:hAnsi="Times New Roman" w:cs="Times New Roman"/>
                <w:b/>
                <w:bCs/>
                <w:color w:val="auto"/>
                <w:sz w:val="24"/>
                <w:szCs w:val="24"/>
                <w:lang w:val="en-US" w:eastAsia="zh-CN"/>
              </w:rPr>
              <w:t>玻璃工</w:t>
            </w:r>
            <w:r>
              <w:rPr>
                <w:rFonts w:hint="default" w:ascii="Times New Roman" w:hAnsi="Times New Roman" w:cs="Times New Roman"/>
                <w:b/>
                <w:bCs/>
                <w:color w:val="auto"/>
                <w:sz w:val="24"/>
                <w:szCs w:val="24"/>
              </w:rPr>
              <w:t>艺流程图</w:t>
            </w:r>
          </w:p>
          <w:p w14:paraId="5C261119">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color w:val="auto"/>
                <w:sz w:val="24"/>
                <w:lang w:val="en-US" w:eastAsia="zh-CN"/>
              </w:rPr>
            </w:pPr>
            <w:r>
              <w:rPr>
                <w:rFonts w:hint="eastAsia"/>
                <w:color w:val="auto"/>
                <w:sz w:val="24"/>
                <w:lang w:val="en-US" w:eastAsia="zh-CN"/>
              </w:rPr>
              <w:t>生产工艺流程简述：</w:t>
            </w:r>
          </w:p>
          <w:p w14:paraId="62DE78BB">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lang w:val="en-US" w:eastAsia="zh-CN"/>
              </w:rPr>
            </w:pPr>
            <w:r>
              <w:rPr>
                <w:rFonts w:hint="eastAsia"/>
                <w:color w:val="auto"/>
                <w:sz w:val="24"/>
                <w:lang w:val="en-US" w:eastAsia="zh-CN"/>
              </w:rPr>
              <w:t>铺胶片：钢化玻璃半成品铺上PVB 胶片。</w:t>
            </w:r>
          </w:p>
          <w:p w14:paraId="2DA62E9E">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lang w:val="en-US" w:eastAsia="zh-CN"/>
              </w:rPr>
            </w:pPr>
            <w:r>
              <w:rPr>
                <w:rFonts w:hint="eastAsia"/>
                <w:color w:val="auto"/>
                <w:sz w:val="24"/>
                <w:lang w:val="en-US" w:eastAsia="zh-CN"/>
              </w:rPr>
              <w:t>合片：通过辊压机对铺好PVB 胶片的玻璃进行压合，压合温度120~150</w:t>
            </w:r>
            <w:r>
              <w:rPr>
                <w:rFonts w:hint="default" w:ascii="Times New Roman" w:hAnsi="Times New Roman" w:cs="Times New Roman"/>
                <w:color w:val="auto"/>
                <w:sz w:val="24"/>
                <w:lang w:val="en-US" w:eastAsia="zh-CN"/>
              </w:rPr>
              <w:t>℃</w:t>
            </w:r>
            <w:r>
              <w:rPr>
                <w:rFonts w:hint="eastAsia"/>
                <w:color w:val="auto"/>
                <w:sz w:val="24"/>
                <w:lang w:val="en-US" w:eastAsia="zh-CN"/>
              </w:rPr>
              <w:t>，该过程会产生设备噪声N和压合废气G</w:t>
            </w:r>
            <w:r>
              <w:rPr>
                <w:rFonts w:hint="eastAsia"/>
                <w:color w:val="auto"/>
                <w:sz w:val="24"/>
                <w:vertAlign w:val="subscript"/>
                <w:lang w:val="en-US" w:eastAsia="zh-CN"/>
              </w:rPr>
              <w:t>2-1</w:t>
            </w:r>
            <w:r>
              <w:rPr>
                <w:rFonts w:hint="eastAsia"/>
                <w:color w:val="auto"/>
                <w:sz w:val="24"/>
                <w:lang w:val="en-US" w:eastAsia="zh-CN"/>
              </w:rPr>
              <w:t>。</w:t>
            </w:r>
          </w:p>
          <w:p w14:paraId="3ECD86C8">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加热：高压釜内的制作工艺，是夹层玻璃生产的最后一道工序，为了使 PVB 胶片与玻璃合片更好</w:t>
            </w:r>
            <w:r>
              <w:rPr>
                <w:rFonts w:hint="eastAsia" w:cs="Times New Roman"/>
                <w:color w:val="auto"/>
                <w:sz w:val="24"/>
                <w:lang w:val="en-US" w:eastAsia="zh-CN"/>
              </w:rPr>
              <w:t>地黏结</w:t>
            </w:r>
            <w:r>
              <w:rPr>
                <w:rFonts w:hint="default" w:ascii="Times New Roman" w:hAnsi="Times New Roman" w:cs="Times New Roman"/>
                <w:color w:val="auto"/>
                <w:sz w:val="24"/>
                <w:lang w:val="en-US" w:eastAsia="zh-CN"/>
              </w:rPr>
              <w:t>在一起，还要经过恒温高压处理，才能够使用。恒温高压处理要在高压釜内操作，首先将</w:t>
            </w:r>
            <w:r>
              <w:rPr>
                <w:rFonts w:hint="eastAsia" w:cs="Times New Roman"/>
                <w:color w:val="auto"/>
                <w:sz w:val="24"/>
                <w:lang w:val="en-US" w:eastAsia="zh-CN"/>
              </w:rPr>
              <w:t>黏合在一起</w:t>
            </w:r>
            <w:r>
              <w:rPr>
                <w:rFonts w:hint="default" w:ascii="Times New Roman" w:hAnsi="Times New Roman" w:cs="Times New Roman"/>
                <w:color w:val="auto"/>
                <w:sz w:val="24"/>
                <w:lang w:val="en-US" w:eastAsia="zh-CN"/>
              </w:rPr>
              <w:t>的夹层玻璃的半成品，每片之间进行隔离，放入高压釜专用台架上，并使其牢固，然后紧闭釜门，对釜内加压充气，当釜内气压达到0.75MPa左右时，停止对釜内充气，防止空气从边缘处进入夹层内。釜内温度达到130℃左右时，立即停止加热，并保持这个温度。此时夹层玻璃已经能够</w:t>
            </w:r>
            <w:r>
              <w:rPr>
                <w:rFonts w:hint="eastAsia" w:cs="Times New Roman"/>
                <w:color w:val="auto"/>
                <w:sz w:val="24"/>
                <w:lang w:val="en-US" w:eastAsia="zh-CN"/>
              </w:rPr>
              <w:t>黏合</w:t>
            </w:r>
            <w:r>
              <w:rPr>
                <w:rFonts w:hint="default" w:ascii="Times New Roman" w:hAnsi="Times New Roman" w:cs="Times New Roman"/>
                <w:color w:val="auto"/>
                <w:sz w:val="24"/>
                <w:lang w:val="en-US" w:eastAsia="zh-CN"/>
              </w:rPr>
              <w:t>，对釜内进行二次加压，由于玻璃已经达到</w:t>
            </w:r>
            <w:r>
              <w:rPr>
                <w:rFonts w:hint="eastAsia" w:cs="Times New Roman"/>
                <w:color w:val="auto"/>
                <w:sz w:val="24"/>
                <w:lang w:val="en-US" w:eastAsia="zh-CN"/>
              </w:rPr>
              <w:t>黏合</w:t>
            </w:r>
            <w:r>
              <w:rPr>
                <w:rFonts w:hint="default" w:ascii="Times New Roman" w:hAnsi="Times New Roman" w:cs="Times New Roman"/>
                <w:color w:val="auto"/>
                <w:sz w:val="24"/>
                <w:lang w:val="en-US" w:eastAsia="zh-CN"/>
              </w:rPr>
              <w:t>温度，待压力达到1.2MPa时，停止加压并保持压力平衡，持续经过1h～1.5h以后，降低釜内的温度到50℃，经过3h</w:t>
            </w:r>
            <w:r>
              <w:rPr>
                <w:rFonts w:hint="eastAsia" w:cs="Times New Roman"/>
                <w:color w:val="auto"/>
                <w:sz w:val="24"/>
                <w:lang w:val="en-US" w:eastAsia="zh-CN"/>
              </w:rPr>
              <w:t>～</w:t>
            </w:r>
            <w:r>
              <w:rPr>
                <w:rFonts w:hint="default" w:ascii="Times New Roman" w:hAnsi="Times New Roman" w:cs="Times New Roman"/>
                <w:color w:val="auto"/>
                <w:sz w:val="24"/>
                <w:lang w:val="en-US" w:eastAsia="zh-CN"/>
              </w:rPr>
              <w:t>4h后，开始对釜内进行排气降压，开启釜门推出玻璃，以上过程完全密闭。该过程污染物主要是</w:t>
            </w:r>
            <w:r>
              <w:rPr>
                <w:rFonts w:hint="eastAsia" w:ascii="Times New Roman" w:hAnsi="Times New Roman" w:cs="Times New Roman"/>
                <w:color w:val="auto"/>
                <w:sz w:val="24"/>
                <w:lang w:val="en-US" w:eastAsia="zh-CN"/>
              </w:rPr>
              <w:t>高压釜</w:t>
            </w:r>
            <w:r>
              <w:rPr>
                <w:rFonts w:hint="default" w:ascii="Times New Roman" w:hAnsi="Times New Roman" w:cs="Times New Roman"/>
                <w:color w:val="auto"/>
                <w:sz w:val="24"/>
                <w:lang w:val="en-US" w:eastAsia="zh-CN"/>
              </w:rPr>
              <w:t>运行产生的噪声N和PVB 胶片加热挥发出的少量有机废气G</w:t>
            </w:r>
            <w:r>
              <w:rPr>
                <w:rFonts w:hint="default" w:ascii="Times New Roman" w:hAnsi="Times New Roman" w:cs="Times New Roman"/>
                <w:color w:val="auto"/>
                <w:sz w:val="24"/>
                <w:vertAlign w:val="subscript"/>
                <w:lang w:val="en-US" w:eastAsia="zh-CN"/>
              </w:rPr>
              <w:t>2-2</w:t>
            </w:r>
            <w:r>
              <w:rPr>
                <w:rFonts w:hint="default" w:ascii="Times New Roman" w:hAnsi="Times New Roman" w:cs="Times New Roman"/>
                <w:color w:val="auto"/>
                <w:sz w:val="24"/>
                <w:lang w:val="en-US" w:eastAsia="zh-CN"/>
              </w:rPr>
              <w:t>。</w:t>
            </w:r>
          </w:p>
          <w:p w14:paraId="7DA9CE5A">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cs="宋体"/>
                <w:b w:val="0"/>
                <w:bCs w:val="0"/>
                <w:color w:val="auto"/>
                <w:kern w:val="2"/>
                <w:sz w:val="24"/>
                <w:szCs w:val="24"/>
                <w:lang w:val="en-US" w:eastAsia="zh-CN"/>
              </w:rPr>
            </w:pPr>
            <w:r>
              <w:rPr>
                <w:rFonts w:hint="eastAsia" w:ascii="Times New Roman" w:hAnsi="Times New Roman" w:cs="宋体"/>
                <w:b w:val="0"/>
                <w:bCs w:val="0"/>
                <w:color w:val="auto"/>
                <w:kern w:val="2"/>
                <w:sz w:val="24"/>
                <w:szCs w:val="24"/>
                <w:lang w:val="en-US" w:eastAsia="zh-CN"/>
              </w:rPr>
              <w:t>检验：</w:t>
            </w:r>
            <w:r>
              <w:rPr>
                <w:rFonts w:hint="eastAsia" w:cs="宋体"/>
                <w:b w:val="0"/>
                <w:bCs w:val="0"/>
                <w:color w:val="auto"/>
                <w:kern w:val="2"/>
                <w:sz w:val="24"/>
                <w:szCs w:val="24"/>
                <w:lang w:val="en-US" w:eastAsia="zh-CN"/>
              </w:rPr>
              <w:t>通过人工方式检验玻璃是否存在损坏，</w:t>
            </w:r>
            <w:r>
              <w:rPr>
                <w:rFonts w:hint="eastAsia" w:ascii="Times New Roman" w:hAnsi="Times New Roman" w:cs="宋体"/>
                <w:b w:val="0"/>
                <w:bCs w:val="0"/>
                <w:color w:val="auto"/>
                <w:kern w:val="2"/>
                <w:sz w:val="24"/>
                <w:szCs w:val="24"/>
                <w:lang w:val="en-US" w:eastAsia="zh-CN"/>
              </w:rPr>
              <w:t>检验后合格品入库待售</w:t>
            </w:r>
            <w:r>
              <w:rPr>
                <w:rFonts w:hint="eastAsia" w:cs="宋体"/>
                <w:b w:val="0"/>
                <w:bCs w:val="0"/>
                <w:color w:val="auto"/>
                <w:kern w:val="2"/>
                <w:sz w:val="24"/>
                <w:szCs w:val="24"/>
                <w:lang w:val="en-US" w:eastAsia="zh-CN"/>
              </w:rPr>
              <w:t>，检验不合格品作为一般固废外售，此过程产生不合格品S</w:t>
            </w:r>
            <w:r>
              <w:rPr>
                <w:rFonts w:hint="eastAsia" w:cs="宋体"/>
                <w:b w:val="0"/>
                <w:bCs w:val="0"/>
                <w:color w:val="auto"/>
                <w:kern w:val="2"/>
                <w:sz w:val="24"/>
                <w:szCs w:val="24"/>
                <w:vertAlign w:val="subscript"/>
                <w:lang w:val="en-US" w:eastAsia="zh-CN"/>
              </w:rPr>
              <w:t>3-1</w:t>
            </w:r>
            <w:r>
              <w:rPr>
                <w:rFonts w:hint="eastAsia" w:cs="宋体"/>
                <w:b w:val="0"/>
                <w:bCs w:val="0"/>
                <w:color w:val="auto"/>
                <w:kern w:val="2"/>
                <w:sz w:val="24"/>
                <w:szCs w:val="24"/>
                <w:lang w:val="en-US" w:eastAsia="zh-CN"/>
              </w:rPr>
              <w:t>。</w:t>
            </w:r>
          </w:p>
          <w:p w14:paraId="357A2E35">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color w:val="auto"/>
              </w:rPr>
            </w:pPr>
            <w:r>
              <w:rPr>
                <w:rFonts w:hint="eastAsia"/>
                <w:color w:val="auto"/>
                <w:lang w:val="en-US" w:eastAsia="zh-CN"/>
              </w:rPr>
              <w:t>4</w:t>
            </w:r>
            <w:r>
              <w:rPr>
                <w:rFonts w:hint="eastAsia"/>
                <w:color w:val="auto"/>
              </w:rPr>
              <w:t>、产排污环节</w:t>
            </w:r>
          </w:p>
          <w:p w14:paraId="74F554E5">
            <w:pPr>
              <w:pStyle w:val="6"/>
              <w:keepNext w:val="0"/>
              <w:keepLines w:val="0"/>
              <w:pageBreakBefore w:val="0"/>
              <w:kinsoku/>
              <w:wordWrap/>
              <w:overflowPunct/>
              <w:topLinePunct w:val="0"/>
              <w:bidi w:val="0"/>
              <w:snapToGrid/>
              <w:spacing w:after="0" w:line="360" w:lineRule="auto"/>
              <w:ind w:left="0" w:leftChars="0" w:firstLine="480"/>
              <w:textAlignment w:val="auto"/>
              <w:rPr>
                <w:rFonts w:hint="eastAsia"/>
                <w:b/>
                <w:bCs/>
                <w:color w:val="auto"/>
                <w:sz w:val="21"/>
                <w:szCs w:val="21"/>
              </w:rPr>
            </w:pPr>
            <w:r>
              <w:rPr>
                <w:rFonts w:hint="eastAsia"/>
                <w:color w:val="auto"/>
              </w:rPr>
              <w:t>经分析，本项目</w:t>
            </w:r>
            <w:r>
              <w:rPr>
                <w:rFonts w:hint="eastAsia"/>
                <w:color w:val="auto"/>
                <w:lang w:eastAsia="zh-CN"/>
              </w:rPr>
              <w:t>的生</w:t>
            </w:r>
            <w:r>
              <w:rPr>
                <w:rFonts w:hint="eastAsia"/>
                <w:color w:val="auto"/>
              </w:rPr>
              <w:t>产排污环节信息详见</w:t>
            </w:r>
            <w:r>
              <w:rPr>
                <w:rFonts w:hint="eastAsia"/>
                <w:color w:val="auto"/>
                <w:lang w:val="en-US" w:eastAsia="zh-CN"/>
              </w:rPr>
              <w:t>下表</w:t>
            </w:r>
            <w:r>
              <w:rPr>
                <w:rFonts w:hint="eastAsia"/>
                <w:color w:val="auto"/>
              </w:rPr>
              <w:t>。</w:t>
            </w:r>
          </w:p>
          <w:p w14:paraId="67D22F15">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r>
              <w:rPr>
                <w:rFonts w:hint="eastAsia"/>
                <w:b/>
                <w:bCs/>
                <w:color w:val="auto"/>
                <w:sz w:val="21"/>
                <w:szCs w:val="21"/>
              </w:rPr>
              <w:t>表2-</w:t>
            </w:r>
            <w:r>
              <w:rPr>
                <w:rFonts w:hint="eastAsia"/>
                <w:b/>
                <w:bCs/>
                <w:color w:val="auto"/>
                <w:sz w:val="21"/>
                <w:szCs w:val="21"/>
                <w:lang w:val="en-US" w:eastAsia="zh-CN"/>
              </w:rPr>
              <w:t xml:space="preserve">7  </w:t>
            </w:r>
            <w:r>
              <w:rPr>
                <w:rFonts w:hint="eastAsia"/>
                <w:b/>
                <w:bCs/>
                <w:color w:val="auto"/>
                <w:sz w:val="21"/>
                <w:szCs w:val="21"/>
              </w:rPr>
              <w:t>项目产排污环节信息一览表</w:t>
            </w:r>
          </w:p>
          <w:tbl>
            <w:tblPr>
              <w:tblStyle w:val="23"/>
              <w:tblW w:w="796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05"/>
              <w:gridCol w:w="1346"/>
              <w:gridCol w:w="1801"/>
              <w:gridCol w:w="1826"/>
              <w:gridCol w:w="1040"/>
            </w:tblGrid>
            <w:tr w14:paraId="48FC15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8" w:type="dxa"/>
                  <w:noWrap w:val="0"/>
                  <w:vAlign w:val="center"/>
                </w:tcPr>
                <w:p w14:paraId="2DE27CD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序号</w:t>
                  </w:r>
                </w:p>
              </w:tc>
              <w:tc>
                <w:tcPr>
                  <w:tcW w:w="1305" w:type="dxa"/>
                  <w:noWrap w:val="0"/>
                  <w:vAlign w:val="center"/>
                </w:tcPr>
                <w:p w14:paraId="5F419C15">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污染物类别</w:t>
                  </w:r>
                </w:p>
              </w:tc>
              <w:tc>
                <w:tcPr>
                  <w:tcW w:w="1346" w:type="dxa"/>
                  <w:noWrap w:val="0"/>
                  <w:vAlign w:val="center"/>
                </w:tcPr>
                <w:p w14:paraId="7203CE2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污染物名称</w:t>
                  </w:r>
                </w:p>
              </w:tc>
              <w:tc>
                <w:tcPr>
                  <w:tcW w:w="1801" w:type="dxa"/>
                  <w:noWrap w:val="0"/>
                  <w:vAlign w:val="center"/>
                </w:tcPr>
                <w:p w14:paraId="380F4A69">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产排污环节</w:t>
                  </w:r>
                </w:p>
              </w:tc>
              <w:tc>
                <w:tcPr>
                  <w:tcW w:w="1826" w:type="dxa"/>
                  <w:noWrap w:val="0"/>
                  <w:vAlign w:val="center"/>
                </w:tcPr>
                <w:p w14:paraId="5EA9DF3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处理措施</w:t>
                  </w:r>
                </w:p>
              </w:tc>
              <w:tc>
                <w:tcPr>
                  <w:tcW w:w="1040" w:type="dxa"/>
                  <w:noWrap w:val="0"/>
                  <w:vAlign w:val="center"/>
                </w:tcPr>
                <w:p w14:paraId="05D61A8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备注</w:t>
                  </w:r>
                </w:p>
              </w:tc>
            </w:tr>
            <w:tr w14:paraId="01B587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vMerge w:val="restart"/>
                  <w:noWrap w:val="0"/>
                  <w:vAlign w:val="center"/>
                </w:tcPr>
                <w:p w14:paraId="414A2AC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1</w:t>
                  </w:r>
                </w:p>
              </w:tc>
              <w:tc>
                <w:tcPr>
                  <w:tcW w:w="1305" w:type="dxa"/>
                  <w:vMerge w:val="restart"/>
                  <w:noWrap w:val="0"/>
                  <w:vAlign w:val="center"/>
                </w:tcPr>
                <w:p w14:paraId="1FB10DE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废气</w:t>
                  </w:r>
                </w:p>
              </w:tc>
              <w:tc>
                <w:tcPr>
                  <w:tcW w:w="1346" w:type="dxa"/>
                  <w:noWrap w:val="0"/>
                  <w:vAlign w:val="center"/>
                </w:tcPr>
                <w:p w14:paraId="4ACDC842">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kern w:val="0"/>
                      <w:sz w:val="21"/>
                      <w:szCs w:val="21"/>
                      <w:lang w:val="en-US" w:eastAsia="zh-CN" w:bidi="ar-SA"/>
                    </w:rPr>
                  </w:pPr>
                  <w:r>
                    <w:rPr>
                      <w:rFonts w:hint="eastAsia"/>
                      <w:color w:val="auto"/>
                      <w:sz w:val="21"/>
                      <w:szCs w:val="21"/>
                      <w:lang w:val="en-US" w:eastAsia="zh-CN"/>
                    </w:rPr>
                    <w:t>非甲烷总烃</w:t>
                  </w:r>
                </w:p>
              </w:tc>
              <w:tc>
                <w:tcPr>
                  <w:tcW w:w="1801" w:type="dxa"/>
                  <w:noWrap w:val="0"/>
                  <w:vAlign w:val="center"/>
                </w:tcPr>
                <w:p w14:paraId="7A20117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kern w:val="0"/>
                      <w:sz w:val="21"/>
                      <w:szCs w:val="21"/>
                      <w:lang w:val="en-US" w:eastAsia="zh-CN" w:bidi="ar-SA"/>
                    </w:rPr>
                  </w:pPr>
                  <w:r>
                    <w:rPr>
                      <w:rFonts w:hint="eastAsia"/>
                      <w:color w:val="auto"/>
                      <w:sz w:val="21"/>
                      <w:szCs w:val="21"/>
                      <w:lang w:val="en-US" w:eastAsia="zh-CN"/>
                    </w:rPr>
                    <w:t>灌装合胶、密封</w:t>
                  </w:r>
                </w:p>
              </w:tc>
              <w:tc>
                <w:tcPr>
                  <w:tcW w:w="1826" w:type="dxa"/>
                  <w:vMerge w:val="restart"/>
                  <w:noWrap w:val="0"/>
                  <w:vAlign w:val="center"/>
                </w:tcPr>
                <w:p w14:paraId="54A453A2">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kern w:val="0"/>
                      <w:sz w:val="21"/>
                      <w:szCs w:val="21"/>
                      <w:lang w:val="en-US" w:eastAsia="zh-CN" w:bidi="ar-SA"/>
                    </w:rPr>
                  </w:pPr>
                  <w:r>
                    <w:rPr>
                      <w:rFonts w:hint="eastAsia"/>
                      <w:color w:val="auto"/>
                      <w:sz w:val="21"/>
                      <w:szCs w:val="21"/>
                    </w:rPr>
                    <w:t>集气罩+二级活性炭吸附装置</w:t>
                  </w:r>
                  <w:r>
                    <w:rPr>
                      <w:rFonts w:hint="eastAsia"/>
                      <w:color w:val="auto"/>
                      <w:sz w:val="21"/>
                      <w:szCs w:val="21"/>
                      <w:lang w:val="en-US" w:eastAsia="zh-CN"/>
                    </w:rPr>
                    <w:t>+</w:t>
                  </w:r>
                  <w:r>
                    <w:rPr>
                      <w:rFonts w:hint="eastAsia"/>
                      <w:color w:val="auto"/>
                      <w:sz w:val="21"/>
                      <w:szCs w:val="21"/>
                    </w:rPr>
                    <w:t>15m排气筒</w:t>
                  </w:r>
                  <w:r>
                    <w:rPr>
                      <w:rFonts w:hint="eastAsia"/>
                      <w:color w:val="auto"/>
                      <w:sz w:val="21"/>
                      <w:szCs w:val="21"/>
                      <w:lang w:val="en-US" w:eastAsia="zh-CN"/>
                    </w:rPr>
                    <w:t>DA001</w:t>
                  </w:r>
                  <w:r>
                    <w:rPr>
                      <w:rFonts w:hint="eastAsia"/>
                      <w:color w:val="auto"/>
                      <w:sz w:val="21"/>
                      <w:szCs w:val="21"/>
                    </w:rPr>
                    <w:t>排放</w:t>
                  </w:r>
                </w:p>
              </w:tc>
              <w:tc>
                <w:tcPr>
                  <w:tcW w:w="1040" w:type="dxa"/>
                  <w:noWrap w:val="0"/>
                  <w:vAlign w:val="center"/>
                </w:tcPr>
                <w:p w14:paraId="7D5AA8CF">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kern w:val="0"/>
                      <w:sz w:val="21"/>
                      <w:szCs w:val="20"/>
                      <w:lang w:val="en-US" w:eastAsia="zh-CN" w:bidi="ar-SA"/>
                    </w:rPr>
                  </w:pPr>
                  <w:r>
                    <w:rPr>
                      <w:rFonts w:hint="eastAsia"/>
                      <w:color w:val="auto"/>
                      <w:sz w:val="21"/>
                      <w:lang w:val="en-US" w:eastAsia="zh-CN"/>
                    </w:rPr>
                    <w:t>G</w:t>
                  </w:r>
                  <w:r>
                    <w:rPr>
                      <w:rFonts w:hint="eastAsia"/>
                      <w:color w:val="auto"/>
                      <w:sz w:val="21"/>
                      <w:vertAlign w:val="subscript"/>
                      <w:lang w:val="en-US" w:eastAsia="zh-CN"/>
                    </w:rPr>
                    <w:t>1-1</w:t>
                  </w:r>
                  <w:r>
                    <w:rPr>
                      <w:rFonts w:hint="eastAsia"/>
                      <w:color w:val="auto"/>
                      <w:sz w:val="21"/>
                      <w:vertAlign w:val="baseline"/>
                      <w:lang w:val="en-US" w:eastAsia="zh-CN"/>
                    </w:rPr>
                    <w:t>、G</w:t>
                  </w:r>
                  <w:r>
                    <w:rPr>
                      <w:rFonts w:hint="eastAsia"/>
                      <w:color w:val="auto"/>
                      <w:sz w:val="21"/>
                      <w:vertAlign w:val="subscript"/>
                      <w:lang w:val="en-US" w:eastAsia="zh-CN"/>
                    </w:rPr>
                    <w:t>1-2</w:t>
                  </w:r>
                </w:p>
              </w:tc>
            </w:tr>
            <w:tr w14:paraId="0113CA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vMerge w:val="continue"/>
                  <w:noWrap w:val="0"/>
                  <w:vAlign w:val="center"/>
                </w:tcPr>
                <w:p w14:paraId="4329C0A9">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05" w:type="dxa"/>
                  <w:vMerge w:val="continue"/>
                  <w:noWrap w:val="0"/>
                  <w:vAlign w:val="center"/>
                </w:tcPr>
                <w:p w14:paraId="1825990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46" w:type="dxa"/>
                  <w:noWrap w:val="0"/>
                  <w:vAlign w:val="center"/>
                </w:tcPr>
                <w:p w14:paraId="6AC007C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非甲烷总烃</w:t>
                  </w:r>
                </w:p>
              </w:tc>
              <w:tc>
                <w:tcPr>
                  <w:tcW w:w="1801" w:type="dxa"/>
                  <w:noWrap w:val="0"/>
                  <w:vAlign w:val="center"/>
                </w:tcPr>
                <w:p w14:paraId="3AB6C69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合片、加热</w:t>
                  </w:r>
                </w:p>
              </w:tc>
              <w:tc>
                <w:tcPr>
                  <w:tcW w:w="1826" w:type="dxa"/>
                  <w:vMerge w:val="continue"/>
                  <w:noWrap w:val="0"/>
                  <w:vAlign w:val="center"/>
                </w:tcPr>
                <w:p w14:paraId="080AA60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szCs w:val="21"/>
                    </w:rPr>
                  </w:pPr>
                </w:p>
              </w:tc>
              <w:tc>
                <w:tcPr>
                  <w:tcW w:w="1040" w:type="dxa"/>
                  <w:noWrap w:val="0"/>
                  <w:vAlign w:val="center"/>
                </w:tcPr>
                <w:p w14:paraId="681694C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rPr>
                  </w:pPr>
                  <w:r>
                    <w:rPr>
                      <w:rFonts w:hint="eastAsia"/>
                      <w:color w:val="auto"/>
                      <w:sz w:val="21"/>
                      <w:lang w:val="en-US" w:eastAsia="zh-CN"/>
                    </w:rPr>
                    <w:t>G</w:t>
                  </w:r>
                  <w:r>
                    <w:rPr>
                      <w:rFonts w:hint="eastAsia"/>
                      <w:color w:val="auto"/>
                      <w:sz w:val="21"/>
                      <w:vertAlign w:val="subscript"/>
                      <w:lang w:val="en-US" w:eastAsia="zh-CN"/>
                    </w:rPr>
                    <w:t>2-1</w:t>
                  </w:r>
                  <w:r>
                    <w:rPr>
                      <w:rFonts w:hint="eastAsia"/>
                      <w:color w:val="auto"/>
                      <w:sz w:val="21"/>
                      <w:vertAlign w:val="baseline"/>
                      <w:lang w:val="en-US" w:eastAsia="zh-CN"/>
                    </w:rPr>
                    <w:t>、G</w:t>
                  </w:r>
                  <w:r>
                    <w:rPr>
                      <w:rFonts w:hint="eastAsia"/>
                      <w:color w:val="auto"/>
                      <w:sz w:val="21"/>
                      <w:vertAlign w:val="subscript"/>
                      <w:lang w:val="en-US" w:eastAsia="zh-CN"/>
                    </w:rPr>
                    <w:t>2-2</w:t>
                  </w:r>
                </w:p>
              </w:tc>
            </w:tr>
            <w:tr w14:paraId="6C0A9F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48" w:type="dxa"/>
                  <w:noWrap w:val="0"/>
                  <w:vAlign w:val="center"/>
                </w:tcPr>
                <w:p w14:paraId="35C60E6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2</w:t>
                  </w:r>
                </w:p>
              </w:tc>
              <w:tc>
                <w:tcPr>
                  <w:tcW w:w="1305" w:type="dxa"/>
                  <w:noWrap w:val="0"/>
                  <w:vAlign w:val="center"/>
                </w:tcPr>
                <w:p w14:paraId="1ED77ED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废水</w:t>
                  </w:r>
                </w:p>
              </w:tc>
              <w:tc>
                <w:tcPr>
                  <w:tcW w:w="1346" w:type="dxa"/>
                  <w:noWrap w:val="0"/>
                  <w:vAlign w:val="center"/>
                </w:tcPr>
                <w:p w14:paraId="7C1D04D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rPr>
                    <w:t>生活污水</w:t>
                  </w:r>
                </w:p>
              </w:tc>
              <w:tc>
                <w:tcPr>
                  <w:tcW w:w="1801" w:type="dxa"/>
                  <w:noWrap w:val="0"/>
                  <w:vAlign w:val="center"/>
                </w:tcPr>
                <w:p w14:paraId="3DADE5E5">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auto"/>
                      <w:sz w:val="21"/>
                      <w:lang w:eastAsia="zh-CN"/>
                    </w:rPr>
                  </w:pPr>
                  <w:r>
                    <w:rPr>
                      <w:rFonts w:hint="eastAsia"/>
                      <w:color w:val="auto"/>
                      <w:sz w:val="21"/>
                    </w:rPr>
                    <w:t>员工日常生活工作</w:t>
                  </w:r>
                </w:p>
              </w:tc>
              <w:tc>
                <w:tcPr>
                  <w:tcW w:w="1826" w:type="dxa"/>
                  <w:noWrap w:val="0"/>
                  <w:vAlign w:val="center"/>
                </w:tcPr>
                <w:p w14:paraId="381D1FA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lang w:val="en-US" w:eastAsia="zh-CN"/>
                    </w:rPr>
                    <w:t>经</w:t>
                  </w:r>
                  <w:r>
                    <w:rPr>
                      <w:rFonts w:hint="eastAsia"/>
                      <w:color w:val="auto"/>
                      <w:sz w:val="21"/>
                    </w:rPr>
                    <w:t>化粪池预处理后</w:t>
                  </w:r>
                  <w:r>
                    <w:rPr>
                      <w:rFonts w:hint="eastAsia"/>
                      <w:color w:val="auto"/>
                      <w:sz w:val="21"/>
                      <w:lang w:val="en-US" w:eastAsia="zh-CN"/>
                    </w:rPr>
                    <w:t>接管至涟水经济开发区西区污水处理厂</w:t>
                  </w:r>
                </w:p>
              </w:tc>
              <w:tc>
                <w:tcPr>
                  <w:tcW w:w="1040" w:type="dxa"/>
                  <w:noWrap w:val="0"/>
                  <w:vAlign w:val="center"/>
                </w:tcPr>
                <w:p w14:paraId="02866475">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r>
                    <w:rPr>
                      <w:rFonts w:hint="eastAsia"/>
                      <w:color w:val="auto"/>
                      <w:sz w:val="21"/>
                    </w:rPr>
                    <w:t>W</w:t>
                  </w:r>
                </w:p>
              </w:tc>
            </w:tr>
            <w:tr w14:paraId="649AE3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48" w:type="dxa"/>
                  <w:noWrap w:val="0"/>
                  <w:vAlign w:val="center"/>
                </w:tcPr>
                <w:p w14:paraId="79E705A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3</w:t>
                  </w:r>
                </w:p>
              </w:tc>
              <w:tc>
                <w:tcPr>
                  <w:tcW w:w="1305" w:type="dxa"/>
                  <w:noWrap w:val="0"/>
                  <w:vAlign w:val="center"/>
                </w:tcPr>
                <w:p w14:paraId="3F26853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噪声</w:t>
                  </w:r>
                </w:p>
              </w:tc>
              <w:tc>
                <w:tcPr>
                  <w:tcW w:w="1346" w:type="dxa"/>
                  <w:noWrap w:val="0"/>
                  <w:vAlign w:val="center"/>
                </w:tcPr>
                <w:p w14:paraId="4C55980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设备噪声</w:t>
                  </w:r>
                </w:p>
              </w:tc>
              <w:tc>
                <w:tcPr>
                  <w:tcW w:w="1801" w:type="dxa"/>
                  <w:noWrap w:val="0"/>
                  <w:vAlign w:val="center"/>
                </w:tcPr>
                <w:p w14:paraId="76E51C8F">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生产设备运行过程</w:t>
                  </w:r>
                </w:p>
              </w:tc>
              <w:tc>
                <w:tcPr>
                  <w:tcW w:w="1826" w:type="dxa"/>
                  <w:noWrap w:val="0"/>
                  <w:vAlign w:val="center"/>
                </w:tcPr>
                <w:p w14:paraId="576834B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低噪声设备、厂房隔声、距离衰减、合理布局</w:t>
                  </w:r>
                </w:p>
              </w:tc>
              <w:tc>
                <w:tcPr>
                  <w:tcW w:w="1040" w:type="dxa"/>
                  <w:noWrap w:val="0"/>
                  <w:vAlign w:val="center"/>
                </w:tcPr>
                <w:p w14:paraId="6221B71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N</w:t>
                  </w:r>
                </w:p>
              </w:tc>
            </w:tr>
            <w:tr w14:paraId="532D24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648" w:type="dxa"/>
                  <w:vMerge w:val="restart"/>
                  <w:noWrap w:val="0"/>
                  <w:vAlign w:val="center"/>
                </w:tcPr>
                <w:p w14:paraId="27DCAF7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lang w:val="en-US" w:eastAsia="zh-CN"/>
                    </w:rPr>
                    <w:t>4</w:t>
                  </w:r>
                </w:p>
              </w:tc>
              <w:tc>
                <w:tcPr>
                  <w:tcW w:w="1305" w:type="dxa"/>
                  <w:vMerge w:val="restart"/>
                  <w:noWrap w:val="0"/>
                  <w:vAlign w:val="center"/>
                </w:tcPr>
                <w:p w14:paraId="5EC7B09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固废</w:t>
                  </w:r>
                </w:p>
              </w:tc>
              <w:tc>
                <w:tcPr>
                  <w:tcW w:w="1346" w:type="dxa"/>
                  <w:noWrap w:val="0"/>
                  <w:vAlign w:val="center"/>
                </w:tcPr>
                <w:p w14:paraId="38972BB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kern w:val="0"/>
                      <w:sz w:val="21"/>
                      <w:szCs w:val="20"/>
                      <w:lang w:val="en-US" w:eastAsia="zh-CN" w:bidi="ar-SA"/>
                    </w:rPr>
                  </w:pPr>
                  <w:r>
                    <w:rPr>
                      <w:rFonts w:hint="eastAsia"/>
                      <w:color w:val="auto"/>
                      <w:sz w:val="21"/>
                      <w:lang w:val="en-US" w:eastAsia="zh-CN"/>
                    </w:rPr>
                    <w:t>玻璃边角料</w:t>
                  </w:r>
                </w:p>
              </w:tc>
              <w:tc>
                <w:tcPr>
                  <w:tcW w:w="1801" w:type="dxa"/>
                  <w:noWrap w:val="0"/>
                  <w:vAlign w:val="center"/>
                </w:tcPr>
                <w:p w14:paraId="2DBE8B49">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kern w:val="0"/>
                      <w:sz w:val="21"/>
                      <w:szCs w:val="20"/>
                      <w:lang w:val="en-US" w:eastAsia="zh-CN" w:bidi="ar-SA"/>
                    </w:rPr>
                  </w:pPr>
                  <w:r>
                    <w:rPr>
                      <w:rFonts w:hint="eastAsia"/>
                      <w:color w:val="auto"/>
                      <w:sz w:val="21"/>
                      <w:lang w:val="en-US" w:eastAsia="zh-CN"/>
                    </w:rPr>
                    <w:t>切割、钻孔、开挖、钢化</w:t>
                  </w:r>
                </w:p>
              </w:tc>
              <w:tc>
                <w:tcPr>
                  <w:tcW w:w="1826" w:type="dxa"/>
                  <w:vMerge w:val="restart"/>
                  <w:noWrap w:val="0"/>
                  <w:vAlign w:val="center"/>
                </w:tcPr>
                <w:p w14:paraId="2B141E0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kern w:val="0"/>
                      <w:sz w:val="21"/>
                      <w:szCs w:val="20"/>
                      <w:lang w:val="en-US" w:eastAsia="zh-CN" w:bidi="ar-SA"/>
                    </w:rPr>
                  </w:pPr>
                  <w:r>
                    <w:rPr>
                      <w:rFonts w:hint="eastAsia"/>
                      <w:color w:val="auto"/>
                      <w:sz w:val="21"/>
                    </w:rPr>
                    <w:t>统一收集后外售给废旧资源回收公司利用</w:t>
                  </w:r>
                </w:p>
              </w:tc>
              <w:tc>
                <w:tcPr>
                  <w:tcW w:w="1040" w:type="dxa"/>
                  <w:noWrap w:val="0"/>
                  <w:vAlign w:val="center"/>
                </w:tcPr>
                <w:p w14:paraId="089AFAA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color w:val="auto"/>
                      <w:kern w:val="0"/>
                      <w:sz w:val="21"/>
                      <w:szCs w:val="20"/>
                      <w:lang w:val="en-US" w:eastAsia="zh-CN" w:bidi="ar-SA"/>
                    </w:rPr>
                  </w:pPr>
                  <w:r>
                    <w:rPr>
                      <w:rFonts w:hint="eastAsia"/>
                      <w:color w:val="auto"/>
                      <w:sz w:val="21"/>
                      <w:lang w:val="en-US" w:eastAsia="zh-CN"/>
                    </w:rPr>
                    <w:t>S</w:t>
                  </w:r>
                  <w:r>
                    <w:rPr>
                      <w:rFonts w:hint="eastAsia"/>
                      <w:color w:val="auto"/>
                      <w:sz w:val="21"/>
                      <w:vertAlign w:val="subscript"/>
                      <w:lang w:val="en-US" w:eastAsia="zh-CN"/>
                    </w:rPr>
                    <w:t>1-1</w:t>
                  </w:r>
                  <w:r>
                    <w:rPr>
                      <w:rFonts w:hint="eastAsia"/>
                      <w:color w:val="auto"/>
                      <w:sz w:val="21"/>
                      <w:lang w:val="en-US" w:eastAsia="zh-CN"/>
                    </w:rPr>
                    <w:t>、S</w:t>
                  </w:r>
                  <w:r>
                    <w:rPr>
                      <w:rFonts w:hint="eastAsia"/>
                      <w:color w:val="auto"/>
                      <w:sz w:val="21"/>
                      <w:vertAlign w:val="subscript"/>
                      <w:lang w:val="en-US" w:eastAsia="zh-CN"/>
                    </w:rPr>
                    <w:t>1-2</w:t>
                  </w:r>
                  <w:r>
                    <w:rPr>
                      <w:rFonts w:hint="eastAsia"/>
                      <w:color w:val="auto"/>
                      <w:sz w:val="21"/>
                      <w:lang w:val="en-US" w:eastAsia="zh-CN"/>
                    </w:rPr>
                    <w:t>、S</w:t>
                  </w:r>
                  <w:r>
                    <w:rPr>
                      <w:rFonts w:hint="eastAsia"/>
                      <w:color w:val="auto"/>
                      <w:sz w:val="21"/>
                      <w:vertAlign w:val="subscript"/>
                      <w:lang w:val="en-US" w:eastAsia="zh-CN"/>
                    </w:rPr>
                    <w:t>1-4</w:t>
                  </w:r>
                  <w:r>
                    <w:rPr>
                      <w:rFonts w:hint="eastAsia"/>
                      <w:color w:val="auto"/>
                      <w:sz w:val="21"/>
                      <w:lang w:val="en-US" w:eastAsia="zh-CN"/>
                    </w:rPr>
                    <w:t>、S</w:t>
                  </w:r>
                  <w:r>
                    <w:rPr>
                      <w:rFonts w:hint="eastAsia"/>
                      <w:color w:val="auto"/>
                      <w:sz w:val="21"/>
                      <w:vertAlign w:val="subscript"/>
                      <w:lang w:val="en-US" w:eastAsia="zh-CN"/>
                    </w:rPr>
                    <w:t>1-5</w:t>
                  </w:r>
                </w:p>
              </w:tc>
            </w:tr>
            <w:tr w14:paraId="4559B6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648" w:type="dxa"/>
                  <w:vMerge w:val="continue"/>
                  <w:noWrap w:val="0"/>
                  <w:vAlign w:val="center"/>
                </w:tcPr>
                <w:p w14:paraId="380E9BD4">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p>
              </w:tc>
              <w:tc>
                <w:tcPr>
                  <w:tcW w:w="1305" w:type="dxa"/>
                  <w:vMerge w:val="continue"/>
                  <w:noWrap w:val="0"/>
                  <w:vAlign w:val="center"/>
                </w:tcPr>
                <w:p w14:paraId="5D7DFBB5">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p>
              </w:tc>
              <w:tc>
                <w:tcPr>
                  <w:tcW w:w="1346" w:type="dxa"/>
                  <w:shd w:val="clear" w:color="auto" w:fill="auto"/>
                  <w:noWrap w:val="0"/>
                  <w:vAlign w:val="center"/>
                </w:tcPr>
                <w:p w14:paraId="7731B2C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color w:val="auto"/>
                      <w:kern w:val="0"/>
                      <w:sz w:val="21"/>
                      <w:szCs w:val="20"/>
                      <w:lang w:val="en-US" w:eastAsia="zh-CN" w:bidi="ar-SA"/>
                    </w:rPr>
                  </w:pPr>
                  <w:r>
                    <w:rPr>
                      <w:rFonts w:hint="eastAsia"/>
                      <w:color w:val="auto"/>
                      <w:sz w:val="21"/>
                      <w:lang w:val="en-US" w:eastAsia="zh-CN"/>
                    </w:rPr>
                    <w:t>不合格品</w:t>
                  </w:r>
                </w:p>
              </w:tc>
              <w:tc>
                <w:tcPr>
                  <w:tcW w:w="1801" w:type="dxa"/>
                  <w:shd w:val="clear" w:color="auto" w:fill="auto"/>
                  <w:noWrap w:val="0"/>
                  <w:vAlign w:val="center"/>
                </w:tcPr>
                <w:p w14:paraId="4930743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color w:val="auto"/>
                      <w:kern w:val="0"/>
                      <w:sz w:val="21"/>
                      <w:szCs w:val="20"/>
                      <w:lang w:val="en-US" w:eastAsia="zh-CN" w:bidi="ar-SA"/>
                    </w:rPr>
                  </w:pPr>
                  <w:r>
                    <w:rPr>
                      <w:rFonts w:hint="eastAsia"/>
                      <w:color w:val="auto"/>
                      <w:sz w:val="21"/>
                      <w:lang w:val="en-US" w:eastAsia="zh-CN"/>
                    </w:rPr>
                    <w:t>检验</w:t>
                  </w:r>
                </w:p>
              </w:tc>
              <w:tc>
                <w:tcPr>
                  <w:tcW w:w="1826" w:type="dxa"/>
                  <w:vMerge w:val="continue"/>
                  <w:noWrap w:val="0"/>
                  <w:vAlign w:val="center"/>
                </w:tcPr>
                <w:p w14:paraId="5403046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040" w:type="dxa"/>
                  <w:noWrap w:val="0"/>
                  <w:vAlign w:val="center"/>
                </w:tcPr>
                <w:p w14:paraId="01536532">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rPr>
                  </w:pPr>
                  <w:r>
                    <w:rPr>
                      <w:rFonts w:hint="eastAsia"/>
                      <w:color w:val="auto"/>
                      <w:sz w:val="21"/>
                      <w:lang w:val="en-US" w:eastAsia="zh-CN"/>
                    </w:rPr>
                    <w:t>S</w:t>
                  </w:r>
                  <w:r>
                    <w:rPr>
                      <w:rFonts w:hint="eastAsia"/>
                      <w:color w:val="auto"/>
                      <w:sz w:val="21"/>
                      <w:vertAlign w:val="subscript"/>
                      <w:lang w:val="en-US" w:eastAsia="zh-CN"/>
                    </w:rPr>
                    <w:t>1-3</w:t>
                  </w:r>
                  <w:r>
                    <w:rPr>
                      <w:rFonts w:hint="eastAsia"/>
                      <w:color w:val="auto"/>
                      <w:sz w:val="21"/>
                      <w:vertAlign w:val="baseline"/>
                      <w:lang w:val="en-US" w:eastAsia="zh-CN"/>
                    </w:rPr>
                    <w:t>、S</w:t>
                  </w:r>
                  <w:r>
                    <w:rPr>
                      <w:rFonts w:hint="eastAsia"/>
                      <w:color w:val="auto"/>
                      <w:sz w:val="21"/>
                      <w:vertAlign w:val="subscript"/>
                      <w:lang w:val="en-US" w:eastAsia="zh-CN"/>
                    </w:rPr>
                    <w:t>2-2</w:t>
                  </w:r>
                  <w:r>
                    <w:rPr>
                      <w:rFonts w:hint="eastAsia"/>
                      <w:color w:val="auto"/>
                      <w:sz w:val="21"/>
                      <w:vertAlign w:val="baseline"/>
                      <w:lang w:val="en-US" w:eastAsia="zh-CN"/>
                    </w:rPr>
                    <w:t>、S</w:t>
                  </w:r>
                  <w:r>
                    <w:rPr>
                      <w:rFonts w:hint="eastAsia"/>
                      <w:color w:val="auto"/>
                      <w:sz w:val="21"/>
                      <w:vertAlign w:val="subscript"/>
                      <w:lang w:val="en-US" w:eastAsia="zh-CN"/>
                    </w:rPr>
                    <w:t>3-1</w:t>
                  </w:r>
                </w:p>
              </w:tc>
            </w:tr>
            <w:tr w14:paraId="309E21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648" w:type="dxa"/>
                  <w:vMerge w:val="continue"/>
                  <w:noWrap w:val="0"/>
                  <w:vAlign w:val="center"/>
                </w:tcPr>
                <w:p w14:paraId="2E032DB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p>
              </w:tc>
              <w:tc>
                <w:tcPr>
                  <w:tcW w:w="1305" w:type="dxa"/>
                  <w:vMerge w:val="continue"/>
                  <w:noWrap w:val="0"/>
                  <w:vAlign w:val="center"/>
                </w:tcPr>
                <w:p w14:paraId="146BE084">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p>
              </w:tc>
              <w:tc>
                <w:tcPr>
                  <w:tcW w:w="1346" w:type="dxa"/>
                  <w:shd w:val="clear" w:color="auto" w:fill="auto"/>
                  <w:noWrap w:val="0"/>
                  <w:vAlign w:val="center"/>
                </w:tcPr>
                <w:p w14:paraId="55009DC9">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color w:val="auto"/>
                      <w:kern w:val="0"/>
                      <w:sz w:val="21"/>
                      <w:szCs w:val="20"/>
                      <w:lang w:val="en-US" w:eastAsia="zh-CN" w:bidi="ar-SA"/>
                    </w:rPr>
                  </w:pPr>
                  <w:r>
                    <w:rPr>
                      <w:rFonts w:hint="eastAsia"/>
                      <w:color w:val="auto"/>
                      <w:sz w:val="21"/>
                      <w:lang w:val="en-US" w:eastAsia="zh-CN"/>
                    </w:rPr>
                    <w:t>铝边角料</w:t>
                  </w:r>
                </w:p>
              </w:tc>
              <w:tc>
                <w:tcPr>
                  <w:tcW w:w="1801" w:type="dxa"/>
                  <w:shd w:val="clear" w:color="auto" w:fill="auto"/>
                  <w:noWrap w:val="0"/>
                  <w:vAlign w:val="center"/>
                </w:tcPr>
                <w:p w14:paraId="2376101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color w:val="auto"/>
                      <w:kern w:val="0"/>
                      <w:sz w:val="21"/>
                      <w:szCs w:val="20"/>
                      <w:lang w:val="en-US" w:eastAsia="zh-CN" w:bidi="ar-SA"/>
                    </w:rPr>
                  </w:pPr>
                  <w:r>
                    <w:rPr>
                      <w:rFonts w:hint="eastAsia"/>
                      <w:color w:val="auto"/>
                      <w:sz w:val="21"/>
                      <w:lang w:val="en-US" w:eastAsia="zh-CN"/>
                    </w:rPr>
                    <w:t>折弯裁切</w:t>
                  </w:r>
                </w:p>
              </w:tc>
              <w:tc>
                <w:tcPr>
                  <w:tcW w:w="1826" w:type="dxa"/>
                  <w:vMerge w:val="continue"/>
                  <w:noWrap w:val="0"/>
                  <w:vAlign w:val="center"/>
                </w:tcPr>
                <w:p w14:paraId="0184FDD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040" w:type="dxa"/>
                  <w:noWrap w:val="0"/>
                  <w:vAlign w:val="center"/>
                </w:tcPr>
                <w:p w14:paraId="62DCC1BF">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r>
                    <w:rPr>
                      <w:rFonts w:hint="eastAsia"/>
                      <w:color w:val="auto"/>
                      <w:sz w:val="21"/>
                      <w:lang w:val="en-US" w:eastAsia="zh-CN"/>
                    </w:rPr>
                    <w:t>S</w:t>
                  </w:r>
                  <w:r>
                    <w:rPr>
                      <w:rFonts w:hint="eastAsia"/>
                      <w:color w:val="auto"/>
                      <w:sz w:val="21"/>
                      <w:vertAlign w:val="subscript"/>
                      <w:lang w:val="en-US" w:eastAsia="zh-CN"/>
                    </w:rPr>
                    <w:t>2-1</w:t>
                  </w:r>
                </w:p>
              </w:tc>
            </w:tr>
            <w:tr w14:paraId="159CC6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648" w:type="dxa"/>
                  <w:vMerge w:val="continue"/>
                  <w:noWrap w:val="0"/>
                  <w:vAlign w:val="center"/>
                </w:tcPr>
                <w:p w14:paraId="56281C24">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p>
              </w:tc>
              <w:tc>
                <w:tcPr>
                  <w:tcW w:w="1305" w:type="dxa"/>
                  <w:vMerge w:val="continue"/>
                  <w:noWrap w:val="0"/>
                  <w:vAlign w:val="center"/>
                </w:tcPr>
                <w:p w14:paraId="2D5E999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p>
              </w:tc>
              <w:tc>
                <w:tcPr>
                  <w:tcW w:w="1346" w:type="dxa"/>
                  <w:noWrap w:val="0"/>
                  <w:vAlign w:val="center"/>
                </w:tcPr>
                <w:p w14:paraId="1E5CF90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eastAsia="zh-CN"/>
                    </w:rPr>
                  </w:pPr>
                  <w:r>
                    <w:rPr>
                      <w:rFonts w:hint="eastAsia"/>
                      <w:color w:val="auto"/>
                      <w:sz w:val="21"/>
                      <w:lang w:val="en-US" w:eastAsia="zh-CN"/>
                    </w:rPr>
                    <w:t>沉渣</w:t>
                  </w:r>
                </w:p>
              </w:tc>
              <w:tc>
                <w:tcPr>
                  <w:tcW w:w="1801" w:type="dxa"/>
                  <w:noWrap w:val="0"/>
                  <w:vAlign w:val="center"/>
                </w:tcPr>
                <w:p w14:paraId="6AE323C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eastAsia="zh-CN"/>
                    </w:rPr>
                  </w:pPr>
                  <w:r>
                    <w:rPr>
                      <w:rFonts w:hint="eastAsia"/>
                      <w:color w:val="auto"/>
                      <w:sz w:val="21"/>
                      <w:lang w:val="en-US" w:eastAsia="zh-CN"/>
                    </w:rPr>
                    <w:t>废水治理</w:t>
                  </w:r>
                </w:p>
              </w:tc>
              <w:tc>
                <w:tcPr>
                  <w:tcW w:w="1826" w:type="dxa"/>
                  <w:vMerge w:val="continue"/>
                  <w:noWrap w:val="0"/>
                  <w:vAlign w:val="center"/>
                </w:tcPr>
                <w:p w14:paraId="5767B96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040" w:type="dxa"/>
                  <w:noWrap w:val="0"/>
                  <w:vAlign w:val="center"/>
                </w:tcPr>
                <w:p w14:paraId="4174277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lang w:val="en-US" w:eastAsia="zh-CN"/>
                    </w:rPr>
                    <w:t>S</w:t>
                  </w:r>
                  <w:r>
                    <w:rPr>
                      <w:rFonts w:hint="eastAsia"/>
                      <w:color w:val="auto"/>
                      <w:sz w:val="21"/>
                      <w:vertAlign w:val="subscript"/>
                      <w:lang w:val="en-US" w:eastAsia="zh-CN"/>
                    </w:rPr>
                    <w:t>4</w:t>
                  </w:r>
                </w:p>
              </w:tc>
            </w:tr>
            <w:tr w14:paraId="3D0DC5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648" w:type="dxa"/>
                  <w:vMerge w:val="continue"/>
                  <w:noWrap w:val="0"/>
                  <w:vAlign w:val="center"/>
                </w:tcPr>
                <w:p w14:paraId="6823710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p>
              </w:tc>
              <w:tc>
                <w:tcPr>
                  <w:tcW w:w="1305" w:type="dxa"/>
                  <w:vMerge w:val="continue"/>
                  <w:noWrap w:val="0"/>
                  <w:vAlign w:val="center"/>
                </w:tcPr>
                <w:p w14:paraId="01F48D1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p>
              </w:tc>
              <w:tc>
                <w:tcPr>
                  <w:tcW w:w="1346" w:type="dxa"/>
                  <w:noWrap w:val="0"/>
                  <w:vAlign w:val="center"/>
                </w:tcPr>
                <w:p w14:paraId="10C6E5E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eastAsia="zh-CN"/>
                    </w:rPr>
                  </w:pPr>
                  <w:r>
                    <w:rPr>
                      <w:rFonts w:hint="eastAsia"/>
                      <w:color w:val="auto"/>
                      <w:sz w:val="21"/>
                      <w:lang w:val="en-US" w:eastAsia="zh-CN"/>
                    </w:rPr>
                    <w:t>废包装材料</w:t>
                  </w:r>
                </w:p>
              </w:tc>
              <w:tc>
                <w:tcPr>
                  <w:tcW w:w="1801" w:type="dxa"/>
                  <w:noWrap w:val="0"/>
                  <w:vAlign w:val="center"/>
                </w:tcPr>
                <w:p w14:paraId="751666D9">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eastAsia="zh-CN"/>
                    </w:rPr>
                  </w:pPr>
                  <w:r>
                    <w:rPr>
                      <w:rFonts w:hint="eastAsia"/>
                      <w:color w:val="auto"/>
                      <w:sz w:val="21"/>
                      <w:lang w:val="en-US" w:eastAsia="zh-CN"/>
                    </w:rPr>
                    <w:t>PVB和丁基胶包装</w:t>
                  </w:r>
                </w:p>
              </w:tc>
              <w:tc>
                <w:tcPr>
                  <w:tcW w:w="1826" w:type="dxa"/>
                  <w:vMerge w:val="continue"/>
                  <w:noWrap w:val="0"/>
                  <w:vAlign w:val="center"/>
                </w:tcPr>
                <w:p w14:paraId="0DDA9E7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040" w:type="dxa"/>
                  <w:noWrap w:val="0"/>
                  <w:vAlign w:val="center"/>
                </w:tcPr>
                <w:p w14:paraId="751C27B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r>
                    <w:rPr>
                      <w:rFonts w:hint="eastAsia"/>
                      <w:color w:val="auto"/>
                      <w:sz w:val="21"/>
                      <w:lang w:val="en-US" w:eastAsia="zh-CN"/>
                    </w:rPr>
                    <w:t>S</w:t>
                  </w:r>
                  <w:r>
                    <w:rPr>
                      <w:rFonts w:hint="eastAsia"/>
                      <w:color w:val="auto"/>
                      <w:sz w:val="21"/>
                      <w:vertAlign w:val="subscript"/>
                      <w:lang w:val="en-US" w:eastAsia="zh-CN"/>
                    </w:rPr>
                    <w:t>5</w:t>
                  </w:r>
                </w:p>
              </w:tc>
            </w:tr>
            <w:tr w14:paraId="569F6B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648" w:type="dxa"/>
                  <w:vMerge w:val="continue"/>
                  <w:noWrap w:val="0"/>
                  <w:vAlign w:val="center"/>
                </w:tcPr>
                <w:p w14:paraId="59121C5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05" w:type="dxa"/>
                  <w:vMerge w:val="continue"/>
                  <w:noWrap w:val="0"/>
                  <w:vAlign w:val="center"/>
                </w:tcPr>
                <w:p w14:paraId="0F68DA8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46" w:type="dxa"/>
                  <w:shd w:val="clear" w:color="auto" w:fill="auto"/>
                  <w:noWrap w:val="0"/>
                  <w:vAlign w:val="center"/>
                </w:tcPr>
                <w:p w14:paraId="0326D5F1">
                  <w:pPr>
                    <w:pStyle w:val="30"/>
                    <w:bidi w:val="0"/>
                    <w:ind w:firstLine="0" w:firstLineChars="0"/>
                    <w:rPr>
                      <w:rFonts w:hint="eastAsia" w:ascii="宋体" w:hAnsi="Times New Roman" w:eastAsia="宋体" w:cs="Times New Roman"/>
                      <w:color w:val="auto"/>
                      <w:kern w:val="0"/>
                      <w:sz w:val="21"/>
                      <w:szCs w:val="20"/>
                      <w:lang w:val="en-US" w:eastAsia="zh-CN" w:bidi="ar-SA"/>
                    </w:rPr>
                  </w:pPr>
                  <w:r>
                    <w:rPr>
                      <w:rFonts w:hint="eastAsia"/>
                      <w:color w:val="auto"/>
                      <w:lang w:val="en-US" w:eastAsia="zh-CN"/>
                    </w:rPr>
                    <w:t>废硅酮胶包装桶</w:t>
                  </w:r>
                </w:p>
              </w:tc>
              <w:tc>
                <w:tcPr>
                  <w:tcW w:w="1801" w:type="dxa"/>
                  <w:shd w:val="clear" w:color="auto" w:fill="auto"/>
                  <w:noWrap w:val="0"/>
                  <w:vAlign w:val="center"/>
                </w:tcPr>
                <w:p w14:paraId="26816683">
                  <w:pPr>
                    <w:pStyle w:val="30"/>
                    <w:bidi w:val="0"/>
                    <w:ind w:firstLine="0" w:firstLineChars="0"/>
                    <w:rPr>
                      <w:rFonts w:hint="eastAsia" w:ascii="宋体" w:hAnsi="Times New Roman" w:eastAsia="宋体" w:cs="Times New Roman"/>
                      <w:color w:val="auto"/>
                      <w:kern w:val="0"/>
                      <w:sz w:val="21"/>
                      <w:szCs w:val="20"/>
                      <w:lang w:val="en-US" w:eastAsia="zh-CN" w:bidi="ar-SA"/>
                    </w:rPr>
                  </w:pPr>
                  <w:r>
                    <w:rPr>
                      <w:rFonts w:hint="eastAsia"/>
                      <w:color w:val="auto"/>
                      <w:lang w:val="en-US" w:eastAsia="zh-CN"/>
                    </w:rPr>
                    <w:t>硅酮胶外包装</w:t>
                  </w:r>
                </w:p>
              </w:tc>
              <w:tc>
                <w:tcPr>
                  <w:tcW w:w="1826" w:type="dxa"/>
                  <w:noWrap w:val="0"/>
                  <w:vAlign w:val="center"/>
                </w:tcPr>
                <w:p w14:paraId="0F9CA002">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lang w:val="en-US" w:eastAsia="zh-CN"/>
                    </w:rPr>
                    <w:t>原料供应商回收</w:t>
                  </w:r>
                </w:p>
              </w:tc>
              <w:tc>
                <w:tcPr>
                  <w:tcW w:w="1040" w:type="dxa"/>
                  <w:noWrap w:val="0"/>
                  <w:vAlign w:val="center"/>
                </w:tcPr>
                <w:p w14:paraId="08AE3EF2">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lang w:val="en-US" w:eastAsia="zh-CN"/>
                    </w:rPr>
                    <w:t>S</w:t>
                  </w:r>
                  <w:r>
                    <w:rPr>
                      <w:rFonts w:hint="eastAsia"/>
                      <w:color w:val="auto"/>
                      <w:sz w:val="21"/>
                      <w:vertAlign w:val="subscript"/>
                      <w:lang w:val="en-US" w:eastAsia="zh-CN"/>
                    </w:rPr>
                    <w:t>6</w:t>
                  </w:r>
                </w:p>
              </w:tc>
            </w:tr>
            <w:tr w14:paraId="2BE6E3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648" w:type="dxa"/>
                  <w:vMerge w:val="continue"/>
                  <w:noWrap w:val="0"/>
                  <w:vAlign w:val="center"/>
                </w:tcPr>
                <w:p w14:paraId="7947705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05" w:type="dxa"/>
                  <w:vMerge w:val="continue"/>
                  <w:noWrap w:val="0"/>
                  <w:vAlign w:val="center"/>
                </w:tcPr>
                <w:p w14:paraId="4B747404">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46" w:type="dxa"/>
                  <w:noWrap w:val="0"/>
                  <w:vAlign w:val="center"/>
                </w:tcPr>
                <w:p w14:paraId="73395BA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rPr>
                  </w:pPr>
                  <w:r>
                    <w:rPr>
                      <w:rFonts w:hint="eastAsia"/>
                      <w:color w:val="auto"/>
                      <w:sz w:val="21"/>
                    </w:rPr>
                    <w:t>废活性炭</w:t>
                  </w:r>
                </w:p>
              </w:tc>
              <w:tc>
                <w:tcPr>
                  <w:tcW w:w="1801" w:type="dxa"/>
                  <w:noWrap w:val="0"/>
                  <w:vAlign w:val="center"/>
                </w:tcPr>
                <w:p w14:paraId="30DCE5C4">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r>
                    <w:rPr>
                      <w:rFonts w:hint="eastAsia"/>
                      <w:color w:val="auto"/>
                      <w:sz w:val="21"/>
                      <w:lang w:val="en-US" w:eastAsia="zh-CN"/>
                    </w:rPr>
                    <w:t>有机废气治理</w:t>
                  </w:r>
                </w:p>
              </w:tc>
              <w:tc>
                <w:tcPr>
                  <w:tcW w:w="1826" w:type="dxa"/>
                  <w:vMerge w:val="restart"/>
                  <w:noWrap w:val="0"/>
                  <w:vAlign w:val="center"/>
                </w:tcPr>
                <w:p w14:paraId="153C2854">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r>
                    <w:rPr>
                      <w:rFonts w:hint="eastAsia"/>
                      <w:color w:val="auto"/>
                      <w:sz w:val="21"/>
                    </w:rPr>
                    <w:t>委托有危废处置资质单位处置</w:t>
                  </w:r>
                </w:p>
              </w:tc>
              <w:tc>
                <w:tcPr>
                  <w:tcW w:w="1040" w:type="dxa"/>
                  <w:noWrap w:val="0"/>
                  <w:vAlign w:val="center"/>
                </w:tcPr>
                <w:p w14:paraId="2F40681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r>
                    <w:rPr>
                      <w:rFonts w:hint="eastAsia"/>
                      <w:color w:val="auto"/>
                      <w:sz w:val="21"/>
                      <w:lang w:val="en-US" w:eastAsia="zh-CN"/>
                    </w:rPr>
                    <w:t>S</w:t>
                  </w:r>
                  <w:r>
                    <w:rPr>
                      <w:rFonts w:hint="eastAsia"/>
                      <w:color w:val="auto"/>
                      <w:sz w:val="21"/>
                      <w:vertAlign w:val="subscript"/>
                      <w:lang w:val="en-US" w:eastAsia="zh-CN"/>
                    </w:rPr>
                    <w:t>7</w:t>
                  </w:r>
                </w:p>
              </w:tc>
            </w:tr>
            <w:tr w14:paraId="559DE6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648" w:type="dxa"/>
                  <w:vMerge w:val="continue"/>
                  <w:noWrap w:val="0"/>
                  <w:vAlign w:val="center"/>
                </w:tcPr>
                <w:p w14:paraId="548F097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05" w:type="dxa"/>
                  <w:vMerge w:val="continue"/>
                  <w:noWrap w:val="0"/>
                  <w:vAlign w:val="center"/>
                </w:tcPr>
                <w:p w14:paraId="58EA89E5">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46" w:type="dxa"/>
                  <w:noWrap w:val="0"/>
                  <w:vAlign w:val="center"/>
                </w:tcPr>
                <w:p w14:paraId="6772D435">
                  <w:pPr>
                    <w:pStyle w:val="30"/>
                    <w:bidi w:val="0"/>
                    <w:ind w:firstLine="0" w:firstLineChars="0"/>
                    <w:rPr>
                      <w:rFonts w:hint="default"/>
                      <w:color w:val="auto"/>
                      <w:lang w:val="en-US" w:eastAsia="zh-CN"/>
                    </w:rPr>
                  </w:pPr>
                  <w:r>
                    <w:rPr>
                      <w:rFonts w:hint="eastAsia"/>
                      <w:color w:val="auto"/>
                      <w:lang w:val="en-US" w:eastAsia="zh-CN"/>
                    </w:rPr>
                    <w:t>废硅酮胶包装袋</w:t>
                  </w:r>
                </w:p>
              </w:tc>
              <w:tc>
                <w:tcPr>
                  <w:tcW w:w="1801" w:type="dxa"/>
                  <w:noWrap w:val="0"/>
                  <w:vAlign w:val="center"/>
                </w:tcPr>
                <w:p w14:paraId="497D481E">
                  <w:pPr>
                    <w:pStyle w:val="30"/>
                    <w:bidi w:val="0"/>
                    <w:ind w:firstLine="0" w:firstLineChars="0"/>
                    <w:rPr>
                      <w:rFonts w:hint="default"/>
                      <w:color w:val="auto"/>
                      <w:lang w:val="en-US" w:eastAsia="zh-CN"/>
                    </w:rPr>
                  </w:pPr>
                  <w:r>
                    <w:rPr>
                      <w:rFonts w:hint="eastAsia"/>
                      <w:color w:val="auto"/>
                      <w:lang w:val="en-US" w:eastAsia="zh-CN"/>
                    </w:rPr>
                    <w:t>硅酮胶内包装</w:t>
                  </w:r>
                </w:p>
              </w:tc>
              <w:tc>
                <w:tcPr>
                  <w:tcW w:w="1826" w:type="dxa"/>
                  <w:vMerge w:val="continue"/>
                  <w:noWrap w:val="0"/>
                  <w:vAlign w:val="center"/>
                </w:tcPr>
                <w:p w14:paraId="617211C2">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040" w:type="dxa"/>
                  <w:noWrap w:val="0"/>
                  <w:vAlign w:val="center"/>
                </w:tcPr>
                <w:p w14:paraId="7A9A62E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val="en-US" w:eastAsia="zh-CN"/>
                    </w:rPr>
                  </w:pPr>
                  <w:r>
                    <w:rPr>
                      <w:rFonts w:hint="eastAsia"/>
                      <w:color w:val="auto"/>
                      <w:sz w:val="21"/>
                      <w:lang w:val="en-US" w:eastAsia="zh-CN"/>
                    </w:rPr>
                    <w:t>S</w:t>
                  </w:r>
                  <w:r>
                    <w:rPr>
                      <w:rFonts w:hint="eastAsia"/>
                      <w:color w:val="auto"/>
                      <w:sz w:val="21"/>
                      <w:vertAlign w:val="subscript"/>
                      <w:lang w:val="en-US" w:eastAsia="zh-CN"/>
                    </w:rPr>
                    <w:t>8</w:t>
                  </w:r>
                </w:p>
              </w:tc>
            </w:tr>
            <w:tr w14:paraId="638313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648" w:type="dxa"/>
                  <w:vMerge w:val="continue"/>
                  <w:noWrap w:val="0"/>
                  <w:vAlign w:val="center"/>
                </w:tcPr>
                <w:p w14:paraId="30607AE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05" w:type="dxa"/>
                  <w:vMerge w:val="continue"/>
                  <w:noWrap w:val="0"/>
                  <w:vAlign w:val="center"/>
                </w:tcPr>
                <w:p w14:paraId="5C0E2AA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1346" w:type="dxa"/>
                  <w:noWrap w:val="0"/>
                  <w:vAlign w:val="center"/>
                </w:tcPr>
                <w:p w14:paraId="4DB0D0D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rPr>
                    <w:t>生活垃圾</w:t>
                  </w:r>
                </w:p>
              </w:tc>
              <w:tc>
                <w:tcPr>
                  <w:tcW w:w="1801" w:type="dxa"/>
                  <w:noWrap w:val="0"/>
                  <w:vAlign w:val="center"/>
                </w:tcPr>
                <w:p w14:paraId="6F4E730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rPr>
                    <w:t>员工工作生活</w:t>
                  </w:r>
                </w:p>
              </w:tc>
              <w:tc>
                <w:tcPr>
                  <w:tcW w:w="1826" w:type="dxa"/>
                  <w:noWrap w:val="0"/>
                  <w:vAlign w:val="center"/>
                </w:tcPr>
                <w:p w14:paraId="7CE9BA8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环卫部门统一清运</w:t>
                  </w:r>
                </w:p>
              </w:tc>
              <w:tc>
                <w:tcPr>
                  <w:tcW w:w="1040" w:type="dxa"/>
                  <w:noWrap w:val="0"/>
                  <w:vAlign w:val="center"/>
                </w:tcPr>
                <w:p w14:paraId="4A41C6D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vertAlign w:val="subscript"/>
                      <w:lang w:val="en-US" w:eastAsia="zh-CN"/>
                    </w:rPr>
                  </w:pPr>
                  <w:r>
                    <w:rPr>
                      <w:rFonts w:hint="eastAsia"/>
                      <w:color w:val="auto"/>
                      <w:sz w:val="21"/>
                      <w:lang w:val="en-US" w:eastAsia="zh-CN"/>
                    </w:rPr>
                    <w:t>S</w:t>
                  </w:r>
                  <w:r>
                    <w:rPr>
                      <w:rFonts w:hint="eastAsia"/>
                      <w:color w:val="auto"/>
                      <w:sz w:val="21"/>
                      <w:vertAlign w:val="subscript"/>
                      <w:lang w:val="en-US" w:eastAsia="zh-CN"/>
                    </w:rPr>
                    <w:t>9</w:t>
                  </w:r>
                </w:p>
              </w:tc>
            </w:tr>
          </w:tbl>
          <w:p w14:paraId="62493232">
            <w:pPr>
              <w:adjustRightInd w:val="0"/>
              <w:snapToGrid w:val="0"/>
              <w:rPr>
                <w:rFonts w:ascii="宋体" w:hAnsi="宋体"/>
                <w:bCs/>
                <w:color w:val="auto"/>
                <w:szCs w:val="21"/>
              </w:rPr>
            </w:pPr>
          </w:p>
        </w:tc>
      </w:tr>
      <w:tr w14:paraId="26147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29" w:hRule="atLeast"/>
          <w:jc w:val="center"/>
        </w:trPr>
        <w:tc>
          <w:tcPr>
            <w:tcW w:w="823" w:type="dxa"/>
            <w:noWrap w:val="0"/>
            <w:vAlign w:val="center"/>
          </w:tcPr>
          <w:p w14:paraId="1E7EE3F8">
            <w:pPr>
              <w:pStyle w:val="20"/>
              <w:adjustRightInd w:val="0"/>
              <w:snapToGrid w:val="0"/>
              <w:spacing w:before="0" w:beforeAutospacing="0" w:after="0" w:afterAutospacing="0"/>
              <w:jc w:val="center"/>
              <w:rPr>
                <w:rFonts w:cs="宋体"/>
                <w:color w:val="auto"/>
                <w:sz w:val="21"/>
                <w:szCs w:val="21"/>
              </w:rPr>
            </w:pPr>
            <w:r>
              <w:rPr>
                <w:rFonts w:hint="eastAsia" w:cs="宋体"/>
                <w:bCs/>
                <w:color w:val="auto"/>
                <w:kern w:val="2"/>
                <w:sz w:val="21"/>
                <w:szCs w:val="21"/>
              </w:rPr>
              <w:t>与项目有关的原有环境污染问题</w:t>
            </w:r>
          </w:p>
        </w:tc>
        <w:tc>
          <w:tcPr>
            <w:tcW w:w="8161" w:type="dxa"/>
            <w:noWrap w:val="0"/>
            <w:vAlign w:val="top"/>
          </w:tcPr>
          <w:p w14:paraId="313E286A">
            <w:pPr>
              <w:pStyle w:val="2"/>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b w:val="0"/>
                <w:bCs/>
                <w:sz w:val="24"/>
              </w:rPr>
            </w:pPr>
            <w:r>
              <w:rPr>
                <w:rFonts w:hint="eastAsia" w:ascii="Times New Roman" w:hAnsi="Times New Roman"/>
                <w:b w:val="0"/>
                <w:bCs/>
                <w:sz w:val="24"/>
              </w:rPr>
              <w:t>根据已批项目环评报告、验收报告和实际调查，与本项目有关的原有污染情况及主要环境问题分析如下：</w:t>
            </w:r>
          </w:p>
          <w:p w14:paraId="2205AC52">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Times New Roman" w:hAnsi="Times New Roman"/>
                <w:b w:val="0"/>
                <w:sz w:val="24"/>
              </w:rPr>
            </w:pPr>
            <w:r>
              <w:rPr>
                <w:rFonts w:hint="eastAsia" w:ascii="Times New Roman" w:hAnsi="Times New Roman"/>
                <w:b w:val="0"/>
                <w:sz w:val="24"/>
              </w:rPr>
              <w:t>1、原有项目履行环境影响评价、竣工环境保护验收、排污许可手续情况</w:t>
            </w:r>
          </w:p>
          <w:p w14:paraId="08059BC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rPr>
            </w:pPr>
            <w:r>
              <w:rPr>
                <w:rFonts w:hint="eastAsia"/>
                <w:b/>
                <w:bCs/>
                <w:sz w:val="21"/>
                <w:lang w:val="en-US" w:eastAsia="zh-CN"/>
              </w:rPr>
              <w:t>表2-8  原有项目环保手续一览表</w:t>
            </w:r>
          </w:p>
          <w:tbl>
            <w:tblPr>
              <w:tblStyle w:val="23"/>
              <w:tblW w:w="7945"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92"/>
              <w:gridCol w:w="1193"/>
              <w:gridCol w:w="4740"/>
            </w:tblGrid>
            <w:tr w14:paraId="00416C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0" w:type="dxa"/>
                  <w:tcBorders>
                    <w:tl2br w:val="nil"/>
                    <w:tr2bl w:val="nil"/>
                  </w:tcBorders>
                  <w:vAlign w:val="center"/>
                </w:tcPr>
                <w:p w14:paraId="19B3764E">
                  <w:pPr>
                    <w:pStyle w:val="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b w:val="0"/>
                      <w:sz w:val="21"/>
                      <w:vertAlign w:val="baseline"/>
                      <w:lang w:val="en-US" w:eastAsia="zh-CN"/>
                    </w:rPr>
                  </w:pPr>
                  <w:r>
                    <w:rPr>
                      <w:rFonts w:hint="eastAsia"/>
                      <w:b w:val="0"/>
                      <w:sz w:val="21"/>
                      <w:vertAlign w:val="baseline"/>
                      <w:lang w:val="en-US" w:eastAsia="zh-CN"/>
                    </w:rPr>
                    <w:t>序号</w:t>
                  </w:r>
                </w:p>
              </w:tc>
              <w:tc>
                <w:tcPr>
                  <w:tcW w:w="1192" w:type="dxa"/>
                  <w:tcBorders>
                    <w:tl2br w:val="nil"/>
                    <w:tr2bl w:val="nil"/>
                  </w:tcBorders>
                  <w:vAlign w:val="center"/>
                </w:tcPr>
                <w:p w14:paraId="2103FF23">
                  <w:pPr>
                    <w:pStyle w:val="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b w:val="0"/>
                      <w:sz w:val="21"/>
                      <w:vertAlign w:val="baseline"/>
                      <w:lang w:val="en-US" w:eastAsia="zh-CN"/>
                    </w:rPr>
                  </w:pPr>
                  <w:r>
                    <w:rPr>
                      <w:rFonts w:hint="eastAsia"/>
                      <w:b w:val="0"/>
                      <w:sz w:val="21"/>
                      <w:vertAlign w:val="baseline"/>
                      <w:lang w:val="en-US" w:eastAsia="zh-CN"/>
                    </w:rPr>
                    <w:t>项目名称</w:t>
                  </w:r>
                </w:p>
              </w:tc>
              <w:tc>
                <w:tcPr>
                  <w:tcW w:w="1193" w:type="dxa"/>
                  <w:tcBorders>
                    <w:tl2br w:val="nil"/>
                    <w:tr2bl w:val="nil"/>
                  </w:tcBorders>
                  <w:vAlign w:val="center"/>
                </w:tcPr>
                <w:p w14:paraId="535818F6">
                  <w:pPr>
                    <w:pStyle w:val="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b w:val="0"/>
                      <w:sz w:val="21"/>
                      <w:vertAlign w:val="baseline"/>
                      <w:lang w:val="en-US" w:eastAsia="zh-CN"/>
                    </w:rPr>
                  </w:pPr>
                  <w:r>
                    <w:rPr>
                      <w:rFonts w:hint="eastAsia"/>
                      <w:b w:val="0"/>
                      <w:sz w:val="21"/>
                      <w:vertAlign w:val="baseline"/>
                      <w:lang w:val="en-US" w:eastAsia="zh-CN"/>
                    </w:rPr>
                    <w:t>建设地点</w:t>
                  </w:r>
                </w:p>
              </w:tc>
              <w:tc>
                <w:tcPr>
                  <w:tcW w:w="4740" w:type="dxa"/>
                  <w:tcBorders>
                    <w:tl2br w:val="nil"/>
                    <w:tr2bl w:val="nil"/>
                  </w:tcBorders>
                  <w:vAlign w:val="center"/>
                </w:tcPr>
                <w:p w14:paraId="19B98A00">
                  <w:pPr>
                    <w:pStyle w:val="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b w:val="0"/>
                      <w:sz w:val="21"/>
                      <w:vertAlign w:val="baseline"/>
                      <w:lang w:val="en-US" w:eastAsia="zh-CN"/>
                    </w:rPr>
                  </w:pPr>
                  <w:r>
                    <w:rPr>
                      <w:rFonts w:hint="eastAsia"/>
                      <w:b w:val="0"/>
                      <w:sz w:val="21"/>
                      <w:vertAlign w:val="baseline"/>
                      <w:lang w:val="en-US" w:eastAsia="zh-CN"/>
                    </w:rPr>
                    <w:t>履行情况</w:t>
                  </w:r>
                </w:p>
              </w:tc>
            </w:tr>
            <w:tr w14:paraId="3F6B96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0" w:type="dxa"/>
                  <w:tcBorders>
                    <w:tl2br w:val="nil"/>
                    <w:tr2bl w:val="nil"/>
                  </w:tcBorders>
                  <w:vAlign w:val="center"/>
                </w:tcPr>
                <w:p w14:paraId="7EE979E0">
                  <w:pPr>
                    <w:pStyle w:val="6"/>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b w:val="0"/>
                      <w:sz w:val="21"/>
                      <w:vertAlign w:val="baseline"/>
                    </w:rPr>
                  </w:pPr>
                </w:p>
              </w:tc>
              <w:tc>
                <w:tcPr>
                  <w:tcW w:w="1192" w:type="dxa"/>
                  <w:vMerge w:val="restart"/>
                  <w:tcBorders>
                    <w:tl2br w:val="nil"/>
                    <w:tr2bl w:val="nil"/>
                  </w:tcBorders>
                  <w:vAlign w:val="center"/>
                </w:tcPr>
                <w:p w14:paraId="29B0D55C">
                  <w:pPr>
                    <w:pStyle w:val="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b w:val="0"/>
                      <w:sz w:val="21"/>
                      <w:vertAlign w:val="baseline"/>
                    </w:rPr>
                  </w:pPr>
                  <w:r>
                    <w:rPr>
                      <w:rFonts w:hint="eastAsia" w:ascii="Times New Roman" w:hAnsi="Times New Roman"/>
                      <w:b w:val="0"/>
                      <w:sz w:val="21"/>
                      <w:vertAlign w:val="baseline"/>
                    </w:rPr>
                    <w:t>中空玻璃及钢化玻璃加工项目</w:t>
                  </w:r>
                </w:p>
              </w:tc>
              <w:tc>
                <w:tcPr>
                  <w:tcW w:w="1193" w:type="dxa"/>
                  <w:vMerge w:val="restart"/>
                  <w:tcBorders>
                    <w:tl2br w:val="nil"/>
                    <w:tr2bl w:val="nil"/>
                  </w:tcBorders>
                  <w:vAlign w:val="center"/>
                </w:tcPr>
                <w:p w14:paraId="60306211">
                  <w:pPr>
                    <w:pStyle w:val="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b w:val="0"/>
                      <w:sz w:val="21"/>
                      <w:vertAlign w:val="baseline"/>
                    </w:rPr>
                  </w:pPr>
                  <w:r>
                    <w:rPr>
                      <w:rFonts w:hint="eastAsia" w:ascii="Times New Roman" w:hAnsi="Times New Roman"/>
                      <w:b w:val="0"/>
                      <w:sz w:val="21"/>
                      <w:vertAlign w:val="baseline"/>
                    </w:rPr>
                    <w:t>江苏省淮安市涟水县朱码街道办事处工业集中区</w:t>
                  </w:r>
                </w:p>
              </w:tc>
              <w:tc>
                <w:tcPr>
                  <w:tcW w:w="4740" w:type="dxa"/>
                  <w:tcBorders>
                    <w:tl2br w:val="nil"/>
                    <w:tr2bl w:val="nil"/>
                  </w:tcBorders>
                  <w:vAlign w:val="center"/>
                </w:tcPr>
                <w:p w14:paraId="2159E897">
                  <w:pPr>
                    <w:pStyle w:val="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420" w:firstLineChars="200"/>
                    <w:jc w:val="both"/>
                    <w:textAlignment w:val="auto"/>
                    <w:rPr>
                      <w:rFonts w:hint="eastAsia" w:ascii="Times New Roman" w:hAnsi="Times New Roman"/>
                      <w:b w:val="0"/>
                      <w:sz w:val="21"/>
                      <w:vertAlign w:val="baseline"/>
                    </w:rPr>
                  </w:pPr>
                  <w:r>
                    <w:rPr>
                      <w:rFonts w:hint="eastAsia" w:ascii="Times New Roman" w:hAnsi="Times New Roman"/>
                      <w:b w:val="0"/>
                      <w:sz w:val="21"/>
                      <w:vertAlign w:val="baseline"/>
                    </w:rPr>
                    <w:t>2021 年 7 月 23 日取得了淮安涟水县发展改革委的备案（涟水发改备[2021]218 号）</w:t>
                  </w:r>
                </w:p>
              </w:tc>
            </w:tr>
            <w:tr w14:paraId="497615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0" w:type="dxa"/>
                  <w:tcBorders>
                    <w:tl2br w:val="nil"/>
                    <w:tr2bl w:val="nil"/>
                  </w:tcBorders>
                  <w:vAlign w:val="center"/>
                </w:tcPr>
                <w:p w14:paraId="59E688FE">
                  <w:pPr>
                    <w:pStyle w:val="6"/>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b w:val="0"/>
                      <w:sz w:val="21"/>
                      <w:vertAlign w:val="baseline"/>
                    </w:rPr>
                  </w:pPr>
                </w:p>
              </w:tc>
              <w:tc>
                <w:tcPr>
                  <w:tcW w:w="1192" w:type="dxa"/>
                  <w:vMerge w:val="continue"/>
                  <w:tcBorders>
                    <w:tl2br w:val="nil"/>
                    <w:tr2bl w:val="nil"/>
                  </w:tcBorders>
                  <w:vAlign w:val="center"/>
                </w:tcPr>
                <w:p w14:paraId="0C0ED229">
                  <w:pPr>
                    <w:pStyle w:val="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b w:val="0"/>
                      <w:sz w:val="21"/>
                      <w:vertAlign w:val="baseline"/>
                    </w:rPr>
                  </w:pPr>
                </w:p>
              </w:tc>
              <w:tc>
                <w:tcPr>
                  <w:tcW w:w="1193" w:type="dxa"/>
                  <w:vMerge w:val="continue"/>
                  <w:tcBorders>
                    <w:tl2br w:val="nil"/>
                    <w:tr2bl w:val="nil"/>
                  </w:tcBorders>
                  <w:vAlign w:val="center"/>
                </w:tcPr>
                <w:p w14:paraId="5BC90D32">
                  <w:pPr>
                    <w:pStyle w:val="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b w:val="0"/>
                      <w:sz w:val="21"/>
                      <w:vertAlign w:val="baseline"/>
                    </w:rPr>
                  </w:pPr>
                </w:p>
              </w:tc>
              <w:tc>
                <w:tcPr>
                  <w:tcW w:w="4740" w:type="dxa"/>
                  <w:tcBorders>
                    <w:tl2br w:val="nil"/>
                    <w:tr2bl w:val="nil"/>
                  </w:tcBorders>
                  <w:vAlign w:val="center"/>
                </w:tcPr>
                <w:p w14:paraId="72C12E76">
                  <w:pPr>
                    <w:pStyle w:val="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420" w:firstLineChars="200"/>
                    <w:jc w:val="both"/>
                    <w:textAlignment w:val="auto"/>
                    <w:rPr>
                      <w:rFonts w:hint="eastAsia" w:ascii="Times New Roman" w:hAnsi="Times New Roman"/>
                      <w:b w:val="0"/>
                      <w:sz w:val="21"/>
                      <w:vertAlign w:val="baseline"/>
                    </w:rPr>
                  </w:pPr>
                  <w:r>
                    <w:rPr>
                      <w:rFonts w:hint="eastAsia" w:ascii="Times New Roman" w:hAnsi="Times New Roman"/>
                      <w:b w:val="0"/>
                      <w:sz w:val="21"/>
                      <w:vertAlign w:val="baseline"/>
                    </w:rPr>
                    <w:t>2021 年 9 月委托苏州市宏宇环境科技股份有限公司开展环境影响评价工作，并于 2021 年 11 月 19 日取得淮安市涟水生态环境局环评批复，批复文号：淮（涟）环表复</w:t>
                  </w:r>
                  <w:r>
                    <w:rPr>
                      <w:rFonts w:hint="eastAsia"/>
                      <w:b w:val="0"/>
                      <w:sz w:val="21"/>
                      <w:vertAlign w:val="baseline"/>
                      <w:lang w:eastAsia="zh-CN"/>
                    </w:rPr>
                    <w:t>〔2021〕92号</w:t>
                  </w:r>
                </w:p>
              </w:tc>
            </w:tr>
            <w:tr w14:paraId="7B1E7A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0" w:type="dxa"/>
                  <w:tcBorders>
                    <w:tl2br w:val="nil"/>
                    <w:tr2bl w:val="nil"/>
                  </w:tcBorders>
                  <w:vAlign w:val="center"/>
                </w:tcPr>
                <w:p w14:paraId="64B1A6E2">
                  <w:pPr>
                    <w:pStyle w:val="6"/>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b w:val="0"/>
                      <w:sz w:val="21"/>
                      <w:vertAlign w:val="baseline"/>
                    </w:rPr>
                  </w:pPr>
                </w:p>
              </w:tc>
              <w:tc>
                <w:tcPr>
                  <w:tcW w:w="1192" w:type="dxa"/>
                  <w:vMerge w:val="continue"/>
                  <w:tcBorders>
                    <w:tl2br w:val="nil"/>
                    <w:tr2bl w:val="nil"/>
                  </w:tcBorders>
                  <w:vAlign w:val="center"/>
                </w:tcPr>
                <w:p w14:paraId="0D7AABFE">
                  <w:pPr>
                    <w:pStyle w:val="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b w:val="0"/>
                      <w:sz w:val="21"/>
                      <w:vertAlign w:val="baseline"/>
                    </w:rPr>
                  </w:pPr>
                </w:p>
              </w:tc>
              <w:tc>
                <w:tcPr>
                  <w:tcW w:w="1193" w:type="dxa"/>
                  <w:vMerge w:val="continue"/>
                  <w:tcBorders>
                    <w:tl2br w:val="nil"/>
                    <w:tr2bl w:val="nil"/>
                  </w:tcBorders>
                  <w:vAlign w:val="center"/>
                </w:tcPr>
                <w:p w14:paraId="6FEA1D68">
                  <w:pPr>
                    <w:pStyle w:val="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b w:val="0"/>
                      <w:sz w:val="21"/>
                      <w:vertAlign w:val="baseline"/>
                    </w:rPr>
                  </w:pPr>
                </w:p>
              </w:tc>
              <w:tc>
                <w:tcPr>
                  <w:tcW w:w="4740" w:type="dxa"/>
                  <w:tcBorders>
                    <w:tl2br w:val="nil"/>
                    <w:tr2bl w:val="nil"/>
                  </w:tcBorders>
                  <w:vAlign w:val="center"/>
                </w:tcPr>
                <w:p w14:paraId="16E77DA9">
                  <w:pPr>
                    <w:pStyle w:val="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420" w:firstLineChars="200"/>
                    <w:jc w:val="both"/>
                    <w:textAlignment w:val="auto"/>
                    <w:rPr>
                      <w:rFonts w:hint="eastAsia" w:ascii="Times New Roman" w:hAnsi="Times New Roman"/>
                      <w:b w:val="0"/>
                      <w:sz w:val="21"/>
                      <w:vertAlign w:val="baseline"/>
                    </w:rPr>
                  </w:pPr>
                  <w:r>
                    <w:rPr>
                      <w:rFonts w:hint="eastAsia" w:ascii="Times New Roman" w:hAnsi="Times New Roman"/>
                      <w:b w:val="0"/>
                      <w:sz w:val="21"/>
                      <w:vertAlign w:val="baseline"/>
                    </w:rPr>
                    <w:t>2023年3月23日取得排污许可证，许可证编号为：91320826MA2670YR1B001Q</w:t>
                  </w:r>
                </w:p>
              </w:tc>
            </w:tr>
            <w:tr w14:paraId="26DBDD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0" w:type="dxa"/>
                  <w:tcBorders>
                    <w:tl2br w:val="nil"/>
                    <w:tr2bl w:val="nil"/>
                  </w:tcBorders>
                  <w:vAlign w:val="center"/>
                </w:tcPr>
                <w:p w14:paraId="22138A5E">
                  <w:pPr>
                    <w:pStyle w:val="6"/>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b w:val="0"/>
                      <w:sz w:val="21"/>
                      <w:vertAlign w:val="baseline"/>
                    </w:rPr>
                  </w:pPr>
                </w:p>
              </w:tc>
              <w:tc>
                <w:tcPr>
                  <w:tcW w:w="1192" w:type="dxa"/>
                  <w:vMerge w:val="continue"/>
                  <w:tcBorders>
                    <w:tl2br w:val="nil"/>
                    <w:tr2bl w:val="nil"/>
                  </w:tcBorders>
                  <w:vAlign w:val="center"/>
                </w:tcPr>
                <w:p w14:paraId="423DCBEA">
                  <w:pPr>
                    <w:pStyle w:val="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b w:val="0"/>
                      <w:sz w:val="21"/>
                      <w:vertAlign w:val="baseline"/>
                    </w:rPr>
                  </w:pPr>
                </w:p>
              </w:tc>
              <w:tc>
                <w:tcPr>
                  <w:tcW w:w="1193" w:type="dxa"/>
                  <w:vMerge w:val="continue"/>
                  <w:tcBorders>
                    <w:tl2br w:val="nil"/>
                    <w:tr2bl w:val="nil"/>
                  </w:tcBorders>
                  <w:vAlign w:val="center"/>
                </w:tcPr>
                <w:p w14:paraId="7D92C5C1">
                  <w:pPr>
                    <w:pStyle w:val="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b w:val="0"/>
                      <w:sz w:val="21"/>
                      <w:vertAlign w:val="baseline"/>
                    </w:rPr>
                  </w:pPr>
                </w:p>
              </w:tc>
              <w:tc>
                <w:tcPr>
                  <w:tcW w:w="4740" w:type="dxa"/>
                  <w:tcBorders>
                    <w:tl2br w:val="nil"/>
                    <w:tr2bl w:val="nil"/>
                  </w:tcBorders>
                  <w:vAlign w:val="center"/>
                </w:tcPr>
                <w:p w14:paraId="6DAF6D90">
                  <w:pPr>
                    <w:pStyle w:val="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420" w:firstLineChars="200"/>
                    <w:jc w:val="both"/>
                    <w:textAlignment w:val="auto"/>
                    <w:rPr>
                      <w:rFonts w:hint="eastAsia" w:ascii="Times New Roman" w:hAnsi="Times New Roman"/>
                      <w:b w:val="0"/>
                      <w:sz w:val="21"/>
                      <w:vertAlign w:val="baseline"/>
                    </w:rPr>
                  </w:pPr>
                  <w:r>
                    <w:rPr>
                      <w:rFonts w:hint="eastAsia" w:ascii="Times New Roman" w:hAnsi="Times New Roman"/>
                      <w:b w:val="0"/>
                      <w:sz w:val="21"/>
                      <w:vertAlign w:val="baseline"/>
                    </w:rPr>
                    <w:t>2023年4月17日取得突发环境事件应急预案备案表</w:t>
                  </w:r>
                </w:p>
              </w:tc>
            </w:tr>
            <w:tr w14:paraId="471CE8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0" w:type="dxa"/>
                  <w:tcBorders>
                    <w:tl2br w:val="nil"/>
                    <w:tr2bl w:val="nil"/>
                  </w:tcBorders>
                  <w:vAlign w:val="center"/>
                </w:tcPr>
                <w:p w14:paraId="1582FE7D">
                  <w:pPr>
                    <w:pStyle w:val="6"/>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b w:val="0"/>
                      <w:sz w:val="21"/>
                      <w:vertAlign w:val="baseline"/>
                    </w:rPr>
                  </w:pPr>
                </w:p>
              </w:tc>
              <w:tc>
                <w:tcPr>
                  <w:tcW w:w="1192" w:type="dxa"/>
                  <w:vMerge w:val="continue"/>
                  <w:tcBorders>
                    <w:tl2br w:val="nil"/>
                    <w:tr2bl w:val="nil"/>
                  </w:tcBorders>
                  <w:vAlign w:val="center"/>
                </w:tcPr>
                <w:p w14:paraId="4E2997A4">
                  <w:pPr>
                    <w:pStyle w:val="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b w:val="0"/>
                      <w:sz w:val="21"/>
                      <w:vertAlign w:val="baseline"/>
                    </w:rPr>
                  </w:pPr>
                </w:p>
              </w:tc>
              <w:tc>
                <w:tcPr>
                  <w:tcW w:w="1193" w:type="dxa"/>
                  <w:vMerge w:val="continue"/>
                  <w:tcBorders>
                    <w:tl2br w:val="nil"/>
                    <w:tr2bl w:val="nil"/>
                  </w:tcBorders>
                  <w:vAlign w:val="center"/>
                </w:tcPr>
                <w:p w14:paraId="02FDCD10">
                  <w:pPr>
                    <w:pStyle w:val="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b w:val="0"/>
                      <w:sz w:val="21"/>
                      <w:vertAlign w:val="baseline"/>
                    </w:rPr>
                  </w:pPr>
                </w:p>
              </w:tc>
              <w:tc>
                <w:tcPr>
                  <w:tcW w:w="4740" w:type="dxa"/>
                  <w:tcBorders>
                    <w:tl2br w:val="nil"/>
                    <w:tr2bl w:val="nil"/>
                  </w:tcBorders>
                  <w:vAlign w:val="center"/>
                </w:tcPr>
                <w:p w14:paraId="7C2E1C4C">
                  <w:pPr>
                    <w:pStyle w:val="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420" w:firstLineChars="200"/>
                    <w:jc w:val="both"/>
                    <w:textAlignment w:val="auto"/>
                    <w:rPr>
                      <w:rFonts w:hint="eastAsia" w:ascii="Times New Roman" w:hAnsi="Times New Roman"/>
                      <w:b w:val="0"/>
                      <w:sz w:val="21"/>
                      <w:vertAlign w:val="baseline"/>
                    </w:rPr>
                  </w:pPr>
                  <w:r>
                    <w:rPr>
                      <w:rFonts w:hint="eastAsia" w:ascii="Times New Roman" w:hAnsi="Times New Roman"/>
                      <w:b w:val="0"/>
                      <w:sz w:val="21"/>
                      <w:vertAlign w:val="baseline"/>
                    </w:rPr>
                    <w:t>2023年3月进行了三同时自主验收</w:t>
                  </w:r>
                </w:p>
              </w:tc>
            </w:tr>
          </w:tbl>
          <w:p w14:paraId="3C164CBC">
            <w:pPr>
              <w:pStyle w:val="2"/>
              <w:keepNext w:val="0"/>
              <w:keepLines w:val="0"/>
              <w:pageBreakBefore w:val="0"/>
              <w:widowControl w:val="0"/>
              <w:numPr>
                <w:ilvl w:val="0"/>
                <w:numId w:val="6"/>
              </w:numPr>
              <w:kinsoku/>
              <w:wordWrap/>
              <w:overflowPunct/>
              <w:topLinePunct w:val="0"/>
              <w:bidi w:val="0"/>
              <w:adjustRightInd w:val="0"/>
              <w:snapToGrid w:val="0"/>
              <w:spacing w:line="360" w:lineRule="auto"/>
              <w:textAlignment w:val="auto"/>
              <w:rPr>
                <w:rFonts w:hint="eastAsia" w:ascii="Times New Roman" w:hAnsi="Times New Roman"/>
                <w:b w:val="0"/>
                <w:sz w:val="24"/>
              </w:rPr>
            </w:pPr>
            <w:r>
              <w:rPr>
                <w:rFonts w:hint="eastAsia" w:ascii="Times New Roman" w:hAnsi="Times New Roman"/>
                <w:b w:val="0"/>
                <w:sz w:val="24"/>
              </w:rPr>
              <w:t>原有项目产品、设备、原辅材料、能源、生产工艺流程及产污环节</w:t>
            </w:r>
          </w:p>
          <w:p w14:paraId="7E68435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b/>
                <w:bCs/>
                <w:sz w:val="21"/>
                <w:lang w:val="en-US" w:eastAsia="zh-CN"/>
              </w:rPr>
            </w:pPr>
            <w:r>
              <w:rPr>
                <w:rFonts w:hint="eastAsia"/>
                <w:b/>
                <w:bCs/>
                <w:sz w:val="21"/>
                <w:lang w:val="en-US" w:eastAsia="zh-CN"/>
              </w:rPr>
              <w:t>表2-9  产品方案一览表</w:t>
            </w:r>
          </w:p>
          <w:tbl>
            <w:tblPr>
              <w:tblStyle w:val="23"/>
              <w:tblW w:w="7945"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425"/>
              <w:gridCol w:w="2655"/>
              <w:gridCol w:w="2836"/>
            </w:tblGrid>
            <w:tr w14:paraId="5B84FB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9" w:type="dxa"/>
                  <w:vMerge w:val="restart"/>
                  <w:tcBorders>
                    <w:tl2br w:val="nil"/>
                    <w:tr2bl w:val="nil"/>
                  </w:tcBorders>
                  <w:vAlign w:val="center"/>
                </w:tcPr>
                <w:p w14:paraId="3861EF08">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b w:val="0"/>
                      <w:bCs w:val="0"/>
                      <w:sz w:val="21"/>
                      <w:vertAlign w:val="baseline"/>
                      <w:lang w:val="en-US" w:eastAsia="zh-CN"/>
                    </w:rPr>
                  </w:pPr>
                  <w:r>
                    <w:rPr>
                      <w:rFonts w:hint="eastAsia"/>
                      <w:b w:val="0"/>
                      <w:bCs w:val="0"/>
                      <w:sz w:val="21"/>
                      <w:vertAlign w:val="baseline"/>
                      <w:lang w:val="en-US" w:eastAsia="zh-CN"/>
                    </w:rPr>
                    <w:t>序号</w:t>
                  </w:r>
                </w:p>
              </w:tc>
              <w:tc>
                <w:tcPr>
                  <w:tcW w:w="1425" w:type="dxa"/>
                  <w:vMerge w:val="restart"/>
                  <w:tcBorders>
                    <w:tl2br w:val="nil"/>
                    <w:tr2bl w:val="nil"/>
                  </w:tcBorders>
                  <w:vAlign w:val="center"/>
                </w:tcPr>
                <w:p w14:paraId="1352590C">
                  <w:pPr>
                    <w:pStyle w:val="6"/>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0" w:firstLineChars="0"/>
                    <w:jc w:val="center"/>
                    <w:textAlignment w:val="auto"/>
                    <w:rPr>
                      <w:rFonts w:hint="eastAsia"/>
                      <w:b w:val="0"/>
                      <w:bCs w:val="0"/>
                      <w:sz w:val="21"/>
                      <w:vertAlign w:val="baseline"/>
                      <w:lang w:val="en-US" w:eastAsia="zh-CN"/>
                    </w:rPr>
                  </w:pPr>
                  <w:r>
                    <w:rPr>
                      <w:rFonts w:hint="eastAsia"/>
                      <w:b w:val="0"/>
                      <w:bCs w:val="0"/>
                      <w:sz w:val="21"/>
                      <w:vertAlign w:val="baseline"/>
                      <w:lang w:val="en-US" w:eastAsia="zh-CN"/>
                    </w:rPr>
                    <w:t>产品名称</w:t>
                  </w:r>
                </w:p>
              </w:tc>
              <w:tc>
                <w:tcPr>
                  <w:tcW w:w="5491" w:type="dxa"/>
                  <w:gridSpan w:val="2"/>
                  <w:tcBorders>
                    <w:tl2br w:val="nil"/>
                    <w:tr2bl w:val="nil"/>
                  </w:tcBorders>
                  <w:vAlign w:val="center"/>
                </w:tcPr>
                <w:p w14:paraId="58BECC36">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b w:val="0"/>
                      <w:bCs w:val="0"/>
                      <w:sz w:val="21"/>
                      <w:vertAlign w:val="baseline"/>
                    </w:rPr>
                  </w:pPr>
                  <w:r>
                    <w:rPr>
                      <w:rFonts w:hint="eastAsia"/>
                      <w:b w:val="0"/>
                      <w:bCs w:val="0"/>
                      <w:sz w:val="21"/>
                      <w:vertAlign w:val="baseline"/>
                      <w:lang w:val="en-US" w:eastAsia="zh-CN"/>
                    </w:rPr>
                    <w:t>生产能力</w:t>
                  </w:r>
                </w:p>
              </w:tc>
            </w:tr>
            <w:tr w14:paraId="13DA49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9" w:type="dxa"/>
                  <w:vMerge w:val="continue"/>
                  <w:tcBorders>
                    <w:tl2br w:val="nil"/>
                    <w:tr2bl w:val="nil"/>
                  </w:tcBorders>
                  <w:vAlign w:val="center"/>
                </w:tcPr>
                <w:p w14:paraId="42050B73">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b w:val="0"/>
                      <w:bCs w:val="0"/>
                      <w:sz w:val="21"/>
                      <w:vertAlign w:val="baseline"/>
                      <w:lang w:val="en-US" w:eastAsia="zh-CN"/>
                    </w:rPr>
                  </w:pPr>
                </w:p>
              </w:tc>
              <w:tc>
                <w:tcPr>
                  <w:tcW w:w="1425" w:type="dxa"/>
                  <w:vMerge w:val="continue"/>
                  <w:tcBorders>
                    <w:tl2br w:val="nil"/>
                    <w:tr2bl w:val="nil"/>
                  </w:tcBorders>
                  <w:vAlign w:val="center"/>
                </w:tcPr>
                <w:p w14:paraId="481C7F0E">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b w:val="0"/>
                      <w:bCs w:val="0"/>
                      <w:sz w:val="21"/>
                      <w:vertAlign w:val="baseline"/>
                      <w:lang w:val="en-US" w:eastAsia="zh-CN"/>
                    </w:rPr>
                  </w:pPr>
                </w:p>
              </w:tc>
              <w:tc>
                <w:tcPr>
                  <w:tcW w:w="2655" w:type="dxa"/>
                  <w:tcBorders>
                    <w:tl2br w:val="nil"/>
                    <w:tr2bl w:val="nil"/>
                  </w:tcBorders>
                  <w:vAlign w:val="center"/>
                </w:tcPr>
                <w:p w14:paraId="3AAAF701">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b w:val="0"/>
                      <w:bCs w:val="0"/>
                      <w:sz w:val="21"/>
                      <w:vertAlign w:val="baseline"/>
                      <w:lang w:val="en-US" w:eastAsia="zh-CN"/>
                    </w:rPr>
                  </w:pPr>
                  <w:r>
                    <w:rPr>
                      <w:rFonts w:hint="eastAsia"/>
                      <w:b w:val="0"/>
                      <w:bCs w:val="0"/>
                      <w:sz w:val="21"/>
                      <w:vertAlign w:val="baseline"/>
                      <w:lang w:val="en-US" w:eastAsia="zh-CN"/>
                    </w:rPr>
                    <w:t>环评设计</w:t>
                  </w:r>
                </w:p>
              </w:tc>
              <w:tc>
                <w:tcPr>
                  <w:tcW w:w="2836" w:type="dxa"/>
                  <w:tcBorders>
                    <w:tl2br w:val="nil"/>
                    <w:tr2bl w:val="nil"/>
                  </w:tcBorders>
                  <w:vAlign w:val="center"/>
                </w:tcPr>
                <w:p w14:paraId="0DB55292">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eastAsia="宋体"/>
                      <w:b w:val="0"/>
                      <w:bCs w:val="0"/>
                      <w:sz w:val="21"/>
                      <w:vertAlign w:val="baseline"/>
                      <w:lang w:val="en-US" w:eastAsia="zh-CN"/>
                    </w:rPr>
                  </w:pPr>
                  <w:r>
                    <w:rPr>
                      <w:rFonts w:hint="eastAsia"/>
                      <w:b w:val="0"/>
                      <w:bCs w:val="0"/>
                      <w:sz w:val="21"/>
                      <w:vertAlign w:val="baseline"/>
                      <w:lang w:val="en-US" w:eastAsia="zh-CN"/>
                    </w:rPr>
                    <w:t>验收</w:t>
                  </w:r>
                </w:p>
              </w:tc>
            </w:tr>
            <w:tr w14:paraId="4AE254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9" w:type="dxa"/>
                  <w:tcBorders>
                    <w:tl2br w:val="nil"/>
                    <w:tr2bl w:val="nil"/>
                  </w:tcBorders>
                  <w:vAlign w:val="center"/>
                </w:tcPr>
                <w:p w14:paraId="41022566">
                  <w:pPr>
                    <w:pStyle w:val="6"/>
                    <w:keepNext w:val="0"/>
                    <w:keepLines w:val="0"/>
                    <w:pageBreakBefore w:val="0"/>
                    <w:widowControl w:val="0"/>
                    <w:numPr>
                      <w:ilvl w:val="0"/>
                      <w:numId w:val="7"/>
                    </w:numPr>
                    <w:tabs>
                      <w:tab w:val="left" w:pos="0"/>
                    </w:tabs>
                    <w:kinsoku/>
                    <w:wordWrap/>
                    <w:overflowPunct/>
                    <w:topLinePunct w:val="0"/>
                    <w:autoSpaceDE/>
                    <w:autoSpaceDN/>
                    <w:bidi w:val="0"/>
                    <w:adjustRightInd/>
                    <w:snapToGrid/>
                    <w:spacing w:after="0"/>
                    <w:ind w:left="0" w:leftChars="0" w:firstLine="0" w:firstLineChars="0"/>
                    <w:jc w:val="center"/>
                    <w:textAlignment w:val="auto"/>
                    <w:rPr>
                      <w:rFonts w:hint="eastAsia" w:eastAsia="宋体"/>
                      <w:sz w:val="21"/>
                      <w:vertAlign w:val="baseline"/>
                      <w:lang w:val="en-US" w:eastAsia="zh-CN"/>
                    </w:rPr>
                  </w:pPr>
                </w:p>
              </w:tc>
              <w:tc>
                <w:tcPr>
                  <w:tcW w:w="1425" w:type="dxa"/>
                  <w:tcBorders>
                    <w:tl2br w:val="nil"/>
                    <w:tr2bl w:val="nil"/>
                  </w:tcBorders>
                  <w:vAlign w:val="center"/>
                </w:tcPr>
                <w:p w14:paraId="1F18E549">
                  <w:pPr>
                    <w:pStyle w:val="6"/>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0" w:firstLineChars="0"/>
                    <w:jc w:val="center"/>
                    <w:textAlignment w:val="auto"/>
                    <w:rPr>
                      <w:rFonts w:hint="eastAsia"/>
                      <w:sz w:val="21"/>
                      <w:vertAlign w:val="baseline"/>
                      <w:lang w:val="en-US" w:eastAsia="zh-CN"/>
                    </w:rPr>
                  </w:pPr>
                  <w:r>
                    <w:rPr>
                      <w:rFonts w:hint="eastAsia"/>
                      <w:sz w:val="21"/>
                      <w:vertAlign w:val="baseline"/>
                      <w:lang w:val="en-US" w:eastAsia="zh-CN"/>
                    </w:rPr>
                    <w:t>钢化玻璃</w:t>
                  </w:r>
                </w:p>
              </w:tc>
              <w:tc>
                <w:tcPr>
                  <w:tcW w:w="2655" w:type="dxa"/>
                  <w:tcBorders>
                    <w:tl2br w:val="nil"/>
                    <w:tr2bl w:val="nil"/>
                  </w:tcBorders>
                  <w:vAlign w:val="center"/>
                </w:tcPr>
                <w:p w14:paraId="63708F1D">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5万m</w:t>
                  </w:r>
                  <w:r>
                    <w:rPr>
                      <w:rFonts w:hint="eastAsia"/>
                      <w:sz w:val="21"/>
                      <w:vertAlign w:val="superscript"/>
                      <w:lang w:val="en-US" w:eastAsia="zh-CN"/>
                    </w:rPr>
                    <w:t>2</w:t>
                  </w:r>
                  <w:r>
                    <w:rPr>
                      <w:rFonts w:hint="eastAsia"/>
                      <w:sz w:val="21"/>
                      <w:vertAlign w:val="baseline"/>
                      <w:lang w:val="en-US" w:eastAsia="zh-CN"/>
                    </w:rPr>
                    <w:t>/a</w:t>
                  </w:r>
                </w:p>
              </w:tc>
              <w:tc>
                <w:tcPr>
                  <w:tcW w:w="2836" w:type="dxa"/>
                  <w:tcBorders>
                    <w:tl2br w:val="nil"/>
                    <w:tr2bl w:val="nil"/>
                  </w:tcBorders>
                  <w:vAlign w:val="center"/>
                </w:tcPr>
                <w:p w14:paraId="3E5A8035">
                  <w:pPr>
                    <w:pStyle w:val="6"/>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0" w:firstLineChars="0"/>
                    <w:jc w:val="center"/>
                    <w:textAlignment w:val="auto"/>
                    <w:rPr>
                      <w:sz w:val="21"/>
                      <w:vertAlign w:val="baseline"/>
                    </w:rPr>
                  </w:pPr>
                  <w:r>
                    <w:rPr>
                      <w:rFonts w:hint="eastAsia"/>
                      <w:sz w:val="21"/>
                      <w:vertAlign w:val="baseline"/>
                      <w:lang w:val="en-US" w:eastAsia="zh-CN"/>
                    </w:rPr>
                    <w:t>5万m</w:t>
                  </w:r>
                  <w:r>
                    <w:rPr>
                      <w:rFonts w:hint="eastAsia"/>
                      <w:sz w:val="21"/>
                      <w:vertAlign w:val="superscript"/>
                      <w:lang w:val="en-US" w:eastAsia="zh-CN"/>
                    </w:rPr>
                    <w:t>2</w:t>
                  </w:r>
                  <w:r>
                    <w:rPr>
                      <w:rFonts w:hint="eastAsia"/>
                      <w:sz w:val="21"/>
                      <w:vertAlign w:val="baseline"/>
                      <w:lang w:val="en-US" w:eastAsia="zh-CN"/>
                    </w:rPr>
                    <w:t>/a</w:t>
                  </w:r>
                </w:p>
              </w:tc>
            </w:tr>
            <w:tr w14:paraId="659167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9" w:type="dxa"/>
                  <w:tcBorders>
                    <w:tl2br w:val="nil"/>
                    <w:tr2bl w:val="nil"/>
                  </w:tcBorders>
                  <w:vAlign w:val="center"/>
                </w:tcPr>
                <w:p w14:paraId="457177E0">
                  <w:pPr>
                    <w:pStyle w:val="6"/>
                    <w:keepNext w:val="0"/>
                    <w:keepLines w:val="0"/>
                    <w:pageBreakBefore w:val="0"/>
                    <w:widowControl w:val="0"/>
                    <w:numPr>
                      <w:ilvl w:val="0"/>
                      <w:numId w:val="7"/>
                    </w:numPr>
                    <w:tabs>
                      <w:tab w:val="left" w:pos="0"/>
                    </w:tabs>
                    <w:kinsoku/>
                    <w:wordWrap/>
                    <w:overflowPunct/>
                    <w:topLinePunct w:val="0"/>
                    <w:autoSpaceDE/>
                    <w:autoSpaceDN/>
                    <w:bidi w:val="0"/>
                    <w:adjustRightInd/>
                    <w:snapToGrid/>
                    <w:spacing w:after="0"/>
                    <w:ind w:left="0" w:leftChars="0" w:firstLine="0" w:firstLineChars="0"/>
                    <w:jc w:val="center"/>
                    <w:textAlignment w:val="auto"/>
                    <w:rPr>
                      <w:rFonts w:hint="eastAsia" w:eastAsia="宋体"/>
                      <w:sz w:val="21"/>
                      <w:vertAlign w:val="baseline"/>
                      <w:lang w:val="en-US" w:eastAsia="zh-CN"/>
                    </w:rPr>
                  </w:pPr>
                </w:p>
              </w:tc>
              <w:tc>
                <w:tcPr>
                  <w:tcW w:w="1425" w:type="dxa"/>
                  <w:tcBorders>
                    <w:tl2br w:val="nil"/>
                    <w:tr2bl w:val="nil"/>
                  </w:tcBorders>
                  <w:vAlign w:val="center"/>
                </w:tcPr>
                <w:p w14:paraId="261AD0C9">
                  <w:pPr>
                    <w:pStyle w:val="6"/>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0" w:firstLineChars="0"/>
                    <w:jc w:val="center"/>
                    <w:textAlignment w:val="auto"/>
                    <w:rPr>
                      <w:rFonts w:hint="eastAsia"/>
                      <w:sz w:val="21"/>
                      <w:vertAlign w:val="baseline"/>
                      <w:lang w:val="en-US" w:eastAsia="zh-CN"/>
                    </w:rPr>
                  </w:pPr>
                  <w:r>
                    <w:rPr>
                      <w:rFonts w:hint="eastAsia"/>
                      <w:sz w:val="21"/>
                      <w:vertAlign w:val="baseline"/>
                      <w:lang w:val="en-US" w:eastAsia="zh-CN"/>
                    </w:rPr>
                    <w:t>中空玻璃</w:t>
                  </w:r>
                </w:p>
              </w:tc>
              <w:tc>
                <w:tcPr>
                  <w:tcW w:w="2655" w:type="dxa"/>
                  <w:tcBorders>
                    <w:tl2br w:val="nil"/>
                    <w:tr2bl w:val="nil"/>
                  </w:tcBorders>
                  <w:vAlign w:val="center"/>
                </w:tcPr>
                <w:p w14:paraId="298C7CD5">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2万m</w:t>
                  </w:r>
                  <w:r>
                    <w:rPr>
                      <w:rFonts w:hint="eastAsia"/>
                      <w:sz w:val="21"/>
                      <w:vertAlign w:val="superscript"/>
                      <w:lang w:val="en-US" w:eastAsia="zh-CN"/>
                    </w:rPr>
                    <w:t>2</w:t>
                  </w:r>
                  <w:r>
                    <w:rPr>
                      <w:rFonts w:hint="eastAsia"/>
                      <w:sz w:val="21"/>
                      <w:vertAlign w:val="baseline"/>
                      <w:lang w:val="en-US" w:eastAsia="zh-CN"/>
                    </w:rPr>
                    <w:t>/a</w:t>
                  </w:r>
                </w:p>
              </w:tc>
              <w:tc>
                <w:tcPr>
                  <w:tcW w:w="2836" w:type="dxa"/>
                  <w:tcBorders>
                    <w:tl2br w:val="nil"/>
                    <w:tr2bl w:val="nil"/>
                  </w:tcBorders>
                  <w:vAlign w:val="center"/>
                </w:tcPr>
                <w:p w14:paraId="4FBEEBF9">
                  <w:pPr>
                    <w:pStyle w:val="6"/>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0" w:firstLineChars="0"/>
                    <w:jc w:val="center"/>
                    <w:textAlignment w:val="auto"/>
                    <w:rPr>
                      <w:sz w:val="21"/>
                      <w:vertAlign w:val="baseline"/>
                    </w:rPr>
                  </w:pPr>
                  <w:r>
                    <w:rPr>
                      <w:rFonts w:hint="eastAsia"/>
                      <w:sz w:val="21"/>
                      <w:vertAlign w:val="baseline"/>
                      <w:lang w:val="en-US" w:eastAsia="zh-CN"/>
                    </w:rPr>
                    <w:t>2万m</w:t>
                  </w:r>
                  <w:r>
                    <w:rPr>
                      <w:rFonts w:hint="eastAsia"/>
                      <w:sz w:val="21"/>
                      <w:vertAlign w:val="superscript"/>
                      <w:lang w:val="en-US" w:eastAsia="zh-CN"/>
                    </w:rPr>
                    <w:t>2</w:t>
                  </w:r>
                  <w:r>
                    <w:rPr>
                      <w:rFonts w:hint="eastAsia"/>
                      <w:sz w:val="21"/>
                      <w:vertAlign w:val="baseline"/>
                      <w:lang w:val="en-US" w:eastAsia="zh-CN"/>
                    </w:rPr>
                    <w:t>/a</w:t>
                  </w:r>
                </w:p>
              </w:tc>
            </w:tr>
            <w:tr w14:paraId="469C71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9" w:type="dxa"/>
                  <w:tcBorders>
                    <w:tl2br w:val="nil"/>
                    <w:tr2bl w:val="nil"/>
                  </w:tcBorders>
                  <w:vAlign w:val="center"/>
                </w:tcPr>
                <w:p w14:paraId="67434E6B">
                  <w:pPr>
                    <w:pStyle w:val="6"/>
                    <w:keepNext w:val="0"/>
                    <w:keepLines w:val="0"/>
                    <w:pageBreakBefore w:val="0"/>
                    <w:widowControl w:val="0"/>
                    <w:numPr>
                      <w:ilvl w:val="0"/>
                      <w:numId w:val="7"/>
                    </w:numPr>
                    <w:tabs>
                      <w:tab w:val="left" w:pos="0"/>
                    </w:tabs>
                    <w:kinsoku/>
                    <w:wordWrap/>
                    <w:overflowPunct/>
                    <w:topLinePunct w:val="0"/>
                    <w:autoSpaceDE/>
                    <w:autoSpaceDN/>
                    <w:bidi w:val="0"/>
                    <w:adjustRightInd/>
                    <w:snapToGrid/>
                    <w:spacing w:after="0"/>
                    <w:ind w:left="0" w:leftChars="0" w:firstLine="0" w:firstLineChars="0"/>
                    <w:jc w:val="center"/>
                    <w:textAlignment w:val="auto"/>
                    <w:rPr>
                      <w:rFonts w:hint="eastAsia" w:eastAsia="宋体"/>
                      <w:sz w:val="21"/>
                      <w:vertAlign w:val="baseline"/>
                      <w:lang w:val="en-US" w:eastAsia="zh-CN"/>
                    </w:rPr>
                  </w:pPr>
                </w:p>
              </w:tc>
              <w:tc>
                <w:tcPr>
                  <w:tcW w:w="1425" w:type="dxa"/>
                  <w:tcBorders>
                    <w:tl2br w:val="nil"/>
                    <w:tr2bl w:val="nil"/>
                  </w:tcBorders>
                  <w:vAlign w:val="center"/>
                </w:tcPr>
                <w:p w14:paraId="5BC3B6DD">
                  <w:pPr>
                    <w:pStyle w:val="6"/>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0" w:firstLineChars="0"/>
                    <w:jc w:val="center"/>
                    <w:textAlignment w:val="auto"/>
                    <w:rPr>
                      <w:rFonts w:hint="eastAsia"/>
                      <w:sz w:val="21"/>
                      <w:vertAlign w:val="baseline"/>
                      <w:lang w:val="en-US" w:eastAsia="zh-CN"/>
                    </w:rPr>
                  </w:pPr>
                  <w:r>
                    <w:rPr>
                      <w:rFonts w:hint="eastAsia"/>
                      <w:sz w:val="21"/>
                      <w:vertAlign w:val="baseline"/>
                      <w:lang w:val="en-US" w:eastAsia="zh-CN"/>
                    </w:rPr>
                    <w:t>夹胶玻璃</w:t>
                  </w:r>
                </w:p>
              </w:tc>
              <w:tc>
                <w:tcPr>
                  <w:tcW w:w="2655" w:type="dxa"/>
                  <w:tcBorders>
                    <w:tl2br w:val="nil"/>
                    <w:tr2bl w:val="nil"/>
                  </w:tcBorders>
                  <w:vAlign w:val="center"/>
                </w:tcPr>
                <w:p w14:paraId="560A4069">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1万m</w:t>
                  </w:r>
                  <w:r>
                    <w:rPr>
                      <w:rFonts w:hint="eastAsia"/>
                      <w:sz w:val="21"/>
                      <w:vertAlign w:val="superscript"/>
                      <w:lang w:val="en-US" w:eastAsia="zh-CN"/>
                    </w:rPr>
                    <w:t>2</w:t>
                  </w:r>
                  <w:r>
                    <w:rPr>
                      <w:rFonts w:hint="eastAsia"/>
                      <w:sz w:val="21"/>
                      <w:vertAlign w:val="baseline"/>
                      <w:lang w:val="en-US" w:eastAsia="zh-CN"/>
                    </w:rPr>
                    <w:t>/a</w:t>
                  </w:r>
                </w:p>
              </w:tc>
              <w:tc>
                <w:tcPr>
                  <w:tcW w:w="2836" w:type="dxa"/>
                  <w:tcBorders>
                    <w:tl2br w:val="nil"/>
                    <w:tr2bl w:val="nil"/>
                  </w:tcBorders>
                  <w:vAlign w:val="center"/>
                </w:tcPr>
                <w:p w14:paraId="6C521B98">
                  <w:pPr>
                    <w:pStyle w:val="6"/>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0" w:firstLineChars="0"/>
                    <w:jc w:val="center"/>
                    <w:textAlignment w:val="auto"/>
                    <w:rPr>
                      <w:sz w:val="21"/>
                      <w:vertAlign w:val="baseline"/>
                    </w:rPr>
                  </w:pPr>
                  <w:r>
                    <w:rPr>
                      <w:rFonts w:hint="eastAsia"/>
                      <w:sz w:val="21"/>
                      <w:vertAlign w:val="baseline"/>
                      <w:lang w:val="en-US" w:eastAsia="zh-CN"/>
                    </w:rPr>
                    <w:t>1万m</w:t>
                  </w:r>
                  <w:r>
                    <w:rPr>
                      <w:rFonts w:hint="eastAsia"/>
                      <w:sz w:val="21"/>
                      <w:vertAlign w:val="superscript"/>
                      <w:lang w:val="en-US" w:eastAsia="zh-CN"/>
                    </w:rPr>
                    <w:t>2</w:t>
                  </w:r>
                  <w:r>
                    <w:rPr>
                      <w:rFonts w:hint="eastAsia"/>
                      <w:sz w:val="21"/>
                      <w:vertAlign w:val="baseline"/>
                      <w:lang w:val="en-US" w:eastAsia="zh-CN"/>
                    </w:rPr>
                    <w:t>/a</w:t>
                  </w:r>
                </w:p>
              </w:tc>
            </w:tr>
          </w:tbl>
          <w:p w14:paraId="787A2BB9">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bCs/>
                <w:sz w:val="21"/>
                <w:lang w:val="en-US" w:eastAsia="zh-CN"/>
              </w:rPr>
            </w:pPr>
            <w:r>
              <w:rPr>
                <w:rFonts w:hint="eastAsia"/>
                <w:b/>
                <w:bCs/>
                <w:sz w:val="21"/>
                <w:lang w:val="en-US" w:eastAsia="zh-CN"/>
              </w:rPr>
              <w:t>表2-10  主要设备一览表</w:t>
            </w:r>
          </w:p>
          <w:tbl>
            <w:tblPr>
              <w:tblStyle w:val="23"/>
              <w:tblW w:w="79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425"/>
              <w:gridCol w:w="675"/>
              <w:gridCol w:w="1005"/>
              <w:gridCol w:w="1095"/>
              <w:gridCol w:w="2724"/>
            </w:tblGrid>
            <w:tr w14:paraId="3BB002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50" w:hRule="atLeast"/>
              </w:trPr>
              <w:tc>
                <w:tcPr>
                  <w:tcW w:w="1014" w:type="dxa"/>
                  <w:tcBorders>
                    <w:tl2br w:val="nil"/>
                    <w:tr2bl w:val="nil"/>
                  </w:tcBorders>
                  <w:vAlign w:val="center"/>
                </w:tcPr>
                <w:p w14:paraId="2A44B422">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b w:val="0"/>
                      <w:bCs w:val="0"/>
                      <w:sz w:val="21"/>
                      <w:shd w:val="clear" w:color="auto" w:fill="auto"/>
                      <w:vertAlign w:val="baseline"/>
                      <w:lang w:val="en-US" w:eastAsia="zh-CN"/>
                    </w:rPr>
                  </w:pPr>
                  <w:r>
                    <w:rPr>
                      <w:rFonts w:hint="eastAsia"/>
                      <w:b w:val="0"/>
                      <w:bCs w:val="0"/>
                      <w:sz w:val="21"/>
                      <w:shd w:val="clear" w:color="auto" w:fill="auto"/>
                      <w:vertAlign w:val="baseline"/>
                      <w:lang w:val="en-US" w:eastAsia="zh-CN"/>
                    </w:rPr>
                    <w:t>序号</w:t>
                  </w:r>
                </w:p>
              </w:tc>
              <w:tc>
                <w:tcPr>
                  <w:tcW w:w="1425" w:type="dxa"/>
                  <w:tcBorders>
                    <w:tl2br w:val="nil"/>
                    <w:tr2bl w:val="nil"/>
                  </w:tcBorders>
                  <w:vAlign w:val="center"/>
                </w:tcPr>
                <w:p w14:paraId="6976195B">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b w:val="0"/>
                      <w:bCs w:val="0"/>
                      <w:sz w:val="21"/>
                      <w:shd w:val="clear" w:color="auto" w:fill="auto"/>
                      <w:vertAlign w:val="baseline"/>
                      <w:lang w:val="en-US" w:eastAsia="zh-CN"/>
                    </w:rPr>
                  </w:pPr>
                  <w:r>
                    <w:rPr>
                      <w:rFonts w:hint="eastAsia"/>
                      <w:b w:val="0"/>
                      <w:bCs w:val="0"/>
                      <w:sz w:val="21"/>
                      <w:shd w:val="clear" w:color="auto" w:fill="auto"/>
                      <w:vertAlign w:val="baseline"/>
                      <w:lang w:val="en-US" w:eastAsia="zh-CN"/>
                    </w:rPr>
                    <w:t>设备名称</w:t>
                  </w:r>
                </w:p>
              </w:tc>
              <w:tc>
                <w:tcPr>
                  <w:tcW w:w="675" w:type="dxa"/>
                  <w:tcBorders>
                    <w:tl2br w:val="nil"/>
                    <w:tr2bl w:val="nil"/>
                  </w:tcBorders>
                  <w:vAlign w:val="center"/>
                </w:tcPr>
                <w:p w14:paraId="5DFAB656">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b w:val="0"/>
                      <w:bCs w:val="0"/>
                      <w:sz w:val="21"/>
                      <w:shd w:val="clear" w:color="auto" w:fill="auto"/>
                      <w:vertAlign w:val="baseline"/>
                      <w:lang w:val="en-US" w:eastAsia="zh-CN"/>
                    </w:rPr>
                  </w:pPr>
                  <w:r>
                    <w:rPr>
                      <w:rFonts w:hint="eastAsia"/>
                      <w:b w:val="0"/>
                      <w:bCs w:val="0"/>
                      <w:sz w:val="21"/>
                      <w:shd w:val="clear" w:color="auto" w:fill="auto"/>
                      <w:vertAlign w:val="baseline"/>
                      <w:lang w:val="en-US" w:eastAsia="zh-CN"/>
                    </w:rPr>
                    <w:t>单位</w:t>
                  </w:r>
                </w:p>
              </w:tc>
              <w:tc>
                <w:tcPr>
                  <w:tcW w:w="1005" w:type="dxa"/>
                  <w:tcBorders>
                    <w:tl2br w:val="nil"/>
                    <w:tr2bl w:val="nil"/>
                  </w:tcBorders>
                  <w:vAlign w:val="center"/>
                </w:tcPr>
                <w:p w14:paraId="639BBF05">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b w:val="0"/>
                      <w:bCs w:val="0"/>
                      <w:sz w:val="21"/>
                      <w:shd w:val="clear" w:color="auto" w:fill="auto"/>
                      <w:vertAlign w:val="baseline"/>
                      <w:lang w:val="en-US" w:eastAsia="zh-CN"/>
                    </w:rPr>
                  </w:pPr>
                  <w:r>
                    <w:rPr>
                      <w:rFonts w:hint="eastAsia"/>
                      <w:b w:val="0"/>
                      <w:bCs w:val="0"/>
                      <w:sz w:val="21"/>
                      <w:shd w:val="clear" w:color="auto" w:fill="auto"/>
                      <w:vertAlign w:val="baseline"/>
                      <w:lang w:val="en-US" w:eastAsia="zh-CN"/>
                    </w:rPr>
                    <w:t>环评设计数量</w:t>
                  </w:r>
                </w:p>
              </w:tc>
              <w:tc>
                <w:tcPr>
                  <w:tcW w:w="1095" w:type="dxa"/>
                  <w:tcBorders>
                    <w:tl2br w:val="nil"/>
                    <w:tr2bl w:val="nil"/>
                  </w:tcBorders>
                  <w:vAlign w:val="center"/>
                </w:tcPr>
                <w:p w14:paraId="163AD857">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b w:val="0"/>
                      <w:bCs w:val="0"/>
                      <w:sz w:val="21"/>
                      <w:shd w:val="clear" w:color="auto" w:fill="auto"/>
                      <w:vertAlign w:val="baseline"/>
                      <w:lang w:val="en-US" w:eastAsia="zh-CN"/>
                    </w:rPr>
                  </w:pPr>
                  <w:r>
                    <w:rPr>
                      <w:rFonts w:hint="eastAsia"/>
                      <w:b w:val="0"/>
                      <w:bCs w:val="0"/>
                      <w:sz w:val="21"/>
                      <w:shd w:val="clear" w:color="auto" w:fill="auto"/>
                      <w:vertAlign w:val="baseline"/>
                      <w:lang w:val="en-US" w:eastAsia="zh-CN"/>
                    </w:rPr>
                    <w:t>验收数量</w:t>
                  </w:r>
                </w:p>
              </w:tc>
              <w:tc>
                <w:tcPr>
                  <w:tcW w:w="2724" w:type="dxa"/>
                  <w:tcBorders>
                    <w:tl2br w:val="nil"/>
                    <w:tr2bl w:val="nil"/>
                  </w:tcBorders>
                  <w:vAlign w:val="center"/>
                </w:tcPr>
                <w:p w14:paraId="137DA9A4">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b w:val="0"/>
                      <w:bCs w:val="0"/>
                      <w:sz w:val="21"/>
                      <w:shd w:val="clear" w:color="auto" w:fill="auto"/>
                      <w:vertAlign w:val="baseline"/>
                      <w:lang w:val="en-US" w:eastAsia="zh-CN"/>
                    </w:rPr>
                  </w:pPr>
                  <w:r>
                    <w:rPr>
                      <w:rFonts w:hint="eastAsia"/>
                      <w:b w:val="0"/>
                      <w:bCs w:val="0"/>
                      <w:sz w:val="21"/>
                      <w:shd w:val="clear" w:color="auto" w:fill="auto"/>
                      <w:vertAlign w:val="baseline"/>
                      <w:lang w:val="en-US" w:eastAsia="zh-CN"/>
                    </w:rPr>
                    <w:t>备注</w:t>
                  </w:r>
                </w:p>
              </w:tc>
            </w:tr>
            <w:tr w14:paraId="41B309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14" w:type="dxa"/>
                  <w:tcBorders>
                    <w:tl2br w:val="nil"/>
                    <w:tr2bl w:val="nil"/>
                  </w:tcBorders>
                  <w:vAlign w:val="center"/>
                </w:tcPr>
                <w:p w14:paraId="53B0C828">
                  <w:pPr>
                    <w:pStyle w:val="6"/>
                    <w:keepNext w:val="0"/>
                    <w:keepLines w:val="0"/>
                    <w:pageBreakBefore w:val="0"/>
                    <w:widowControl w:val="0"/>
                    <w:numPr>
                      <w:ilvl w:val="0"/>
                      <w:numId w:val="8"/>
                    </w:numPr>
                    <w:kinsoku/>
                    <w:wordWrap/>
                    <w:overflowPunct/>
                    <w:topLinePunct w:val="0"/>
                    <w:autoSpaceDE/>
                    <w:autoSpaceDN/>
                    <w:bidi w:val="0"/>
                    <w:adjustRightInd/>
                    <w:snapToGrid/>
                    <w:spacing w:after="0"/>
                    <w:ind w:left="0" w:leftChars="0" w:firstLine="0" w:firstLineChars="0"/>
                    <w:jc w:val="center"/>
                    <w:textAlignment w:val="auto"/>
                    <w:rPr>
                      <w:rFonts w:hint="default" w:eastAsia="宋体"/>
                      <w:sz w:val="21"/>
                      <w:shd w:val="clear" w:color="auto" w:fill="auto"/>
                      <w:vertAlign w:val="baseline"/>
                      <w:lang w:val="en-US" w:eastAsia="zh-CN"/>
                    </w:rPr>
                  </w:pPr>
                </w:p>
              </w:tc>
              <w:tc>
                <w:tcPr>
                  <w:tcW w:w="1425" w:type="dxa"/>
                  <w:tcBorders>
                    <w:tl2br w:val="nil"/>
                    <w:tr2bl w:val="nil"/>
                  </w:tcBorders>
                  <w:vAlign w:val="center"/>
                </w:tcPr>
                <w:p w14:paraId="2644759E">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钢化炉</w:t>
                  </w:r>
                </w:p>
              </w:tc>
              <w:tc>
                <w:tcPr>
                  <w:tcW w:w="675" w:type="dxa"/>
                  <w:tcBorders>
                    <w:tl2br w:val="nil"/>
                    <w:tr2bl w:val="nil"/>
                  </w:tcBorders>
                  <w:vAlign w:val="center"/>
                </w:tcPr>
                <w:p w14:paraId="4A830E62">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台</w:t>
                  </w:r>
                </w:p>
              </w:tc>
              <w:tc>
                <w:tcPr>
                  <w:tcW w:w="1005" w:type="dxa"/>
                  <w:tcBorders>
                    <w:tl2br w:val="nil"/>
                    <w:tr2bl w:val="nil"/>
                  </w:tcBorders>
                  <w:vAlign w:val="center"/>
                </w:tcPr>
                <w:p w14:paraId="448AFFD6">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1</w:t>
                  </w:r>
                </w:p>
              </w:tc>
              <w:tc>
                <w:tcPr>
                  <w:tcW w:w="1095" w:type="dxa"/>
                  <w:tcBorders>
                    <w:tl2br w:val="nil"/>
                    <w:tr2bl w:val="nil"/>
                  </w:tcBorders>
                  <w:vAlign w:val="center"/>
                </w:tcPr>
                <w:p w14:paraId="239FEAE0">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1</w:t>
                  </w:r>
                </w:p>
              </w:tc>
              <w:tc>
                <w:tcPr>
                  <w:tcW w:w="2724" w:type="dxa"/>
                  <w:tcBorders>
                    <w:tl2br w:val="nil"/>
                    <w:tr2bl w:val="nil"/>
                  </w:tcBorders>
                  <w:vAlign w:val="center"/>
                </w:tcPr>
                <w:p w14:paraId="3287A050">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无变化</w:t>
                  </w:r>
                </w:p>
              </w:tc>
            </w:tr>
            <w:tr w14:paraId="523EFA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14" w:type="dxa"/>
                  <w:tcBorders>
                    <w:tl2br w:val="nil"/>
                    <w:tr2bl w:val="nil"/>
                  </w:tcBorders>
                  <w:vAlign w:val="center"/>
                </w:tcPr>
                <w:p w14:paraId="243A8C9A">
                  <w:pPr>
                    <w:pStyle w:val="6"/>
                    <w:keepNext w:val="0"/>
                    <w:keepLines w:val="0"/>
                    <w:pageBreakBefore w:val="0"/>
                    <w:widowControl w:val="0"/>
                    <w:numPr>
                      <w:ilvl w:val="0"/>
                      <w:numId w:val="8"/>
                    </w:numPr>
                    <w:kinsoku/>
                    <w:wordWrap/>
                    <w:overflowPunct/>
                    <w:topLinePunct w:val="0"/>
                    <w:autoSpaceDE/>
                    <w:autoSpaceDN/>
                    <w:bidi w:val="0"/>
                    <w:adjustRightInd/>
                    <w:snapToGrid/>
                    <w:spacing w:after="0"/>
                    <w:ind w:left="0" w:leftChars="0" w:firstLine="0" w:firstLineChars="0"/>
                    <w:jc w:val="center"/>
                    <w:textAlignment w:val="auto"/>
                    <w:rPr>
                      <w:rFonts w:hint="default" w:eastAsia="宋体"/>
                      <w:sz w:val="21"/>
                      <w:shd w:val="clear" w:color="auto" w:fill="auto"/>
                      <w:vertAlign w:val="baseline"/>
                      <w:lang w:val="en-US" w:eastAsia="zh-CN"/>
                    </w:rPr>
                  </w:pPr>
                </w:p>
              </w:tc>
              <w:tc>
                <w:tcPr>
                  <w:tcW w:w="1425" w:type="dxa"/>
                  <w:tcBorders>
                    <w:tl2br w:val="nil"/>
                    <w:tr2bl w:val="nil"/>
                  </w:tcBorders>
                  <w:vAlign w:val="center"/>
                </w:tcPr>
                <w:p w14:paraId="3A26E74C">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自动切片机</w:t>
                  </w:r>
                </w:p>
              </w:tc>
              <w:tc>
                <w:tcPr>
                  <w:tcW w:w="675" w:type="dxa"/>
                  <w:tcBorders>
                    <w:tl2br w:val="nil"/>
                    <w:tr2bl w:val="nil"/>
                  </w:tcBorders>
                  <w:vAlign w:val="center"/>
                </w:tcPr>
                <w:p w14:paraId="16114290">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台</w:t>
                  </w:r>
                </w:p>
              </w:tc>
              <w:tc>
                <w:tcPr>
                  <w:tcW w:w="1005" w:type="dxa"/>
                  <w:tcBorders>
                    <w:tl2br w:val="nil"/>
                    <w:tr2bl w:val="nil"/>
                  </w:tcBorders>
                  <w:vAlign w:val="center"/>
                </w:tcPr>
                <w:p w14:paraId="01AA450A">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1</w:t>
                  </w:r>
                </w:p>
              </w:tc>
              <w:tc>
                <w:tcPr>
                  <w:tcW w:w="1095" w:type="dxa"/>
                  <w:tcBorders>
                    <w:tl2br w:val="nil"/>
                    <w:tr2bl w:val="nil"/>
                  </w:tcBorders>
                  <w:vAlign w:val="center"/>
                </w:tcPr>
                <w:p w14:paraId="6E6AD645">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1</w:t>
                  </w:r>
                </w:p>
              </w:tc>
              <w:tc>
                <w:tcPr>
                  <w:tcW w:w="2724" w:type="dxa"/>
                  <w:tcBorders>
                    <w:tl2br w:val="nil"/>
                    <w:tr2bl w:val="nil"/>
                  </w:tcBorders>
                  <w:vAlign w:val="center"/>
                </w:tcPr>
                <w:p w14:paraId="31CD9E45">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无变化</w:t>
                  </w:r>
                </w:p>
              </w:tc>
            </w:tr>
            <w:tr w14:paraId="65EFD7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14" w:type="dxa"/>
                  <w:tcBorders>
                    <w:tl2br w:val="nil"/>
                    <w:tr2bl w:val="nil"/>
                  </w:tcBorders>
                  <w:vAlign w:val="center"/>
                </w:tcPr>
                <w:p w14:paraId="2B785D69">
                  <w:pPr>
                    <w:pStyle w:val="6"/>
                    <w:keepNext w:val="0"/>
                    <w:keepLines w:val="0"/>
                    <w:pageBreakBefore w:val="0"/>
                    <w:widowControl w:val="0"/>
                    <w:numPr>
                      <w:ilvl w:val="0"/>
                      <w:numId w:val="8"/>
                    </w:numPr>
                    <w:kinsoku/>
                    <w:wordWrap/>
                    <w:overflowPunct/>
                    <w:topLinePunct w:val="0"/>
                    <w:autoSpaceDE/>
                    <w:autoSpaceDN/>
                    <w:bidi w:val="0"/>
                    <w:adjustRightInd/>
                    <w:snapToGrid/>
                    <w:spacing w:after="0"/>
                    <w:ind w:left="0" w:leftChars="0" w:firstLine="0" w:firstLineChars="0"/>
                    <w:jc w:val="center"/>
                    <w:textAlignment w:val="auto"/>
                    <w:rPr>
                      <w:rFonts w:hint="default" w:eastAsia="宋体"/>
                      <w:sz w:val="21"/>
                      <w:shd w:val="clear" w:color="auto" w:fill="auto"/>
                      <w:vertAlign w:val="baseline"/>
                      <w:lang w:val="en-US" w:eastAsia="zh-CN"/>
                    </w:rPr>
                  </w:pPr>
                </w:p>
              </w:tc>
              <w:tc>
                <w:tcPr>
                  <w:tcW w:w="1425" w:type="dxa"/>
                  <w:tcBorders>
                    <w:tl2br w:val="nil"/>
                    <w:tr2bl w:val="nil"/>
                  </w:tcBorders>
                  <w:vAlign w:val="center"/>
                </w:tcPr>
                <w:p w14:paraId="76331D73">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双边磨边机</w:t>
                  </w:r>
                </w:p>
              </w:tc>
              <w:tc>
                <w:tcPr>
                  <w:tcW w:w="675" w:type="dxa"/>
                  <w:tcBorders>
                    <w:tl2br w:val="nil"/>
                    <w:tr2bl w:val="nil"/>
                  </w:tcBorders>
                  <w:vAlign w:val="center"/>
                </w:tcPr>
                <w:p w14:paraId="075A4264">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台</w:t>
                  </w:r>
                </w:p>
              </w:tc>
              <w:tc>
                <w:tcPr>
                  <w:tcW w:w="1005" w:type="dxa"/>
                  <w:tcBorders>
                    <w:tl2br w:val="nil"/>
                    <w:tr2bl w:val="nil"/>
                  </w:tcBorders>
                  <w:vAlign w:val="center"/>
                </w:tcPr>
                <w:p w14:paraId="77AFFC73">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4</w:t>
                  </w:r>
                </w:p>
              </w:tc>
              <w:tc>
                <w:tcPr>
                  <w:tcW w:w="1095" w:type="dxa"/>
                  <w:tcBorders>
                    <w:tl2br w:val="nil"/>
                    <w:tr2bl w:val="nil"/>
                  </w:tcBorders>
                  <w:vAlign w:val="center"/>
                </w:tcPr>
                <w:p w14:paraId="71732613">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4</w:t>
                  </w:r>
                </w:p>
              </w:tc>
              <w:tc>
                <w:tcPr>
                  <w:tcW w:w="2724" w:type="dxa"/>
                  <w:tcBorders>
                    <w:tl2br w:val="nil"/>
                    <w:tr2bl w:val="nil"/>
                  </w:tcBorders>
                  <w:vAlign w:val="center"/>
                </w:tcPr>
                <w:p w14:paraId="13598ECA">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无变化</w:t>
                  </w:r>
                </w:p>
              </w:tc>
            </w:tr>
            <w:tr w14:paraId="49B5A4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14" w:type="dxa"/>
                  <w:tcBorders>
                    <w:tl2br w:val="nil"/>
                    <w:tr2bl w:val="nil"/>
                  </w:tcBorders>
                  <w:vAlign w:val="center"/>
                </w:tcPr>
                <w:p w14:paraId="2DDFD70A">
                  <w:pPr>
                    <w:pStyle w:val="6"/>
                    <w:keepNext w:val="0"/>
                    <w:keepLines w:val="0"/>
                    <w:pageBreakBefore w:val="0"/>
                    <w:widowControl w:val="0"/>
                    <w:numPr>
                      <w:ilvl w:val="0"/>
                      <w:numId w:val="8"/>
                    </w:numPr>
                    <w:kinsoku/>
                    <w:wordWrap/>
                    <w:overflowPunct/>
                    <w:topLinePunct w:val="0"/>
                    <w:autoSpaceDE/>
                    <w:autoSpaceDN/>
                    <w:bidi w:val="0"/>
                    <w:adjustRightInd/>
                    <w:snapToGrid/>
                    <w:spacing w:after="0"/>
                    <w:ind w:left="0" w:leftChars="0" w:firstLine="0" w:firstLineChars="0"/>
                    <w:jc w:val="center"/>
                    <w:textAlignment w:val="auto"/>
                    <w:rPr>
                      <w:rFonts w:hint="default" w:eastAsia="宋体"/>
                      <w:sz w:val="21"/>
                      <w:shd w:val="clear" w:color="auto" w:fill="auto"/>
                      <w:vertAlign w:val="baseline"/>
                      <w:lang w:val="en-US" w:eastAsia="zh-CN"/>
                    </w:rPr>
                  </w:pPr>
                </w:p>
              </w:tc>
              <w:tc>
                <w:tcPr>
                  <w:tcW w:w="1425" w:type="dxa"/>
                  <w:tcBorders>
                    <w:tl2br w:val="nil"/>
                    <w:tr2bl w:val="nil"/>
                  </w:tcBorders>
                  <w:vAlign w:val="center"/>
                </w:tcPr>
                <w:p w14:paraId="54E95F07">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四边磨边机</w:t>
                  </w:r>
                </w:p>
              </w:tc>
              <w:tc>
                <w:tcPr>
                  <w:tcW w:w="675" w:type="dxa"/>
                  <w:tcBorders>
                    <w:tl2br w:val="nil"/>
                    <w:tr2bl w:val="nil"/>
                  </w:tcBorders>
                  <w:vAlign w:val="center"/>
                </w:tcPr>
                <w:p w14:paraId="36421117">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台</w:t>
                  </w:r>
                </w:p>
              </w:tc>
              <w:tc>
                <w:tcPr>
                  <w:tcW w:w="1005" w:type="dxa"/>
                  <w:tcBorders>
                    <w:tl2br w:val="nil"/>
                    <w:tr2bl w:val="nil"/>
                  </w:tcBorders>
                  <w:vAlign w:val="center"/>
                </w:tcPr>
                <w:p w14:paraId="6CA21437">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0</w:t>
                  </w:r>
                </w:p>
              </w:tc>
              <w:tc>
                <w:tcPr>
                  <w:tcW w:w="1095" w:type="dxa"/>
                  <w:tcBorders>
                    <w:tl2br w:val="nil"/>
                    <w:tr2bl w:val="nil"/>
                  </w:tcBorders>
                  <w:vAlign w:val="center"/>
                </w:tcPr>
                <w:p w14:paraId="30333BE0">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1</w:t>
                  </w:r>
                </w:p>
              </w:tc>
              <w:tc>
                <w:tcPr>
                  <w:tcW w:w="2724" w:type="dxa"/>
                  <w:tcBorders>
                    <w:tl2br w:val="nil"/>
                    <w:tr2bl w:val="nil"/>
                  </w:tcBorders>
                  <w:vAlign w:val="center"/>
                </w:tcPr>
                <w:p w14:paraId="53806962">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default" w:eastAsia="宋体"/>
                      <w:sz w:val="21"/>
                      <w:shd w:val="clear" w:color="auto" w:fill="auto"/>
                      <w:vertAlign w:val="baseline"/>
                      <w:lang w:val="en-US" w:eastAsia="zh-CN"/>
                    </w:rPr>
                    <w:t>为提高玻璃磨边效率，新增一台四边磨，产能不增加</w:t>
                  </w:r>
                </w:p>
              </w:tc>
            </w:tr>
            <w:tr w14:paraId="349A67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04" w:hRule="atLeast"/>
              </w:trPr>
              <w:tc>
                <w:tcPr>
                  <w:tcW w:w="1014" w:type="dxa"/>
                  <w:tcBorders>
                    <w:tl2br w:val="nil"/>
                    <w:tr2bl w:val="nil"/>
                  </w:tcBorders>
                  <w:vAlign w:val="center"/>
                </w:tcPr>
                <w:p w14:paraId="5512A218">
                  <w:pPr>
                    <w:pStyle w:val="6"/>
                    <w:keepNext w:val="0"/>
                    <w:keepLines w:val="0"/>
                    <w:pageBreakBefore w:val="0"/>
                    <w:widowControl w:val="0"/>
                    <w:numPr>
                      <w:ilvl w:val="0"/>
                      <w:numId w:val="8"/>
                    </w:numPr>
                    <w:kinsoku/>
                    <w:wordWrap/>
                    <w:overflowPunct/>
                    <w:topLinePunct w:val="0"/>
                    <w:autoSpaceDE/>
                    <w:autoSpaceDN/>
                    <w:bidi w:val="0"/>
                    <w:adjustRightInd/>
                    <w:snapToGrid/>
                    <w:spacing w:after="0"/>
                    <w:ind w:left="0" w:leftChars="0" w:firstLine="0" w:firstLineChars="0"/>
                    <w:jc w:val="center"/>
                    <w:textAlignment w:val="auto"/>
                    <w:rPr>
                      <w:rFonts w:hint="default" w:eastAsia="宋体"/>
                      <w:sz w:val="21"/>
                      <w:shd w:val="clear" w:color="auto" w:fill="auto"/>
                      <w:vertAlign w:val="baseline"/>
                      <w:lang w:val="en-US" w:eastAsia="zh-CN"/>
                    </w:rPr>
                  </w:pPr>
                </w:p>
              </w:tc>
              <w:tc>
                <w:tcPr>
                  <w:tcW w:w="1425" w:type="dxa"/>
                  <w:tcBorders>
                    <w:tl2br w:val="nil"/>
                    <w:tr2bl w:val="nil"/>
                  </w:tcBorders>
                  <w:vAlign w:val="center"/>
                </w:tcPr>
                <w:p w14:paraId="1C6BF650">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中空线</w:t>
                  </w:r>
                </w:p>
              </w:tc>
              <w:tc>
                <w:tcPr>
                  <w:tcW w:w="675" w:type="dxa"/>
                  <w:tcBorders>
                    <w:tl2br w:val="nil"/>
                    <w:tr2bl w:val="nil"/>
                  </w:tcBorders>
                  <w:vAlign w:val="center"/>
                </w:tcPr>
                <w:p w14:paraId="3953306E">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套</w:t>
                  </w:r>
                </w:p>
              </w:tc>
              <w:tc>
                <w:tcPr>
                  <w:tcW w:w="1005" w:type="dxa"/>
                  <w:tcBorders>
                    <w:tl2br w:val="nil"/>
                    <w:tr2bl w:val="nil"/>
                  </w:tcBorders>
                  <w:vAlign w:val="center"/>
                </w:tcPr>
                <w:p w14:paraId="15B1CF6F">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1</w:t>
                  </w:r>
                </w:p>
              </w:tc>
              <w:tc>
                <w:tcPr>
                  <w:tcW w:w="1095" w:type="dxa"/>
                  <w:tcBorders>
                    <w:tl2br w:val="nil"/>
                    <w:tr2bl w:val="nil"/>
                  </w:tcBorders>
                  <w:vAlign w:val="center"/>
                </w:tcPr>
                <w:p w14:paraId="61B0A1C8">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2</w:t>
                  </w:r>
                </w:p>
              </w:tc>
              <w:tc>
                <w:tcPr>
                  <w:tcW w:w="2724" w:type="dxa"/>
                  <w:tcBorders>
                    <w:tl2br w:val="nil"/>
                    <w:tr2bl w:val="nil"/>
                  </w:tcBorders>
                  <w:vAlign w:val="center"/>
                </w:tcPr>
                <w:p w14:paraId="44728A73">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default" w:eastAsia="宋体"/>
                      <w:sz w:val="21"/>
                      <w:shd w:val="clear" w:color="auto" w:fill="auto"/>
                      <w:vertAlign w:val="baseline"/>
                      <w:lang w:val="en-US" w:eastAsia="zh-CN"/>
                    </w:rPr>
                    <w:t>为生产不同规格中空玻璃，新增一条中空线，产能不增加</w:t>
                  </w:r>
                </w:p>
              </w:tc>
            </w:tr>
            <w:tr w14:paraId="185298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14" w:type="dxa"/>
                  <w:tcBorders>
                    <w:tl2br w:val="nil"/>
                    <w:tr2bl w:val="nil"/>
                  </w:tcBorders>
                  <w:vAlign w:val="center"/>
                </w:tcPr>
                <w:p w14:paraId="63A19A09">
                  <w:pPr>
                    <w:pStyle w:val="6"/>
                    <w:keepNext w:val="0"/>
                    <w:keepLines w:val="0"/>
                    <w:pageBreakBefore w:val="0"/>
                    <w:widowControl w:val="0"/>
                    <w:numPr>
                      <w:ilvl w:val="0"/>
                      <w:numId w:val="8"/>
                    </w:numPr>
                    <w:kinsoku/>
                    <w:wordWrap/>
                    <w:overflowPunct/>
                    <w:topLinePunct w:val="0"/>
                    <w:autoSpaceDE/>
                    <w:autoSpaceDN/>
                    <w:bidi w:val="0"/>
                    <w:adjustRightInd/>
                    <w:snapToGrid/>
                    <w:spacing w:after="0"/>
                    <w:ind w:left="0" w:leftChars="0" w:firstLine="0" w:firstLineChars="0"/>
                    <w:jc w:val="center"/>
                    <w:textAlignment w:val="auto"/>
                    <w:rPr>
                      <w:rFonts w:hint="default" w:eastAsia="宋体"/>
                      <w:sz w:val="21"/>
                      <w:shd w:val="clear" w:color="auto" w:fill="auto"/>
                      <w:vertAlign w:val="baseline"/>
                      <w:lang w:val="en-US" w:eastAsia="zh-CN"/>
                    </w:rPr>
                  </w:pPr>
                </w:p>
              </w:tc>
              <w:tc>
                <w:tcPr>
                  <w:tcW w:w="1425" w:type="dxa"/>
                  <w:tcBorders>
                    <w:tl2br w:val="nil"/>
                    <w:tr2bl w:val="nil"/>
                  </w:tcBorders>
                  <w:vAlign w:val="center"/>
                </w:tcPr>
                <w:p w14:paraId="33325D61">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夹胶炉</w:t>
                  </w:r>
                </w:p>
              </w:tc>
              <w:tc>
                <w:tcPr>
                  <w:tcW w:w="675" w:type="dxa"/>
                  <w:tcBorders>
                    <w:tl2br w:val="nil"/>
                    <w:tr2bl w:val="nil"/>
                  </w:tcBorders>
                  <w:vAlign w:val="center"/>
                </w:tcPr>
                <w:p w14:paraId="08C8C039">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台</w:t>
                  </w:r>
                </w:p>
              </w:tc>
              <w:tc>
                <w:tcPr>
                  <w:tcW w:w="1005" w:type="dxa"/>
                  <w:tcBorders>
                    <w:tl2br w:val="nil"/>
                    <w:tr2bl w:val="nil"/>
                  </w:tcBorders>
                  <w:vAlign w:val="center"/>
                </w:tcPr>
                <w:p w14:paraId="35D6D171">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1</w:t>
                  </w:r>
                </w:p>
              </w:tc>
              <w:tc>
                <w:tcPr>
                  <w:tcW w:w="1095" w:type="dxa"/>
                  <w:tcBorders>
                    <w:tl2br w:val="nil"/>
                    <w:tr2bl w:val="nil"/>
                  </w:tcBorders>
                  <w:vAlign w:val="center"/>
                </w:tcPr>
                <w:p w14:paraId="1EDD8791">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1</w:t>
                  </w:r>
                </w:p>
              </w:tc>
              <w:tc>
                <w:tcPr>
                  <w:tcW w:w="2724" w:type="dxa"/>
                  <w:tcBorders>
                    <w:tl2br w:val="nil"/>
                    <w:tr2bl w:val="nil"/>
                  </w:tcBorders>
                  <w:vAlign w:val="center"/>
                </w:tcPr>
                <w:p w14:paraId="75562DA6">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无变化</w:t>
                  </w:r>
                </w:p>
              </w:tc>
            </w:tr>
            <w:tr w14:paraId="783BB8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14" w:type="dxa"/>
                  <w:tcBorders>
                    <w:tl2br w:val="nil"/>
                    <w:tr2bl w:val="nil"/>
                  </w:tcBorders>
                  <w:vAlign w:val="center"/>
                </w:tcPr>
                <w:p w14:paraId="2F1A93E8">
                  <w:pPr>
                    <w:pStyle w:val="6"/>
                    <w:keepNext w:val="0"/>
                    <w:keepLines w:val="0"/>
                    <w:pageBreakBefore w:val="0"/>
                    <w:widowControl w:val="0"/>
                    <w:numPr>
                      <w:ilvl w:val="0"/>
                      <w:numId w:val="8"/>
                    </w:numPr>
                    <w:kinsoku/>
                    <w:wordWrap/>
                    <w:overflowPunct/>
                    <w:topLinePunct w:val="0"/>
                    <w:autoSpaceDE/>
                    <w:autoSpaceDN/>
                    <w:bidi w:val="0"/>
                    <w:adjustRightInd/>
                    <w:snapToGrid/>
                    <w:spacing w:after="0"/>
                    <w:ind w:left="0" w:leftChars="0" w:firstLine="0" w:firstLineChars="0"/>
                    <w:jc w:val="center"/>
                    <w:textAlignment w:val="auto"/>
                    <w:rPr>
                      <w:rFonts w:hint="default" w:eastAsia="宋体"/>
                      <w:sz w:val="21"/>
                      <w:shd w:val="clear" w:color="auto" w:fill="auto"/>
                      <w:vertAlign w:val="baseline"/>
                      <w:lang w:val="en-US" w:eastAsia="zh-CN"/>
                    </w:rPr>
                  </w:pPr>
                </w:p>
              </w:tc>
              <w:tc>
                <w:tcPr>
                  <w:tcW w:w="1425" w:type="dxa"/>
                  <w:tcBorders>
                    <w:tl2br w:val="nil"/>
                    <w:tr2bl w:val="nil"/>
                  </w:tcBorders>
                  <w:vAlign w:val="center"/>
                </w:tcPr>
                <w:p w14:paraId="74E58706">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清洗机</w:t>
                  </w:r>
                </w:p>
              </w:tc>
              <w:tc>
                <w:tcPr>
                  <w:tcW w:w="675" w:type="dxa"/>
                  <w:tcBorders>
                    <w:tl2br w:val="nil"/>
                    <w:tr2bl w:val="nil"/>
                  </w:tcBorders>
                  <w:vAlign w:val="center"/>
                </w:tcPr>
                <w:p w14:paraId="447385EA">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台</w:t>
                  </w:r>
                </w:p>
              </w:tc>
              <w:tc>
                <w:tcPr>
                  <w:tcW w:w="1005" w:type="dxa"/>
                  <w:tcBorders>
                    <w:tl2br w:val="nil"/>
                    <w:tr2bl w:val="nil"/>
                  </w:tcBorders>
                  <w:vAlign w:val="center"/>
                </w:tcPr>
                <w:p w14:paraId="60C47887">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1</w:t>
                  </w:r>
                </w:p>
              </w:tc>
              <w:tc>
                <w:tcPr>
                  <w:tcW w:w="1095" w:type="dxa"/>
                  <w:tcBorders>
                    <w:tl2br w:val="nil"/>
                    <w:tr2bl w:val="nil"/>
                  </w:tcBorders>
                  <w:vAlign w:val="center"/>
                </w:tcPr>
                <w:p w14:paraId="610214CA">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3</w:t>
                  </w:r>
                </w:p>
              </w:tc>
              <w:tc>
                <w:tcPr>
                  <w:tcW w:w="2724" w:type="dxa"/>
                  <w:tcBorders>
                    <w:tl2br w:val="nil"/>
                    <w:tr2bl w:val="nil"/>
                  </w:tcBorders>
                  <w:vAlign w:val="center"/>
                </w:tcPr>
                <w:p w14:paraId="151679F4">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default" w:eastAsia="宋体"/>
                      <w:sz w:val="21"/>
                      <w:shd w:val="clear" w:color="auto" w:fill="auto"/>
                      <w:vertAlign w:val="baseline"/>
                      <w:lang w:val="en-US" w:eastAsia="zh-CN"/>
                    </w:rPr>
                    <w:t>为提高夹胶玻璃和中空玻璃的清洁度，新增两台清洗机，产能不增加</w:t>
                  </w:r>
                </w:p>
              </w:tc>
            </w:tr>
            <w:tr w14:paraId="22F8A9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14" w:type="dxa"/>
                  <w:tcBorders>
                    <w:tl2br w:val="nil"/>
                    <w:tr2bl w:val="nil"/>
                  </w:tcBorders>
                  <w:vAlign w:val="center"/>
                </w:tcPr>
                <w:p w14:paraId="0B8AE136">
                  <w:pPr>
                    <w:pStyle w:val="6"/>
                    <w:keepNext w:val="0"/>
                    <w:keepLines w:val="0"/>
                    <w:pageBreakBefore w:val="0"/>
                    <w:widowControl w:val="0"/>
                    <w:numPr>
                      <w:ilvl w:val="0"/>
                      <w:numId w:val="8"/>
                    </w:numPr>
                    <w:kinsoku/>
                    <w:wordWrap/>
                    <w:overflowPunct/>
                    <w:topLinePunct w:val="0"/>
                    <w:autoSpaceDE/>
                    <w:autoSpaceDN/>
                    <w:bidi w:val="0"/>
                    <w:adjustRightInd/>
                    <w:snapToGrid/>
                    <w:spacing w:after="0"/>
                    <w:ind w:left="0" w:leftChars="0" w:firstLine="0" w:firstLineChars="0"/>
                    <w:jc w:val="center"/>
                    <w:textAlignment w:val="auto"/>
                    <w:rPr>
                      <w:rFonts w:hint="default" w:eastAsia="宋体"/>
                      <w:sz w:val="21"/>
                      <w:shd w:val="clear" w:color="auto" w:fill="auto"/>
                      <w:vertAlign w:val="baseline"/>
                      <w:lang w:val="en-US" w:eastAsia="zh-CN"/>
                    </w:rPr>
                  </w:pPr>
                </w:p>
              </w:tc>
              <w:tc>
                <w:tcPr>
                  <w:tcW w:w="1425" w:type="dxa"/>
                  <w:tcBorders>
                    <w:tl2br w:val="nil"/>
                    <w:tr2bl w:val="nil"/>
                  </w:tcBorders>
                  <w:vAlign w:val="center"/>
                </w:tcPr>
                <w:p w14:paraId="21CD1333">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空压机</w:t>
                  </w:r>
                </w:p>
              </w:tc>
              <w:tc>
                <w:tcPr>
                  <w:tcW w:w="675" w:type="dxa"/>
                  <w:tcBorders>
                    <w:tl2br w:val="nil"/>
                    <w:tr2bl w:val="nil"/>
                  </w:tcBorders>
                  <w:vAlign w:val="center"/>
                </w:tcPr>
                <w:p w14:paraId="45E9E176">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台</w:t>
                  </w:r>
                </w:p>
              </w:tc>
              <w:tc>
                <w:tcPr>
                  <w:tcW w:w="1005" w:type="dxa"/>
                  <w:tcBorders>
                    <w:tl2br w:val="nil"/>
                    <w:tr2bl w:val="nil"/>
                  </w:tcBorders>
                  <w:vAlign w:val="center"/>
                </w:tcPr>
                <w:p w14:paraId="228532EC">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1</w:t>
                  </w:r>
                </w:p>
              </w:tc>
              <w:tc>
                <w:tcPr>
                  <w:tcW w:w="1095" w:type="dxa"/>
                  <w:tcBorders>
                    <w:tl2br w:val="nil"/>
                    <w:tr2bl w:val="nil"/>
                  </w:tcBorders>
                  <w:vAlign w:val="center"/>
                </w:tcPr>
                <w:p w14:paraId="1B3F948B">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1</w:t>
                  </w:r>
                </w:p>
              </w:tc>
              <w:tc>
                <w:tcPr>
                  <w:tcW w:w="2724" w:type="dxa"/>
                  <w:tcBorders>
                    <w:tl2br w:val="nil"/>
                    <w:tr2bl w:val="nil"/>
                  </w:tcBorders>
                  <w:vAlign w:val="center"/>
                </w:tcPr>
                <w:p w14:paraId="24580A2E">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shd w:val="clear" w:color="auto" w:fill="auto"/>
                      <w:vertAlign w:val="baseline"/>
                      <w:lang w:val="en-US" w:eastAsia="zh-CN"/>
                    </w:rPr>
                  </w:pPr>
                  <w:r>
                    <w:rPr>
                      <w:rFonts w:hint="eastAsia"/>
                      <w:sz w:val="21"/>
                      <w:shd w:val="clear" w:color="auto" w:fill="auto"/>
                      <w:vertAlign w:val="baseline"/>
                      <w:lang w:val="en-US" w:eastAsia="zh-CN"/>
                    </w:rPr>
                    <w:t>无变化</w:t>
                  </w:r>
                </w:p>
              </w:tc>
            </w:tr>
          </w:tbl>
          <w:p w14:paraId="63C8A94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bCs/>
                <w:sz w:val="21"/>
                <w:lang w:val="en-US" w:eastAsia="zh-CN"/>
              </w:rPr>
            </w:pPr>
            <w:r>
              <w:rPr>
                <w:rFonts w:hint="eastAsia"/>
                <w:b/>
                <w:bCs/>
                <w:sz w:val="21"/>
                <w:lang w:val="en-US" w:eastAsia="zh-CN"/>
              </w:rPr>
              <w:t>表2-11  主要原辅材料消耗情况一览表</w:t>
            </w:r>
          </w:p>
          <w:tbl>
            <w:tblPr>
              <w:tblStyle w:val="23"/>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324"/>
              <w:gridCol w:w="1324"/>
              <w:gridCol w:w="1324"/>
              <w:gridCol w:w="1324"/>
              <w:gridCol w:w="1325"/>
            </w:tblGrid>
            <w:tr w14:paraId="755247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4" w:type="dxa"/>
                  <w:tcBorders>
                    <w:tl2br w:val="nil"/>
                    <w:tr2bl w:val="nil"/>
                  </w:tcBorders>
                  <w:vAlign w:val="center"/>
                </w:tcPr>
                <w:p w14:paraId="7C6C6572">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b w:val="0"/>
                      <w:bCs w:val="0"/>
                      <w:sz w:val="21"/>
                      <w:vertAlign w:val="baseline"/>
                      <w:lang w:val="en-US" w:eastAsia="zh-CN"/>
                    </w:rPr>
                  </w:pPr>
                  <w:r>
                    <w:rPr>
                      <w:rFonts w:hint="eastAsia"/>
                      <w:b w:val="0"/>
                      <w:bCs w:val="0"/>
                      <w:sz w:val="21"/>
                      <w:vertAlign w:val="baseline"/>
                      <w:lang w:val="en-US" w:eastAsia="zh-CN"/>
                    </w:rPr>
                    <w:t>序号</w:t>
                  </w:r>
                </w:p>
              </w:tc>
              <w:tc>
                <w:tcPr>
                  <w:tcW w:w="1324" w:type="dxa"/>
                  <w:tcBorders>
                    <w:tl2br w:val="nil"/>
                    <w:tr2bl w:val="nil"/>
                  </w:tcBorders>
                  <w:vAlign w:val="center"/>
                </w:tcPr>
                <w:p w14:paraId="719DD221">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b w:val="0"/>
                      <w:bCs w:val="0"/>
                      <w:sz w:val="21"/>
                      <w:vertAlign w:val="baseline"/>
                      <w:lang w:val="en-US" w:eastAsia="zh-CN"/>
                    </w:rPr>
                  </w:pPr>
                  <w:r>
                    <w:rPr>
                      <w:rFonts w:hint="eastAsia"/>
                      <w:b w:val="0"/>
                      <w:bCs w:val="0"/>
                      <w:sz w:val="21"/>
                      <w:vertAlign w:val="baseline"/>
                      <w:lang w:val="en-US" w:eastAsia="zh-CN"/>
                    </w:rPr>
                    <w:t>名称</w:t>
                  </w:r>
                </w:p>
              </w:tc>
              <w:tc>
                <w:tcPr>
                  <w:tcW w:w="1324" w:type="dxa"/>
                  <w:tcBorders>
                    <w:tl2br w:val="nil"/>
                    <w:tr2bl w:val="nil"/>
                  </w:tcBorders>
                  <w:vAlign w:val="center"/>
                </w:tcPr>
                <w:p w14:paraId="1FC89CE4">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b w:val="0"/>
                      <w:bCs w:val="0"/>
                      <w:sz w:val="21"/>
                      <w:vertAlign w:val="baseline"/>
                      <w:lang w:val="en-US" w:eastAsia="zh-CN"/>
                    </w:rPr>
                  </w:pPr>
                  <w:r>
                    <w:rPr>
                      <w:rFonts w:hint="eastAsia"/>
                      <w:b w:val="0"/>
                      <w:bCs w:val="0"/>
                      <w:sz w:val="21"/>
                      <w:vertAlign w:val="baseline"/>
                      <w:lang w:val="en-US" w:eastAsia="zh-CN"/>
                    </w:rPr>
                    <w:t>单位</w:t>
                  </w:r>
                </w:p>
              </w:tc>
              <w:tc>
                <w:tcPr>
                  <w:tcW w:w="1324" w:type="dxa"/>
                  <w:tcBorders>
                    <w:tl2br w:val="nil"/>
                    <w:tr2bl w:val="nil"/>
                  </w:tcBorders>
                  <w:vAlign w:val="center"/>
                </w:tcPr>
                <w:p w14:paraId="6D3D74D2">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b w:val="0"/>
                      <w:bCs w:val="0"/>
                      <w:sz w:val="21"/>
                      <w:vertAlign w:val="baseline"/>
                      <w:lang w:val="en-US" w:eastAsia="zh-CN"/>
                    </w:rPr>
                  </w:pPr>
                  <w:r>
                    <w:rPr>
                      <w:rFonts w:hint="eastAsia"/>
                      <w:b w:val="0"/>
                      <w:bCs w:val="0"/>
                      <w:sz w:val="21"/>
                      <w:vertAlign w:val="baseline"/>
                      <w:lang w:val="en-US" w:eastAsia="zh-CN"/>
                    </w:rPr>
                    <w:t>环评设计用量</w:t>
                  </w:r>
                </w:p>
              </w:tc>
              <w:tc>
                <w:tcPr>
                  <w:tcW w:w="1324" w:type="dxa"/>
                  <w:tcBorders>
                    <w:tl2br w:val="nil"/>
                    <w:tr2bl w:val="nil"/>
                  </w:tcBorders>
                  <w:vAlign w:val="center"/>
                </w:tcPr>
                <w:p w14:paraId="2892B5F9">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b w:val="0"/>
                      <w:bCs w:val="0"/>
                      <w:sz w:val="21"/>
                      <w:vertAlign w:val="baseline"/>
                      <w:lang w:val="en-US" w:eastAsia="zh-CN"/>
                    </w:rPr>
                  </w:pPr>
                  <w:r>
                    <w:rPr>
                      <w:rFonts w:hint="eastAsia"/>
                      <w:b w:val="0"/>
                      <w:bCs w:val="0"/>
                      <w:sz w:val="21"/>
                      <w:vertAlign w:val="baseline"/>
                      <w:lang w:val="en-US" w:eastAsia="zh-CN"/>
                    </w:rPr>
                    <w:t>验收用量</w:t>
                  </w:r>
                </w:p>
              </w:tc>
              <w:tc>
                <w:tcPr>
                  <w:tcW w:w="1325" w:type="dxa"/>
                  <w:tcBorders>
                    <w:tl2br w:val="nil"/>
                    <w:tr2bl w:val="nil"/>
                  </w:tcBorders>
                  <w:vAlign w:val="center"/>
                </w:tcPr>
                <w:p w14:paraId="16F39C22">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b w:val="0"/>
                      <w:bCs w:val="0"/>
                      <w:sz w:val="21"/>
                      <w:vertAlign w:val="baseline"/>
                      <w:lang w:val="en-US" w:eastAsia="zh-CN"/>
                    </w:rPr>
                  </w:pPr>
                  <w:r>
                    <w:rPr>
                      <w:rFonts w:hint="eastAsia"/>
                      <w:b w:val="0"/>
                      <w:bCs w:val="0"/>
                      <w:sz w:val="21"/>
                      <w:vertAlign w:val="baseline"/>
                      <w:lang w:val="en-US" w:eastAsia="zh-CN"/>
                    </w:rPr>
                    <w:t>备注</w:t>
                  </w:r>
                </w:p>
              </w:tc>
            </w:tr>
            <w:tr w14:paraId="3A022A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atLeast"/>
              </w:trPr>
              <w:tc>
                <w:tcPr>
                  <w:tcW w:w="1324" w:type="dxa"/>
                  <w:tcBorders>
                    <w:tl2br w:val="nil"/>
                    <w:tr2bl w:val="nil"/>
                  </w:tcBorders>
                  <w:vAlign w:val="center"/>
                </w:tcPr>
                <w:p w14:paraId="77F30940">
                  <w:pPr>
                    <w:pStyle w:val="6"/>
                    <w:keepNext w:val="0"/>
                    <w:keepLines w:val="0"/>
                    <w:pageBreakBefore w:val="0"/>
                    <w:widowControl w:val="0"/>
                    <w:numPr>
                      <w:ilvl w:val="0"/>
                      <w:numId w:val="9"/>
                    </w:numPr>
                    <w:kinsoku/>
                    <w:wordWrap/>
                    <w:overflowPunct/>
                    <w:topLinePunct w:val="0"/>
                    <w:autoSpaceDE/>
                    <w:autoSpaceDN/>
                    <w:bidi w:val="0"/>
                    <w:adjustRightInd/>
                    <w:snapToGrid/>
                    <w:spacing w:after="0"/>
                    <w:ind w:left="0" w:leftChars="0" w:firstLine="0" w:firstLineChars="0"/>
                    <w:jc w:val="center"/>
                    <w:textAlignment w:val="auto"/>
                    <w:rPr>
                      <w:rFonts w:hint="default" w:eastAsia="宋体"/>
                      <w:sz w:val="21"/>
                      <w:vertAlign w:val="baseline"/>
                      <w:lang w:val="en-US" w:eastAsia="zh-CN"/>
                    </w:rPr>
                  </w:pPr>
                </w:p>
              </w:tc>
              <w:tc>
                <w:tcPr>
                  <w:tcW w:w="1324" w:type="dxa"/>
                  <w:tcBorders>
                    <w:tl2br w:val="nil"/>
                    <w:tr2bl w:val="nil"/>
                  </w:tcBorders>
                  <w:vAlign w:val="center"/>
                </w:tcPr>
                <w:p w14:paraId="59EE71B0">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平板玻璃</w:t>
                  </w:r>
                </w:p>
              </w:tc>
              <w:tc>
                <w:tcPr>
                  <w:tcW w:w="1324" w:type="dxa"/>
                  <w:tcBorders>
                    <w:tl2br w:val="nil"/>
                    <w:tr2bl w:val="nil"/>
                  </w:tcBorders>
                  <w:vAlign w:val="center"/>
                </w:tcPr>
                <w:p w14:paraId="54350A5E">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m</w:t>
                  </w:r>
                  <w:r>
                    <w:rPr>
                      <w:rFonts w:hint="eastAsia"/>
                      <w:sz w:val="21"/>
                      <w:vertAlign w:val="superscript"/>
                      <w:lang w:val="en-US" w:eastAsia="zh-CN"/>
                    </w:rPr>
                    <w:t>2</w:t>
                  </w:r>
                  <w:r>
                    <w:rPr>
                      <w:rFonts w:hint="eastAsia"/>
                      <w:sz w:val="21"/>
                      <w:vertAlign w:val="baseline"/>
                      <w:lang w:val="en-US" w:eastAsia="zh-CN"/>
                    </w:rPr>
                    <w:t>/a</w:t>
                  </w:r>
                </w:p>
              </w:tc>
              <w:tc>
                <w:tcPr>
                  <w:tcW w:w="1324" w:type="dxa"/>
                  <w:tcBorders>
                    <w:tl2br w:val="nil"/>
                    <w:tr2bl w:val="nil"/>
                  </w:tcBorders>
                  <w:vAlign w:val="center"/>
                </w:tcPr>
                <w:p w14:paraId="0A81ECD1">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9万</w:t>
                  </w:r>
                </w:p>
              </w:tc>
              <w:tc>
                <w:tcPr>
                  <w:tcW w:w="1324" w:type="dxa"/>
                  <w:tcBorders>
                    <w:tl2br w:val="nil"/>
                    <w:tr2bl w:val="nil"/>
                  </w:tcBorders>
                  <w:vAlign w:val="center"/>
                </w:tcPr>
                <w:p w14:paraId="2B4231E7">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8.98万</w:t>
                  </w:r>
                </w:p>
              </w:tc>
              <w:tc>
                <w:tcPr>
                  <w:tcW w:w="1325" w:type="dxa"/>
                  <w:tcBorders>
                    <w:tl2br w:val="nil"/>
                    <w:tr2bl w:val="nil"/>
                  </w:tcBorders>
                  <w:vAlign w:val="center"/>
                </w:tcPr>
                <w:p w14:paraId="7A4BCA5E">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w:t>
                  </w:r>
                </w:p>
              </w:tc>
            </w:tr>
            <w:tr w14:paraId="1122C4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4" w:type="dxa"/>
                  <w:tcBorders>
                    <w:tl2br w:val="nil"/>
                    <w:tr2bl w:val="nil"/>
                  </w:tcBorders>
                  <w:vAlign w:val="center"/>
                </w:tcPr>
                <w:p w14:paraId="103771A6">
                  <w:pPr>
                    <w:pStyle w:val="6"/>
                    <w:keepNext w:val="0"/>
                    <w:keepLines w:val="0"/>
                    <w:pageBreakBefore w:val="0"/>
                    <w:widowControl w:val="0"/>
                    <w:numPr>
                      <w:ilvl w:val="0"/>
                      <w:numId w:val="9"/>
                    </w:numPr>
                    <w:kinsoku/>
                    <w:wordWrap/>
                    <w:overflowPunct/>
                    <w:topLinePunct w:val="0"/>
                    <w:autoSpaceDE/>
                    <w:autoSpaceDN/>
                    <w:bidi w:val="0"/>
                    <w:adjustRightInd/>
                    <w:snapToGrid/>
                    <w:spacing w:after="0"/>
                    <w:ind w:left="0" w:leftChars="0" w:firstLine="0" w:firstLineChars="0"/>
                    <w:jc w:val="center"/>
                    <w:textAlignment w:val="auto"/>
                    <w:rPr>
                      <w:rFonts w:hint="default" w:eastAsia="宋体"/>
                      <w:sz w:val="21"/>
                      <w:vertAlign w:val="baseline"/>
                      <w:lang w:val="en-US" w:eastAsia="zh-CN"/>
                    </w:rPr>
                  </w:pPr>
                </w:p>
              </w:tc>
              <w:tc>
                <w:tcPr>
                  <w:tcW w:w="1324" w:type="dxa"/>
                  <w:tcBorders>
                    <w:tl2br w:val="nil"/>
                    <w:tr2bl w:val="nil"/>
                  </w:tcBorders>
                  <w:vAlign w:val="center"/>
                </w:tcPr>
                <w:p w14:paraId="3848BBE2">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PVB胶片</w:t>
                  </w:r>
                </w:p>
              </w:tc>
              <w:tc>
                <w:tcPr>
                  <w:tcW w:w="1324" w:type="dxa"/>
                  <w:tcBorders>
                    <w:tl2br w:val="nil"/>
                    <w:tr2bl w:val="nil"/>
                  </w:tcBorders>
                  <w:vAlign w:val="center"/>
                </w:tcPr>
                <w:p w14:paraId="6D5D2980">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m</w:t>
                  </w:r>
                  <w:r>
                    <w:rPr>
                      <w:rFonts w:hint="eastAsia"/>
                      <w:sz w:val="21"/>
                      <w:vertAlign w:val="superscript"/>
                      <w:lang w:val="en-US" w:eastAsia="zh-CN"/>
                    </w:rPr>
                    <w:t>2</w:t>
                  </w:r>
                  <w:r>
                    <w:rPr>
                      <w:rFonts w:hint="eastAsia"/>
                      <w:sz w:val="21"/>
                      <w:vertAlign w:val="baseline"/>
                      <w:lang w:val="en-US" w:eastAsia="zh-CN"/>
                    </w:rPr>
                    <w:t>/a</w:t>
                  </w:r>
                </w:p>
              </w:tc>
              <w:tc>
                <w:tcPr>
                  <w:tcW w:w="1324" w:type="dxa"/>
                  <w:tcBorders>
                    <w:tl2br w:val="nil"/>
                    <w:tr2bl w:val="nil"/>
                  </w:tcBorders>
                  <w:vAlign w:val="center"/>
                </w:tcPr>
                <w:p w14:paraId="6EA11E58">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1.5万</w:t>
                  </w:r>
                </w:p>
              </w:tc>
              <w:tc>
                <w:tcPr>
                  <w:tcW w:w="1324" w:type="dxa"/>
                  <w:tcBorders>
                    <w:tl2br w:val="nil"/>
                    <w:tr2bl w:val="nil"/>
                  </w:tcBorders>
                  <w:vAlign w:val="center"/>
                </w:tcPr>
                <w:p w14:paraId="3B8F235B">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1.49万</w:t>
                  </w:r>
                </w:p>
              </w:tc>
              <w:tc>
                <w:tcPr>
                  <w:tcW w:w="1325" w:type="dxa"/>
                  <w:tcBorders>
                    <w:tl2br w:val="nil"/>
                    <w:tr2bl w:val="nil"/>
                  </w:tcBorders>
                  <w:vAlign w:val="center"/>
                </w:tcPr>
                <w:p w14:paraId="0D12A9BD">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w:t>
                  </w:r>
                </w:p>
              </w:tc>
            </w:tr>
            <w:tr w14:paraId="1E994A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4" w:type="dxa"/>
                  <w:tcBorders>
                    <w:tl2br w:val="nil"/>
                    <w:tr2bl w:val="nil"/>
                  </w:tcBorders>
                  <w:vAlign w:val="center"/>
                </w:tcPr>
                <w:p w14:paraId="46D65564">
                  <w:pPr>
                    <w:pStyle w:val="6"/>
                    <w:keepNext w:val="0"/>
                    <w:keepLines w:val="0"/>
                    <w:pageBreakBefore w:val="0"/>
                    <w:widowControl w:val="0"/>
                    <w:numPr>
                      <w:ilvl w:val="0"/>
                      <w:numId w:val="9"/>
                    </w:numPr>
                    <w:kinsoku/>
                    <w:wordWrap/>
                    <w:overflowPunct/>
                    <w:topLinePunct w:val="0"/>
                    <w:autoSpaceDE/>
                    <w:autoSpaceDN/>
                    <w:bidi w:val="0"/>
                    <w:adjustRightInd/>
                    <w:snapToGrid/>
                    <w:spacing w:after="0"/>
                    <w:ind w:left="0" w:leftChars="0" w:firstLine="0" w:firstLineChars="0"/>
                    <w:jc w:val="center"/>
                    <w:textAlignment w:val="auto"/>
                    <w:rPr>
                      <w:rFonts w:hint="default" w:eastAsia="宋体"/>
                      <w:sz w:val="21"/>
                      <w:vertAlign w:val="baseline"/>
                      <w:lang w:val="en-US" w:eastAsia="zh-CN"/>
                    </w:rPr>
                  </w:pPr>
                </w:p>
              </w:tc>
              <w:tc>
                <w:tcPr>
                  <w:tcW w:w="1324" w:type="dxa"/>
                  <w:tcBorders>
                    <w:tl2br w:val="nil"/>
                    <w:tr2bl w:val="nil"/>
                  </w:tcBorders>
                  <w:vAlign w:val="center"/>
                </w:tcPr>
                <w:p w14:paraId="16DE5377">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丁基胶</w:t>
                  </w:r>
                </w:p>
              </w:tc>
              <w:tc>
                <w:tcPr>
                  <w:tcW w:w="1324" w:type="dxa"/>
                  <w:tcBorders>
                    <w:tl2br w:val="nil"/>
                    <w:tr2bl w:val="nil"/>
                  </w:tcBorders>
                  <w:vAlign w:val="center"/>
                </w:tcPr>
                <w:p w14:paraId="043B3095">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t/a</w:t>
                  </w:r>
                </w:p>
              </w:tc>
              <w:tc>
                <w:tcPr>
                  <w:tcW w:w="1324" w:type="dxa"/>
                  <w:tcBorders>
                    <w:tl2br w:val="nil"/>
                    <w:tr2bl w:val="nil"/>
                  </w:tcBorders>
                  <w:vAlign w:val="center"/>
                </w:tcPr>
                <w:p w14:paraId="5766722E">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2</w:t>
                  </w:r>
                </w:p>
              </w:tc>
              <w:tc>
                <w:tcPr>
                  <w:tcW w:w="1324" w:type="dxa"/>
                  <w:tcBorders>
                    <w:tl2br w:val="nil"/>
                    <w:tr2bl w:val="nil"/>
                  </w:tcBorders>
                  <w:vAlign w:val="center"/>
                </w:tcPr>
                <w:p w14:paraId="19DA89D1">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1.95</w:t>
                  </w:r>
                </w:p>
              </w:tc>
              <w:tc>
                <w:tcPr>
                  <w:tcW w:w="1325" w:type="dxa"/>
                  <w:tcBorders>
                    <w:tl2br w:val="nil"/>
                    <w:tr2bl w:val="nil"/>
                  </w:tcBorders>
                  <w:vAlign w:val="center"/>
                </w:tcPr>
                <w:p w14:paraId="0DA1D843">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w:t>
                  </w:r>
                </w:p>
              </w:tc>
            </w:tr>
            <w:tr w14:paraId="148704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4" w:type="dxa"/>
                  <w:tcBorders>
                    <w:tl2br w:val="nil"/>
                    <w:tr2bl w:val="nil"/>
                  </w:tcBorders>
                  <w:vAlign w:val="center"/>
                </w:tcPr>
                <w:p w14:paraId="1A7FC28F">
                  <w:pPr>
                    <w:pStyle w:val="6"/>
                    <w:keepNext w:val="0"/>
                    <w:keepLines w:val="0"/>
                    <w:pageBreakBefore w:val="0"/>
                    <w:widowControl w:val="0"/>
                    <w:numPr>
                      <w:ilvl w:val="0"/>
                      <w:numId w:val="9"/>
                    </w:numPr>
                    <w:kinsoku/>
                    <w:wordWrap/>
                    <w:overflowPunct/>
                    <w:topLinePunct w:val="0"/>
                    <w:autoSpaceDE/>
                    <w:autoSpaceDN/>
                    <w:bidi w:val="0"/>
                    <w:adjustRightInd/>
                    <w:snapToGrid/>
                    <w:spacing w:after="0"/>
                    <w:ind w:left="0" w:leftChars="0" w:firstLine="0" w:firstLineChars="0"/>
                    <w:jc w:val="center"/>
                    <w:textAlignment w:val="auto"/>
                    <w:rPr>
                      <w:rFonts w:hint="default" w:eastAsia="宋体"/>
                      <w:sz w:val="21"/>
                      <w:vertAlign w:val="baseline"/>
                      <w:lang w:val="en-US" w:eastAsia="zh-CN"/>
                    </w:rPr>
                  </w:pPr>
                </w:p>
              </w:tc>
              <w:tc>
                <w:tcPr>
                  <w:tcW w:w="1324" w:type="dxa"/>
                  <w:tcBorders>
                    <w:tl2br w:val="nil"/>
                    <w:tr2bl w:val="nil"/>
                  </w:tcBorders>
                  <w:vAlign w:val="center"/>
                </w:tcPr>
                <w:p w14:paraId="5DFBB206">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硅酮胶</w:t>
                  </w:r>
                </w:p>
              </w:tc>
              <w:tc>
                <w:tcPr>
                  <w:tcW w:w="1324" w:type="dxa"/>
                  <w:tcBorders>
                    <w:tl2br w:val="nil"/>
                    <w:tr2bl w:val="nil"/>
                  </w:tcBorders>
                  <w:vAlign w:val="center"/>
                </w:tcPr>
                <w:p w14:paraId="0C2D1EA5">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t/a</w:t>
                  </w:r>
                </w:p>
              </w:tc>
              <w:tc>
                <w:tcPr>
                  <w:tcW w:w="1324" w:type="dxa"/>
                  <w:tcBorders>
                    <w:tl2br w:val="nil"/>
                    <w:tr2bl w:val="nil"/>
                  </w:tcBorders>
                  <w:vAlign w:val="center"/>
                </w:tcPr>
                <w:p w14:paraId="6857DEB5">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16</w:t>
                  </w:r>
                </w:p>
              </w:tc>
              <w:tc>
                <w:tcPr>
                  <w:tcW w:w="1324" w:type="dxa"/>
                  <w:tcBorders>
                    <w:tl2br w:val="nil"/>
                    <w:tr2bl w:val="nil"/>
                  </w:tcBorders>
                  <w:vAlign w:val="center"/>
                </w:tcPr>
                <w:p w14:paraId="041505D9">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18.96</w:t>
                  </w:r>
                </w:p>
              </w:tc>
              <w:tc>
                <w:tcPr>
                  <w:tcW w:w="1325" w:type="dxa"/>
                  <w:tcBorders>
                    <w:tl2br w:val="nil"/>
                    <w:tr2bl w:val="nil"/>
                  </w:tcBorders>
                  <w:vAlign w:val="center"/>
                </w:tcPr>
                <w:p w14:paraId="7E6758C5">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w:t>
                  </w:r>
                </w:p>
              </w:tc>
            </w:tr>
            <w:tr w14:paraId="342473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4" w:type="dxa"/>
                  <w:tcBorders>
                    <w:tl2br w:val="nil"/>
                    <w:tr2bl w:val="nil"/>
                  </w:tcBorders>
                  <w:vAlign w:val="center"/>
                </w:tcPr>
                <w:p w14:paraId="0538F272">
                  <w:pPr>
                    <w:pStyle w:val="6"/>
                    <w:keepNext w:val="0"/>
                    <w:keepLines w:val="0"/>
                    <w:pageBreakBefore w:val="0"/>
                    <w:widowControl w:val="0"/>
                    <w:numPr>
                      <w:ilvl w:val="0"/>
                      <w:numId w:val="9"/>
                    </w:numPr>
                    <w:kinsoku/>
                    <w:wordWrap/>
                    <w:overflowPunct/>
                    <w:topLinePunct w:val="0"/>
                    <w:autoSpaceDE/>
                    <w:autoSpaceDN/>
                    <w:bidi w:val="0"/>
                    <w:adjustRightInd/>
                    <w:snapToGrid/>
                    <w:spacing w:after="0"/>
                    <w:ind w:left="0" w:leftChars="0" w:firstLine="0" w:firstLineChars="0"/>
                    <w:jc w:val="center"/>
                    <w:textAlignment w:val="auto"/>
                    <w:rPr>
                      <w:rFonts w:hint="default" w:eastAsia="宋体"/>
                      <w:sz w:val="21"/>
                      <w:vertAlign w:val="baseline"/>
                      <w:lang w:val="en-US" w:eastAsia="zh-CN"/>
                    </w:rPr>
                  </w:pPr>
                </w:p>
              </w:tc>
              <w:tc>
                <w:tcPr>
                  <w:tcW w:w="1324" w:type="dxa"/>
                  <w:tcBorders>
                    <w:tl2br w:val="nil"/>
                    <w:tr2bl w:val="nil"/>
                  </w:tcBorders>
                  <w:vAlign w:val="center"/>
                </w:tcPr>
                <w:p w14:paraId="048B5704">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铝条</w:t>
                  </w:r>
                </w:p>
              </w:tc>
              <w:tc>
                <w:tcPr>
                  <w:tcW w:w="1324" w:type="dxa"/>
                  <w:tcBorders>
                    <w:tl2br w:val="nil"/>
                    <w:tr2bl w:val="nil"/>
                  </w:tcBorders>
                  <w:vAlign w:val="center"/>
                </w:tcPr>
                <w:p w14:paraId="6EC8C174">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条/a</w:t>
                  </w:r>
                </w:p>
              </w:tc>
              <w:tc>
                <w:tcPr>
                  <w:tcW w:w="1324" w:type="dxa"/>
                  <w:tcBorders>
                    <w:tl2br w:val="nil"/>
                    <w:tr2bl w:val="nil"/>
                  </w:tcBorders>
                  <w:vAlign w:val="center"/>
                </w:tcPr>
                <w:p w14:paraId="370F03F2">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2万</w:t>
                  </w:r>
                </w:p>
              </w:tc>
              <w:tc>
                <w:tcPr>
                  <w:tcW w:w="1324" w:type="dxa"/>
                  <w:tcBorders>
                    <w:tl2br w:val="nil"/>
                    <w:tr2bl w:val="nil"/>
                  </w:tcBorders>
                  <w:vAlign w:val="center"/>
                </w:tcPr>
                <w:p w14:paraId="7C41F0DA">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2.02万</w:t>
                  </w:r>
                </w:p>
              </w:tc>
              <w:tc>
                <w:tcPr>
                  <w:tcW w:w="1325" w:type="dxa"/>
                  <w:tcBorders>
                    <w:tl2br w:val="nil"/>
                    <w:tr2bl w:val="nil"/>
                  </w:tcBorders>
                  <w:vAlign w:val="center"/>
                </w:tcPr>
                <w:p w14:paraId="0AD694E5">
                  <w:pPr>
                    <w:pStyle w:val="6"/>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default" w:eastAsia="宋体"/>
                      <w:sz w:val="21"/>
                      <w:vertAlign w:val="baseline"/>
                      <w:lang w:val="en-US" w:eastAsia="zh-CN"/>
                    </w:rPr>
                  </w:pPr>
                  <w:r>
                    <w:rPr>
                      <w:rFonts w:hint="eastAsia"/>
                      <w:sz w:val="21"/>
                      <w:vertAlign w:val="baseline"/>
                      <w:lang w:val="en-US" w:eastAsia="zh-CN"/>
                    </w:rPr>
                    <w:t>/</w:t>
                  </w:r>
                </w:p>
              </w:tc>
            </w:tr>
          </w:tbl>
          <w:p w14:paraId="2723D1CC">
            <w:pPr>
              <w:pStyle w:val="6"/>
              <w:numPr>
                <w:ilvl w:val="0"/>
                <w:numId w:val="0"/>
              </w:numPr>
              <w:rPr>
                <w:rFonts w:hint="eastAsia"/>
                <w:lang w:val="en-US" w:eastAsia="zh-CN"/>
              </w:rPr>
            </w:pPr>
            <w:r>
              <w:rPr>
                <w:rFonts w:hint="eastAsia"/>
                <w:lang w:val="en-US" w:eastAsia="zh-CN"/>
              </w:rPr>
              <w:t>生产工艺：</w:t>
            </w:r>
          </w:p>
          <w:p w14:paraId="55EC37CD">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default" w:ascii="Times New Roman" w:hAnsi="Times New Roman" w:cs="Times New Roman"/>
                <w:color w:val="auto"/>
                <w:sz w:val="24"/>
                <w:szCs w:val="24"/>
                <w:lang w:val="en-US" w:eastAsia="zh-CN"/>
              </w:rPr>
              <w:pict>
                <v:shape id="_x0000_s2613" o:spid="_x0000_s2613" o:spt="75" type="#_x0000_t75" style="position:absolute;left:0pt;margin-left:3.2pt;margin-top:31.2pt;height:282.65pt;width:396.85pt;mso-wrap-distance-bottom:0pt;mso-wrap-distance-top:0pt;z-index:251664384;mso-width-relative:page;mso-height-relative:page;" o:ole="t" filled="f" o:preferrelative="t" stroked="f" coordsize="21600,21600">
                  <v:path/>
                  <v:fill on="f" focussize="0,0"/>
                  <v:stroke on="f"/>
                  <v:imagedata r:id="rId16" o:title=""/>
                  <o:lock v:ext="edit" aspectratio="f"/>
                  <w10:wrap type="topAndBottom"/>
                </v:shape>
                <o:OLEObject Type="Embed" ProgID="Visio.Drawing.15" ShapeID="_x0000_s2613" DrawAspect="Content" ObjectID="_1468075729" r:id="rId15">
                  <o:LockedField>false</o:LockedField>
                </o:OLEObject>
              </w:pict>
            </w:r>
            <w:r>
              <w:rPr>
                <w:rFonts w:hint="eastAsia" w:cs="Times New Roman"/>
                <w:color w:val="auto"/>
                <w:sz w:val="24"/>
                <w:szCs w:val="24"/>
                <w:lang w:val="en-US" w:eastAsia="zh-CN"/>
              </w:rPr>
              <w:t>①</w:t>
            </w:r>
            <w:r>
              <w:rPr>
                <w:rFonts w:hint="eastAsia"/>
                <w:color w:val="auto"/>
                <w:lang w:val="en-US" w:eastAsia="zh-CN"/>
              </w:rPr>
              <w:t>原有</w:t>
            </w:r>
            <w:r>
              <w:rPr>
                <w:rFonts w:hint="eastAsia"/>
                <w:color w:val="auto"/>
              </w:rPr>
              <w:t>项目</w:t>
            </w:r>
            <w:r>
              <w:rPr>
                <w:rFonts w:hint="eastAsia"/>
                <w:color w:val="auto"/>
                <w:lang w:val="en-US" w:eastAsia="zh-CN"/>
              </w:rPr>
              <w:t>钢化玻璃</w:t>
            </w:r>
            <w:r>
              <w:rPr>
                <w:rFonts w:hint="eastAsia"/>
                <w:color w:val="auto"/>
              </w:rPr>
              <w:t>生产工艺流程见</w:t>
            </w:r>
            <w:r>
              <w:rPr>
                <w:rFonts w:hint="eastAsia"/>
                <w:color w:val="auto"/>
                <w:lang w:val="en-US" w:eastAsia="zh-CN"/>
              </w:rPr>
              <w:t>下图</w:t>
            </w:r>
            <w:r>
              <w:rPr>
                <w:rFonts w:hint="eastAsia" w:cs="Times New Roman"/>
                <w:color w:val="auto"/>
                <w:lang w:val="en-US" w:eastAsia="zh-CN"/>
              </w:rPr>
              <w:t>：</w:t>
            </w:r>
          </w:p>
          <w:p w14:paraId="720651B6">
            <w:pPr>
              <w:pStyle w:val="2"/>
              <w:ind w:left="0" w:leftChars="0" w:firstLine="0" w:firstLineChars="0"/>
              <w:jc w:val="center"/>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图2-5  钢化玻璃工</w:t>
            </w:r>
            <w:r>
              <w:rPr>
                <w:rFonts w:hint="default" w:ascii="Times New Roman" w:hAnsi="Times New Roman" w:cs="Times New Roman"/>
                <w:color w:val="auto"/>
                <w:sz w:val="24"/>
                <w:szCs w:val="24"/>
              </w:rPr>
              <w:t>艺流程图</w:t>
            </w:r>
          </w:p>
          <w:p w14:paraId="2A1A1DAC">
            <w:pPr>
              <w:pStyle w:val="6"/>
              <w:keepNext w:val="0"/>
              <w:keepLines w:val="0"/>
              <w:pageBreakBefore w:val="0"/>
              <w:kinsoku/>
              <w:wordWrap/>
              <w:overflowPunct/>
              <w:topLinePunct w:val="0"/>
              <w:bidi w:val="0"/>
              <w:snapToGrid/>
              <w:spacing w:after="0" w:line="360" w:lineRule="auto"/>
              <w:ind w:left="0" w:leftChars="0" w:firstLine="480"/>
              <w:textAlignment w:val="auto"/>
              <w:rPr>
                <w:rFonts w:hint="eastAsia" w:cs="宋体"/>
                <w:bCs/>
                <w:color w:val="auto"/>
                <w:kern w:val="2"/>
                <w:szCs w:val="24"/>
              </w:rPr>
            </w:pPr>
            <w:r>
              <w:rPr>
                <w:rFonts w:hint="eastAsia" w:cs="宋体"/>
                <w:bCs/>
                <w:color w:val="auto"/>
                <w:kern w:val="2"/>
                <w:szCs w:val="24"/>
              </w:rPr>
              <w:t>生产工艺流程简述：</w:t>
            </w:r>
          </w:p>
          <w:p w14:paraId="7693589E">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宋体"/>
                <w:b w:val="0"/>
                <w:bCs w:val="0"/>
                <w:color w:val="auto"/>
                <w:kern w:val="2"/>
                <w:sz w:val="24"/>
                <w:szCs w:val="24"/>
                <w:lang w:val="en-US" w:eastAsia="zh-CN"/>
              </w:rPr>
            </w:pPr>
            <w:r>
              <w:rPr>
                <w:rFonts w:hint="eastAsia" w:ascii="Times New Roman" w:hAnsi="Times New Roman" w:cs="宋体"/>
                <w:b w:val="0"/>
                <w:bCs w:val="0"/>
                <w:color w:val="auto"/>
                <w:kern w:val="2"/>
                <w:sz w:val="24"/>
                <w:szCs w:val="24"/>
                <w:lang w:val="en-US" w:eastAsia="zh-CN"/>
              </w:rPr>
              <w:t>切割：将玻璃原片通过切片机切割成客户所需的产品规格。玻璃是一种典型的脆性材料，玻璃切割并不是通常意义上的直接切割，而是制造划痕，造成应力集中， 然后裂片。该过程不产生粉尘，主要污染物为噪声</w:t>
            </w:r>
            <w:r>
              <w:rPr>
                <w:rFonts w:hint="eastAsia" w:cs="宋体"/>
                <w:b w:val="0"/>
                <w:bCs w:val="0"/>
                <w:color w:val="auto"/>
                <w:kern w:val="2"/>
                <w:sz w:val="24"/>
                <w:szCs w:val="24"/>
                <w:lang w:val="en-US" w:eastAsia="zh-CN"/>
              </w:rPr>
              <w:t>N，</w:t>
            </w:r>
            <w:r>
              <w:rPr>
                <w:rFonts w:hint="eastAsia" w:ascii="Times New Roman" w:hAnsi="Times New Roman" w:cs="宋体"/>
                <w:b w:val="0"/>
                <w:bCs w:val="0"/>
                <w:color w:val="auto"/>
                <w:kern w:val="2"/>
                <w:sz w:val="24"/>
                <w:szCs w:val="24"/>
                <w:lang w:val="en-US" w:eastAsia="zh-CN"/>
              </w:rPr>
              <w:t>及少量玻璃边角料</w:t>
            </w:r>
            <w:r>
              <w:rPr>
                <w:rFonts w:hint="eastAsia" w:cs="宋体"/>
                <w:b w:val="0"/>
                <w:bCs w:val="0"/>
                <w:color w:val="auto"/>
                <w:kern w:val="2"/>
                <w:sz w:val="24"/>
                <w:szCs w:val="24"/>
                <w:lang w:val="en-US" w:eastAsia="zh-CN"/>
              </w:rPr>
              <w:t>S</w:t>
            </w:r>
            <w:r>
              <w:rPr>
                <w:rFonts w:hint="eastAsia" w:cs="宋体"/>
                <w:b w:val="0"/>
                <w:bCs w:val="0"/>
                <w:color w:val="auto"/>
                <w:kern w:val="2"/>
                <w:sz w:val="24"/>
                <w:szCs w:val="24"/>
                <w:vertAlign w:val="subscript"/>
                <w:lang w:val="en-US" w:eastAsia="zh-CN"/>
              </w:rPr>
              <w:t>1-1</w:t>
            </w:r>
            <w:r>
              <w:rPr>
                <w:rFonts w:hint="eastAsia" w:ascii="Times New Roman" w:hAnsi="Times New Roman" w:cs="宋体"/>
                <w:b w:val="0"/>
                <w:bCs w:val="0"/>
                <w:color w:val="auto"/>
                <w:kern w:val="2"/>
                <w:sz w:val="24"/>
                <w:szCs w:val="24"/>
                <w:lang w:val="en-US" w:eastAsia="zh-CN"/>
              </w:rPr>
              <w:t>。</w:t>
            </w:r>
          </w:p>
          <w:p w14:paraId="06D328B6">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宋体"/>
                <w:b w:val="0"/>
                <w:bCs w:val="0"/>
                <w:color w:val="auto"/>
                <w:kern w:val="2"/>
                <w:sz w:val="24"/>
                <w:szCs w:val="24"/>
                <w:lang w:val="en-US" w:eastAsia="zh-CN"/>
              </w:rPr>
            </w:pPr>
            <w:r>
              <w:rPr>
                <w:rFonts w:hint="eastAsia" w:ascii="Times New Roman" w:hAnsi="Times New Roman" w:cs="宋体"/>
                <w:b w:val="0"/>
                <w:bCs w:val="0"/>
                <w:color w:val="auto"/>
                <w:kern w:val="2"/>
                <w:sz w:val="24"/>
                <w:szCs w:val="24"/>
                <w:lang w:val="en-US" w:eastAsia="zh-CN"/>
              </w:rPr>
              <w:t>磨边：将切割好的玻璃在磨边机上将锋利的边角打磨平滑，为了避免粉尘的产生，项目磨边采用水磨法进行，即在磨边机磨边的同时，在砂轮与玻璃接触部位冲水，废水进入沉淀池静置沉淀后，上层清水循环使用。该过程主要污染物为噪声</w:t>
            </w:r>
            <w:r>
              <w:rPr>
                <w:rFonts w:hint="eastAsia" w:cs="宋体"/>
                <w:b w:val="0"/>
                <w:bCs w:val="0"/>
                <w:color w:val="auto"/>
                <w:kern w:val="2"/>
                <w:sz w:val="24"/>
                <w:szCs w:val="24"/>
                <w:lang w:val="en-US" w:eastAsia="zh-CN"/>
              </w:rPr>
              <w:t>N</w:t>
            </w:r>
            <w:r>
              <w:rPr>
                <w:rFonts w:hint="eastAsia" w:ascii="Times New Roman" w:hAnsi="Times New Roman" w:cs="宋体"/>
                <w:b w:val="0"/>
                <w:bCs w:val="0"/>
                <w:color w:val="auto"/>
                <w:kern w:val="2"/>
                <w:sz w:val="24"/>
                <w:szCs w:val="24"/>
                <w:lang w:val="en-US" w:eastAsia="zh-CN"/>
              </w:rPr>
              <w:t>、磨边废水W</w:t>
            </w:r>
            <w:r>
              <w:rPr>
                <w:rFonts w:hint="eastAsia" w:ascii="Times New Roman" w:hAnsi="Times New Roman" w:cs="宋体"/>
                <w:b w:val="0"/>
                <w:bCs w:val="0"/>
                <w:color w:val="auto"/>
                <w:kern w:val="2"/>
                <w:sz w:val="24"/>
                <w:szCs w:val="24"/>
                <w:vertAlign w:val="subscript"/>
                <w:lang w:val="en-US" w:eastAsia="zh-CN"/>
              </w:rPr>
              <w:t>1</w:t>
            </w:r>
            <w:r>
              <w:rPr>
                <w:rFonts w:hint="eastAsia" w:cs="宋体"/>
                <w:b w:val="0"/>
                <w:bCs w:val="0"/>
                <w:color w:val="auto"/>
                <w:kern w:val="2"/>
                <w:sz w:val="24"/>
                <w:szCs w:val="24"/>
                <w:vertAlign w:val="subscript"/>
                <w:lang w:val="en-US" w:eastAsia="zh-CN"/>
              </w:rPr>
              <w:t>-1</w:t>
            </w:r>
            <w:r>
              <w:rPr>
                <w:rFonts w:hint="eastAsia" w:ascii="Times New Roman" w:hAnsi="Times New Roman" w:cs="宋体"/>
                <w:b w:val="0"/>
                <w:bCs w:val="0"/>
                <w:color w:val="auto"/>
                <w:kern w:val="2"/>
                <w:sz w:val="24"/>
                <w:szCs w:val="24"/>
                <w:lang w:val="en-US" w:eastAsia="zh-CN"/>
              </w:rPr>
              <w:t>。</w:t>
            </w:r>
          </w:p>
          <w:p w14:paraId="4F37B568">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宋体"/>
                <w:b w:val="0"/>
                <w:bCs w:val="0"/>
                <w:color w:val="auto"/>
                <w:kern w:val="2"/>
                <w:sz w:val="24"/>
                <w:szCs w:val="24"/>
                <w:lang w:val="en-US" w:eastAsia="zh-CN"/>
              </w:rPr>
            </w:pPr>
            <w:r>
              <w:rPr>
                <w:rFonts w:hint="eastAsia" w:ascii="Times New Roman" w:hAnsi="Times New Roman" w:cs="宋体"/>
                <w:b w:val="0"/>
                <w:bCs w:val="0"/>
                <w:color w:val="auto"/>
                <w:kern w:val="2"/>
                <w:sz w:val="24"/>
                <w:szCs w:val="24"/>
                <w:lang w:val="en-US" w:eastAsia="zh-CN"/>
              </w:rPr>
              <w:t>开缺、打孔：根据客户对产品的要求，少部分玻璃磨边后需要进行打孔或是开缺。该过程主要污染物为噪声</w:t>
            </w:r>
            <w:r>
              <w:rPr>
                <w:rFonts w:hint="eastAsia" w:cs="宋体"/>
                <w:b w:val="0"/>
                <w:bCs w:val="0"/>
                <w:color w:val="auto"/>
                <w:kern w:val="2"/>
                <w:sz w:val="24"/>
                <w:szCs w:val="24"/>
                <w:lang w:val="en-US" w:eastAsia="zh-CN"/>
              </w:rPr>
              <w:t>N、</w:t>
            </w:r>
            <w:r>
              <w:rPr>
                <w:rFonts w:hint="eastAsia" w:ascii="Times New Roman" w:hAnsi="Times New Roman" w:cs="宋体"/>
                <w:b w:val="0"/>
                <w:bCs w:val="0"/>
                <w:color w:val="auto"/>
                <w:kern w:val="2"/>
                <w:sz w:val="24"/>
                <w:szCs w:val="24"/>
                <w:lang w:val="en-US" w:eastAsia="zh-CN"/>
              </w:rPr>
              <w:t>少量玻璃边角料</w:t>
            </w:r>
            <w:r>
              <w:rPr>
                <w:rFonts w:hint="eastAsia" w:cs="宋体"/>
                <w:b w:val="0"/>
                <w:bCs w:val="0"/>
                <w:color w:val="auto"/>
                <w:kern w:val="2"/>
                <w:sz w:val="24"/>
                <w:szCs w:val="24"/>
                <w:lang w:val="en-US" w:eastAsia="zh-CN"/>
              </w:rPr>
              <w:t>S</w:t>
            </w:r>
            <w:r>
              <w:rPr>
                <w:rFonts w:hint="eastAsia" w:cs="宋体"/>
                <w:b w:val="0"/>
                <w:bCs w:val="0"/>
                <w:color w:val="auto"/>
                <w:kern w:val="2"/>
                <w:sz w:val="24"/>
                <w:szCs w:val="24"/>
                <w:vertAlign w:val="subscript"/>
                <w:lang w:val="en-US" w:eastAsia="zh-CN"/>
              </w:rPr>
              <w:t>1-2</w:t>
            </w:r>
            <w:r>
              <w:rPr>
                <w:rFonts w:hint="eastAsia" w:ascii="Times New Roman" w:hAnsi="Times New Roman" w:cs="宋体"/>
                <w:b w:val="0"/>
                <w:bCs w:val="0"/>
                <w:color w:val="auto"/>
                <w:kern w:val="2"/>
                <w:sz w:val="24"/>
                <w:szCs w:val="24"/>
                <w:lang w:val="en-US" w:eastAsia="zh-CN"/>
              </w:rPr>
              <w:t>。</w:t>
            </w:r>
          </w:p>
          <w:p w14:paraId="271C2F18">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宋体"/>
                <w:b w:val="0"/>
                <w:bCs w:val="0"/>
                <w:color w:val="auto"/>
                <w:kern w:val="2"/>
                <w:sz w:val="24"/>
                <w:szCs w:val="24"/>
                <w:lang w:val="en-US" w:eastAsia="zh-CN"/>
              </w:rPr>
            </w:pPr>
            <w:r>
              <w:rPr>
                <w:rFonts w:hint="eastAsia" w:ascii="Times New Roman" w:hAnsi="Times New Roman" w:cs="宋体"/>
                <w:b w:val="0"/>
                <w:bCs w:val="0"/>
                <w:color w:val="auto"/>
                <w:kern w:val="2"/>
                <w:sz w:val="24"/>
                <w:szCs w:val="24"/>
                <w:lang w:val="en-US" w:eastAsia="zh-CN"/>
              </w:rPr>
              <w:t>清洗：处理后的玻璃进入清洗机进行清洗，清洗过程中无需使用洗涤剂，只用水冲洗掉表面的玻璃粉尘，清洗用水于自带的水箱中静置沉淀后，上层清水循环使用。该过程主要污染物为噪声</w:t>
            </w:r>
            <w:r>
              <w:rPr>
                <w:rFonts w:hint="eastAsia" w:cs="宋体"/>
                <w:b w:val="0"/>
                <w:bCs w:val="0"/>
                <w:color w:val="auto"/>
                <w:kern w:val="2"/>
                <w:sz w:val="24"/>
                <w:szCs w:val="24"/>
                <w:lang w:val="en-US" w:eastAsia="zh-CN"/>
              </w:rPr>
              <w:t>N</w:t>
            </w:r>
            <w:r>
              <w:rPr>
                <w:rFonts w:hint="eastAsia" w:ascii="Times New Roman" w:hAnsi="Times New Roman" w:cs="宋体"/>
                <w:b w:val="0"/>
                <w:bCs w:val="0"/>
                <w:color w:val="auto"/>
                <w:kern w:val="2"/>
                <w:sz w:val="24"/>
                <w:szCs w:val="24"/>
                <w:lang w:val="en-US" w:eastAsia="zh-CN"/>
              </w:rPr>
              <w:t>、清洗废水</w:t>
            </w:r>
            <w:r>
              <w:rPr>
                <w:rFonts w:hint="eastAsia" w:cs="宋体"/>
                <w:b w:val="0"/>
                <w:bCs w:val="0"/>
                <w:color w:val="auto"/>
                <w:kern w:val="2"/>
                <w:sz w:val="24"/>
                <w:szCs w:val="24"/>
                <w:lang w:val="en-US" w:eastAsia="zh-CN"/>
              </w:rPr>
              <w:t>W</w:t>
            </w:r>
            <w:r>
              <w:rPr>
                <w:rFonts w:hint="eastAsia" w:cs="宋体"/>
                <w:b w:val="0"/>
                <w:bCs w:val="0"/>
                <w:color w:val="auto"/>
                <w:kern w:val="2"/>
                <w:sz w:val="24"/>
                <w:szCs w:val="24"/>
                <w:vertAlign w:val="subscript"/>
                <w:lang w:val="en-US" w:eastAsia="zh-CN"/>
              </w:rPr>
              <w:t>1-2</w:t>
            </w:r>
            <w:r>
              <w:rPr>
                <w:rFonts w:hint="eastAsia" w:ascii="Times New Roman" w:hAnsi="Times New Roman" w:cs="宋体"/>
                <w:b w:val="0"/>
                <w:bCs w:val="0"/>
                <w:color w:val="auto"/>
                <w:kern w:val="2"/>
                <w:sz w:val="24"/>
                <w:szCs w:val="24"/>
                <w:lang w:val="en-US" w:eastAsia="zh-CN"/>
              </w:rPr>
              <w:t>。</w:t>
            </w:r>
          </w:p>
          <w:p w14:paraId="7988909C">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宋体"/>
                <w:b w:val="0"/>
                <w:bCs w:val="0"/>
                <w:color w:val="auto"/>
                <w:kern w:val="2"/>
                <w:sz w:val="24"/>
                <w:szCs w:val="24"/>
                <w:lang w:val="en-US" w:eastAsia="zh-CN"/>
              </w:rPr>
            </w:pPr>
            <w:r>
              <w:rPr>
                <w:rFonts w:hint="eastAsia" w:ascii="Times New Roman" w:hAnsi="Times New Roman" w:cs="宋体"/>
                <w:b w:val="0"/>
                <w:bCs w:val="0"/>
                <w:color w:val="auto"/>
                <w:kern w:val="2"/>
                <w:sz w:val="24"/>
                <w:szCs w:val="24"/>
                <w:lang w:val="en-US" w:eastAsia="zh-CN"/>
              </w:rPr>
              <w:t>钢化：清洗后玻璃匀速通过电加热钢化炉，根据玻璃厚度控制通过速度，一般加热时间在15</w:t>
            </w:r>
            <w:r>
              <w:rPr>
                <w:rFonts w:hint="eastAsia" w:cs="宋体"/>
                <w:b w:val="0"/>
                <w:bCs w:val="0"/>
                <w:color w:val="auto"/>
                <w:kern w:val="2"/>
                <w:sz w:val="24"/>
                <w:szCs w:val="24"/>
                <w:lang w:val="en-US" w:eastAsia="zh-CN"/>
              </w:rPr>
              <w:t>～</w:t>
            </w:r>
            <w:r>
              <w:rPr>
                <w:rFonts w:hint="eastAsia" w:ascii="Times New Roman" w:hAnsi="Times New Roman" w:cs="宋体"/>
                <w:b w:val="0"/>
                <w:bCs w:val="0"/>
                <w:color w:val="auto"/>
                <w:kern w:val="2"/>
                <w:sz w:val="24"/>
                <w:szCs w:val="24"/>
                <w:lang w:val="en-US" w:eastAsia="zh-CN"/>
              </w:rPr>
              <w:t>30分钟之间，加热温度600</w:t>
            </w:r>
            <w:r>
              <w:rPr>
                <w:rFonts w:hint="default" w:ascii="Times New Roman" w:hAnsi="Times New Roman" w:cs="Times New Roman"/>
                <w:b w:val="0"/>
                <w:bCs w:val="0"/>
                <w:color w:val="auto"/>
                <w:kern w:val="2"/>
                <w:sz w:val="24"/>
                <w:szCs w:val="24"/>
                <w:lang w:val="en-US" w:eastAsia="zh-CN"/>
              </w:rPr>
              <w:t>℃</w:t>
            </w:r>
            <w:r>
              <w:rPr>
                <w:rFonts w:hint="eastAsia" w:ascii="Times New Roman" w:hAnsi="Times New Roman" w:cs="宋体"/>
                <w:b w:val="0"/>
                <w:bCs w:val="0"/>
                <w:color w:val="auto"/>
                <w:kern w:val="2"/>
                <w:sz w:val="24"/>
                <w:szCs w:val="24"/>
                <w:lang w:val="en-US" w:eastAsia="zh-CN"/>
              </w:rPr>
              <w:t>左右，刚好到玻璃软化点，然后出炉经多头喷嘴向两面喷吹空气，使之迅速地、均匀地冷却，当冷却至室温时，就形成了高强度的钢化玻璃。该过程污染物主要是钢化炉运行产生的噪声</w:t>
            </w:r>
            <w:r>
              <w:rPr>
                <w:rFonts w:hint="eastAsia" w:cs="宋体"/>
                <w:b w:val="0"/>
                <w:bCs w:val="0"/>
                <w:color w:val="auto"/>
                <w:kern w:val="2"/>
                <w:sz w:val="24"/>
                <w:szCs w:val="24"/>
                <w:lang w:val="en-US" w:eastAsia="zh-CN"/>
              </w:rPr>
              <w:t>N</w:t>
            </w:r>
            <w:r>
              <w:rPr>
                <w:rFonts w:hint="eastAsia" w:ascii="Times New Roman" w:hAnsi="Times New Roman" w:cs="宋体"/>
                <w:b w:val="0"/>
                <w:bCs w:val="0"/>
                <w:color w:val="auto"/>
                <w:kern w:val="2"/>
                <w:sz w:val="24"/>
                <w:szCs w:val="24"/>
                <w:lang w:val="en-US" w:eastAsia="zh-CN"/>
              </w:rPr>
              <w:t>。</w:t>
            </w:r>
          </w:p>
          <w:p w14:paraId="40977BDF">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s="宋体"/>
                <w:b w:val="0"/>
                <w:bCs w:val="0"/>
                <w:color w:val="auto"/>
                <w:kern w:val="2"/>
                <w:sz w:val="24"/>
                <w:szCs w:val="24"/>
                <w:lang w:val="en-US" w:eastAsia="zh-CN"/>
              </w:rPr>
            </w:pPr>
            <w:r>
              <w:rPr>
                <w:rFonts w:hint="eastAsia" w:ascii="Times New Roman" w:hAnsi="Times New Roman" w:cs="宋体"/>
                <w:b w:val="0"/>
                <w:bCs w:val="0"/>
                <w:color w:val="auto"/>
                <w:kern w:val="2"/>
                <w:sz w:val="24"/>
                <w:szCs w:val="24"/>
                <w:lang w:val="en-US" w:eastAsia="zh-CN"/>
              </w:rPr>
              <w:t>风冷：钢化后出炉经风机多头喷嘴向两面喷吹空气，使之迅速地、均匀地冷却，当冷却至室温时，就形成了高强度的钢化玻璃。冷却方式通过大功率鼓风机产生的大量冷风实现，该过程不产生废气，仅排放热空气，通过设备专用排风口排出。将玻璃由变频器驱动电机带动辊道高速运转将玻璃运往下片台，人工卸片。此工序无污染物产生。</w:t>
            </w:r>
          </w:p>
          <w:p w14:paraId="31047AE5">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cs="宋体"/>
                <w:b w:val="0"/>
                <w:bCs w:val="0"/>
                <w:color w:val="auto"/>
                <w:kern w:val="2"/>
                <w:sz w:val="24"/>
                <w:szCs w:val="24"/>
                <w:lang w:val="en-US" w:eastAsia="zh-CN"/>
              </w:rPr>
            </w:pPr>
            <w:r>
              <w:rPr>
                <w:rFonts w:hint="eastAsia" w:ascii="Times New Roman" w:hAnsi="Times New Roman" w:cs="宋体"/>
                <w:b w:val="0"/>
                <w:bCs w:val="0"/>
                <w:color w:val="auto"/>
                <w:kern w:val="2"/>
                <w:sz w:val="24"/>
                <w:szCs w:val="24"/>
                <w:lang w:val="en-US" w:eastAsia="zh-CN"/>
              </w:rPr>
              <w:t>检验：检验后合格品入库待售</w:t>
            </w:r>
            <w:r>
              <w:rPr>
                <w:rFonts w:hint="eastAsia" w:cs="宋体"/>
                <w:b w:val="0"/>
                <w:bCs w:val="0"/>
                <w:color w:val="auto"/>
                <w:kern w:val="2"/>
                <w:sz w:val="24"/>
                <w:szCs w:val="24"/>
                <w:lang w:val="en-US" w:eastAsia="zh-CN"/>
              </w:rPr>
              <w:t>，不合格品外售综合利用，此工序产生不合格品S</w:t>
            </w:r>
            <w:r>
              <w:rPr>
                <w:rFonts w:hint="eastAsia" w:cs="宋体"/>
                <w:b w:val="0"/>
                <w:bCs w:val="0"/>
                <w:color w:val="auto"/>
                <w:kern w:val="2"/>
                <w:sz w:val="24"/>
                <w:szCs w:val="24"/>
                <w:vertAlign w:val="subscript"/>
                <w:lang w:val="en-US" w:eastAsia="zh-CN"/>
              </w:rPr>
              <w:t>1-4</w:t>
            </w:r>
            <w:r>
              <w:rPr>
                <w:rFonts w:hint="eastAsia" w:cs="宋体"/>
                <w:b w:val="0"/>
                <w:bCs w:val="0"/>
                <w:color w:val="auto"/>
                <w:kern w:val="2"/>
                <w:sz w:val="24"/>
                <w:szCs w:val="24"/>
                <w:lang w:val="en-US" w:eastAsia="zh-CN"/>
              </w:rPr>
              <w:t>。</w:t>
            </w:r>
          </w:p>
          <w:p w14:paraId="52CB02AA">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s="宋体"/>
                <w:bCs/>
                <w:color w:val="auto"/>
                <w:kern w:val="2"/>
                <w:szCs w:val="24"/>
                <w:lang w:val="en-US" w:eastAsia="zh-CN"/>
              </w:rPr>
              <w:t>②</w:t>
            </w:r>
            <w:r>
              <w:rPr>
                <w:rFonts w:hint="eastAsia"/>
                <w:color w:val="auto"/>
                <w:lang w:val="en-US" w:eastAsia="zh-CN"/>
              </w:rPr>
              <w:t>原有</w:t>
            </w:r>
            <w:r>
              <w:rPr>
                <w:rFonts w:hint="eastAsia"/>
                <w:color w:val="auto"/>
              </w:rPr>
              <w:t>项目</w:t>
            </w:r>
            <w:r>
              <w:rPr>
                <w:rFonts w:hint="eastAsia"/>
                <w:color w:val="auto"/>
                <w:lang w:val="en-US" w:eastAsia="zh-CN"/>
              </w:rPr>
              <w:t>中空玻璃</w:t>
            </w:r>
            <w:r>
              <w:rPr>
                <w:rFonts w:hint="eastAsia"/>
                <w:color w:val="auto"/>
              </w:rPr>
              <w:t>生产工艺流程见</w:t>
            </w:r>
            <w:r>
              <w:rPr>
                <w:rFonts w:hint="eastAsia"/>
                <w:color w:val="auto"/>
                <w:lang w:val="en-US" w:eastAsia="zh-CN"/>
              </w:rPr>
              <w:t>下图</w:t>
            </w:r>
            <w:r>
              <w:rPr>
                <w:rFonts w:hint="eastAsia" w:cs="Times New Roman"/>
                <w:color w:val="auto"/>
                <w:lang w:val="en-US" w:eastAsia="zh-CN"/>
              </w:rPr>
              <w:t>：</w:t>
            </w:r>
          </w:p>
          <w:p w14:paraId="10D9529B">
            <w:pPr>
              <w:pStyle w:val="2"/>
              <w:ind w:left="0" w:leftChars="0" w:firstLine="0" w:firstLineChars="0"/>
              <w:jc w:val="center"/>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pict>
                <v:shape id="_x0000_s2617" o:spid="_x0000_s2617" o:spt="75" type="#_x0000_t75" style="position:absolute;left:0pt;margin-left:19.75pt;margin-top:-108.65pt;height:287.25pt;width:372.75pt;mso-wrap-distance-bottom:0pt;mso-wrap-distance-top:0pt;z-index:251666432;mso-width-relative:page;mso-height-relative:page;" o:ole="t" filled="f" o:preferrelative="t" stroked="f" coordsize="21600,21600">
                  <v:path/>
                  <v:fill on="f" focussize="0,0"/>
                  <v:stroke on="f"/>
                  <v:imagedata r:id="rId18" o:title=""/>
                  <o:lock v:ext="edit" aspectratio="f"/>
                  <w10:wrap type="topAndBottom"/>
                </v:shape>
                <o:OLEObject Type="Embed" ProgID="Visio.Drawing.15" ShapeID="_x0000_s2617" DrawAspect="Content" ObjectID="_1468075730" r:id="rId17">
                  <o:LockedField>false</o:LockedField>
                </o:OLEObject>
              </w:pict>
            </w:r>
            <w:r>
              <w:rPr>
                <w:rFonts w:hint="eastAsia" w:ascii="Times New Roman" w:hAnsi="Times New Roman" w:cs="Times New Roman"/>
                <w:color w:val="auto"/>
                <w:sz w:val="24"/>
                <w:szCs w:val="24"/>
                <w:lang w:val="en-US" w:eastAsia="zh-CN"/>
              </w:rPr>
              <w:t>图2-6  中空玻璃工</w:t>
            </w:r>
            <w:r>
              <w:rPr>
                <w:rFonts w:hint="default" w:ascii="Times New Roman" w:hAnsi="Times New Roman" w:cs="Times New Roman"/>
                <w:color w:val="auto"/>
                <w:sz w:val="24"/>
                <w:szCs w:val="24"/>
              </w:rPr>
              <w:t>艺流程图</w:t>
            </w:r>
          </w:p>
          <w:p w14:paraId="602302CF">
            <w:pPr>
              <w:pStyle w:val="6"/>
              <w:keepNext w:val="0"/>
              <w:keepLines w:val="0"/>
              <w:pageBreakBefore w:val="0"/>
              <w:kinsoku/>
              <w:wordWrap/>
              <w:overflowPunct/>
              <w:topLinePunct w:val="0"/>
              <w:bidi w:val="0"/>
              <w:snapToGrid/>
              <w:spacing w:after="0" w:line="360" w:lineRule="auto"/>
              <w:ind w:left="0" w:leftChars="0" w:firstLine="480"/>
              <w:textAlignment w:val="auto"/>
              <w:rPr>
                <w:rFonts w:hint="eastAsia" w:cs="宋体"/>
                <w:bCs/>
                <w:color w:val="auto"/>
                <w:kern w:val="2"/>
                <w:szCs w:val="24"/>
              </w:rPr>
            </w:pPr>
            <w:r>
              <w:rPr>
                <w:rFonts w:hint="eastAsia" w:cs="宋体"/>
                <w:bCs/>
                <w:color w:val="auto"/>
                <w:kern w:val="2"/>
                <w:szCs w:val="24"/>
              </w:rPr>
              <w:t>生产工艺流程简述：</w:t>
            </w:r>
          </w:p>
          <w:p w14:paraId="5FEC5B2F">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cs="宋体"/>
                <w:bCs/>
                <w:color w:val="auto"/>
                <w:kern w:val="2"/>
                <w:szCs w:val="24"/>
                <w:lang w:val="en-US" w:eastAsia="zh-CN"/>
              </w:rPr>
            </w:pPr>
            <w:r>
              <w:rPr>
                <w:rFonts w:hint="eastAsia" w:ascii="Times New Roman" w:hAnsi="Times New Roman" w:cs="宋体"/>
                <w:bCs/>
                <w:color w:val="auto"/>
                <w:kern w:val="2"/>
                <w:szCs w:val="24"/>
                <w:lang w:val="en-US" w:eastAsia="zh-CN"/>
              </w:rPr>
              <w:t>灌装合胶：加工好的铝框移入封闭的中空玻璃生产线内，上挂架后使用打胶机对其边框两侧进行机械涂胶。涂胶用胶为丁基胶，呈固体块状，事先放于打胶机胶盒内。使用前预热至13</w:t>
            </w:r>
            <w:r>
              <w:rPr>
                <w:rFonts w:hint="default" w:ascii="Times New Roman" w:hAnsi="Times New Roman" w:cs="Times New Roman"/>
                <w:bCs/>
                <w:color w:val="auto"/>
                <w:kern w:val="2"/>
                <w:szCs w:val="24"/>
                <w:lang w:val="en-US" w:eastAsia="zh-CN"/>
              </w:rPr>
              <w:t>0℃</w:t>
            </w:r>
            <w:r>
              <w:rPr>
                <w:rFonts w:hint="eastAsia" w:ascii="Times New Roman" w:hAnsi="Times New Roman" w:cs="宋体"/>
                <w:bCs/>
                <w:color w:val="auto"/>
                <w:kern w:val="2"/>
                <w:szCs w:val="24"/>
                <w:lang w:val="en-US" w:eastAsia="zh-CN"/>
              </w:rPr>
              <w:t>左右（电加热），使丁基胶处于熔融状态，打胶机维持该工艺温度，连续对铝条进行打胶，保证机械上胶的上胶率。丁基胶为速干胶，其熔融、涂胶、干燥过程可在较短时间内（同步）完成。该工序产生的污染因素主要为打胶机运行过程中产生的噪声以及丁基胶高温熔融、涂胶过程中挥发出的有机废气</w:t>
            </w:r>
            <w:r>
              <w:rPr>
                <w:rFonts w:hint="eastAsia" w:cs="宋体"/>
                <w:bCs/>
                <w:color w:val="auto"/>
                <w:kern w:val="2"/>
                <w:szCs w:val="24"/>
                <w:lang w:val="en-US" w:eastAsia="zh-CN"/>
              </w:rPr>
              <w:t>G</w:t>
            </w:r>
            <w:r>
              <w:rPr>
                <w:rFonts w:hint="eastAsia" w:cs="宋体"/>
                <w:bCs/>
                <w:color w:val="auto"/>
                <w:kern w:val="2"/>
                <w:szCs w:val="24"/>
                <w:vertAlign w:val="subscript"/>
                <w:lang w:val="en-US" w:eastAsia="zh-CN"/>
              </w:rPr>
              <w:t>1-1</w:t>
            </w:r>
            <w:r>
              <w:rPr>
                <w:rFonts w:hint="eastAsia" w:ascii="Times New Roman" w:hAnsi="Times New Roman" w:cs="宋体"/>
                <w:bCs/>
                <w:color w:val="auto"/>
                <w:kern w:val="2"/>
                <w:szCs w:val="24"/>
                <w:lang w:val="en-US" w:eastAsia="zh-CN"/>
              </w:rPr>
              <w:t>。</w:t>
            </w:r>
          </w:p>
          <w:p w14:paraId="4DA3F1F4">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cs="宋体"/>
                <w:bCs/>
                <w:color w:val="auto"/>
                <w:kern w:val="2"/>
                <w:szCs w:val="24"/>
                <w:lang w:val="en-US" w:eastAsia="zh-CN"/>
              </w:rPr>
            </w:pPr>
            <w:r>
              <w:rPr>
                <w:rFonts w:hint="eastAsia" w:ascii="Times New Roman" w:hAnsi="Times New Roman" w:cs="宋体"/>
                <w:bCs/>
                <w:color w:val="auto"/>
                <w:kern w:val="2"/>
                <w:szCs w:val="24"/>
                <w:lang w:val="en-US" w:eastAsia="zh-CN"/>
              </w:rPr>
              <w:t>合片平压：灌装合胶后的玻璃通过</w:t>
            </w:r>
            <w:r>
              <w:rPr>
                <w:rFonts w:hint="eastAsia" w:cs="宋体"/>
                <w:bCs/>
                <w:color w:val="auto"/>
                <w:kern w:val="2"/>
                <w:szCs w:val="24"/>
                <w:lang w:val="en-US" w:eastAsia="zh-CN"/>
              </w:rPr>
              <w:t>合片机</w:t>
            </w:r>
            <w:r>
              <w:rPr>
                <w:rFonts w:hint="eastAsia" w:ascii="Times New Roman" w:hAnsi="Times New Roman" w:cs="宋体"/>
                <w:bCs/>
                <w:color w:val="auto"/>
                <w:kern w:val="2"/>
                <w:szCs w:val="24"/>
                <w:lang w:val="en-US" w:eastAsia="zh-CN"/>
              </w:rPr>
              <w:t>进行合片并平压，以保证合片</w:t>
            </w:r>
          </w:p>
          <w:p w14:paraId="68FE7E9F">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Times New Roman" w:hAnsi="Times New Roman" w:cs="宋体"/>
                <w:bCs/>
                <w:color w:val="auto"/>
                <w:kern w:val="2"/>
                <w:szCs w:val="24"/>
                <w:lang w:val="en-US" w:eastAsia="zh-CN"/>
              </w:rPr>
            </w:pPr>
            <w:r>
              <w:rPr>
                <w:rFonts w:hint="eastAsia" w:ascii="Times New Roman" w:hAnsi="Times New Roman" w:cs="宋体"/>
                <w:bCs/>
                <w:color w:val="auto"/>
                <w:kern w:val="2"/>
                <w:szCs w:val="24"/>
                <w:lang w:val="en-US" w:eastAsia="zh-CN"/>
              </w:rPr>
              <w:t>稳固。该过程污染物主要是</w:t>
            </w:r>
            <w:r>
              <w:rPr>
                <w:rFonts w:hint="eastAsia" w:cs="宋体"/>
                <w:bCs/>
                <w:color w:val="auto"/>
                <w:kern w:val="2"/>
                <w:szCs w:val="24"/>
                <w:lang w:val="en-US" w:eastAsia="zh-CN"/>
              </w:rPr>
              <w:t>设备</w:t>
            </w:r>
            <w:r>
              <w:rPr>
                <w:rFonts w:hint="eastAsia" w:ascii="Times New Roman" w:hAnsi="Times New Roman" w:cs="宋体"/>
                <w:bCs/>
                <w:color w:val="auto"/>
                <w:kern w:val="2"/>
                <w:szCs w:val="24"/>
                <w:lang w:val="en-US" w:eastAsia="zh-CN"/>
              </w:rPr>
              <w:t>运行产生的噪声</w:t>
            </w:r>
            <w:r>
              <w:rPr>
                <w:rFonts w:hint="eastAsia" w:cs="宋体"/>
                <w:bCs/>
                <w:color w:val="auto"/>
                <w:kern w:val="2"/>
                <w:szCs w:val="24"/>
                <w:lang w:val="en-US" w:eastAsia="zh-CN"/>
              </w:rPr>
              <w:t>N</w:t>
            </w:r>
            <w:r>
              <w:rPr>
                <w:rFonts w:hint="eastAsia" w:ascii="Times New Roman" w:hAnsi="Times New Roman" w:cs="宋体"/>
                <w:bCs/>
                <w:color w:val="auto"/>
                <w:kern w:val="2"/>
                <w:szCs w:val="24"/>
                <w:lang w:val="en-US" w:eastAsia="zh-CN"/>
              </w:rPr>
              <w:t>。</w:t>
            </w:r>
          </w:p>
          <w:p w14:paraId="292EFAE2">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cs="宋体"/>
                <w:bCs/>
                <w:color w:val="auto"/>
                <w:kern w:val="2"/>
                <w:szCs w:val="24"/>
                <w:lang w:val="en-US" w:eastAsia="zh-CN"/>
              </w:rPr>
            </w:pPr>
            <w:r>
              <w:rPr>
                <w:rFonts w:hint="eastAsia" w:ascii="Times New Roman" w:hAnsi="Times New Roman" w:cs="宋体"/>
                <w:bCs/>
                <w:color w:val="auto"/>
                <w:kern w:val="2"/>
                <w:szCs w:val="24"/>
                <w:lang w:val="en-US" w:eastAsia="zh-CN"/>
              </w:rPr>
              <w:t>密封：人工将硅酮密封胶均匀涂抹于玻璃、铝框合片处，使中空玻璃内部与外界空气处于隔绝状态。封胶过程为人工操作，未</w:t>
            </w:r>
            <w:r>
              <w:rPr>
                <w:rFonts w:hint="eastAsia" w:cs="宋体"/>
                <w:bCs/>
                <w:color w:val="auto"/>
                <w:kern w:val="2"/>
                <w:szCs w:val="24"/>
                <w:lang w:val="en-US" w:eastAsia="zh-CN"/>
              </w:rPr>
              <w:t>使用</w:t>
            </w:r>
            <w:r>
              <w:rPr>
                <w:rFonts w:hint="eastAsia" w:ascii="Times New Roman" w:hAnsi="Times New Roman" w:cs="宋体"/>
                <w:bCs/>
                <w:color w:val="auto"/>
                <w:kern w:val="2"/>
                <w:szCs w:val="24"/>
                <w:lang w:val="en-US" w:eastAsia="zh-CN"/>
              </w:rPr>
              <w:t>涂布机等设备。该工序产生的污染因素主要为硅酮密封胶使用过程中产生的有机废气</w:t>
            </w:r>
            <w:r>
              <w:rPr>
                <w:rFonts w:hint="eastAsia" w:cs="宋体"/>
                <w:bCs/>
                <w:color w:val="auto"/>
                <w:kern w:val="2"/>
                <w:szCs w:val="24"/>
                <w:lang w:val="en-US" w:eastAsia="zh-CN"/>
              </w:rPr>
              <w:t>G</w:t>
            </w:r>
            <w:r>
              <w:rPr>
                <w:rFonts w:hint="eastAsia" w:cs="宋体"/>
                <w:bCs/>
                <w:color w:val="auto"/>
                <w:kern w:val="2"/>
                <w:szCs w:val="24"/>
                <w:vertAlign w:val="subscript"/>
                <w:lang w:val="en-US" w:eastAsia="zh-CN"/>
              </w:rPr>
              <w:t>1-2</w:t>
            </w:r>
            <w:r>
              <w:rPr>
                <w:rFonts w:hint="eastAsia" w:ascii="Times New Roman" w:hAnsi="Times New Roman" w:cs="宋体"/>
                <w:bCs/>
                <w:color w:val="auto"/>
                <w:kern w:val="2"/>
                <w:szCs w:val="24"/>
                <w:lang w:val="en-US" w:eastAsia="zh-CN"/>
              </w:rPr>
              <w:t>。</w:t>
            </w:r>
          </w:p>
          <w:p w14:paraId="079B2DC2">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cs="宋体"/>
                <w:b w:val="0"/>
                <w:bCs w:val="0"/>
                <w:color w:val="auto"/>
                <w:kern w:val="2"/>
                <w:sz w:val="24"/>
                <w:szCs w:val="24"/>
                <w:lang w:val="en-US" w:eastAsia="zh-CN"/>
              </w:rPr>
            </w:pPr>
            <w:r>
              <w:rPr>
                <w:rFonts w:hint="eastAsia" w:ascii="Times New Roman" w:hAnsi="Times New Roman" w:cs="宋体"/>
                <w:b w:val="0"/>
                <w:bCs w:val="0"/>
                <w:color w:val="auto"/>
                <w:kern w:val="2"/>
                <w:sz w:val="24"/>
                <w:szCs w:val="24"/>
                <w:lang w:val="en-US" w:eastAsia="zh-CN"/>
              </w:rPr>
              <w:t>检验：检验后合格品入库待售</w:t>
            </w:r>
            <w:r>
              <w:rPr>
                <w:rFonts w:hint="eastAsia" w:cs="宋体"/>
                <w:b w:val="0"/>
                <w:bCs w:val="0"/>
                <w:color w:val="auto"/>
                <w:kern w:val="2"/>
                <w:sz w:val="24"/>
                <w:szCs w:val="24"/>
                <w:lang w:val="en-US" w:eastAsia="zh-CN"/>
              </w:rPr>
              <w:t>，不合格品外售综合利用，此工序产生不合格品S</w:t>
            </w:r>
            <w:r>
              <w:rPr>
                <w:rFonts w:hint="eastAsia" w:cs="宋体"/>
                <w:b w:val="0"/>
                <w:bCs w:val="0"/>
                <w:color w:val="auto"/>
                <w:kern w:val="2"/>
                <w:sz w:val="24"/>
                <w:szCs w:val="24"/>
                <w:vertAlign w:val="subscript"/>
                <w:lang w:val="en-US" w:eastAsia="zh-CN"/>
              </w:rPr>
              <w:t>2-1</w:t>
            </w:r>
            <w:r>
              <w:rPr>
                <w:rFonts w:hint="eastAsia" w:cs="宋体"/>
                <w:b w:val="0"/>
                <w:bCs w:val="0"/>
                <w:color w:val="auto"/>
                <w:kern w:val="2"/>
                <w:sz w:val="24"/>
                <w:szCs w:val="24"/>
                <w:lang w:val="en-US" w:eastAsia="zh-CN"/>
              </w:rPr>
              <w:t>。</w:t>
            </w:r>
          </w:p>
          <w:p w14:paraId="55481373">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s="宋体"/>
                <w:bCs/>
                <w:color w:val="auto"/>
                <w:kern w:val="2"/>
                <w:szCs w:val="24"/>
                <w:lang w:val="en-US" w:eastAsia="zh-CN"/>
              </w:rPr>
              <w:t>③原有</w:t>
            </w:r>
            <w:r>
              <w:rPr>
                <w:rFonts w:hint="eastAsia"/>
                <w:color w:val="auto"/>
              </w:rPr>
              <w:t>项目</w:t>
            </w:r>
            <w:r>
              <w:rPr>
                <w:rFonts w:hint="eastAsia"/>
                <w:color w:val="auto"/>
                <w:lang w:val="en-US" w:eastAsia="zh-CN"/>
              </w:rPr>
              <w:t>夹胶玻璃</w:t>
            </w:r>
            <w:r>
              <w:rPr>
                <w:rFonts w:hint="eastAsia"/>
                <w:color w:val="auto"/>
              </w:rPr>
              <w:t>生产工艺流程见</w:t>
            </w:r>
            <w:r>
              <w:rPr>
                <w:rFonts w:hint="eastAsia"/>
                <w:color w:val="auto"/>
                <w:lang w:val="en-US" w:eastAsia="zh-CN"/>
              </w:rPr>
              <w:t>下图</w:t>
            </w:r>
            <w:r>
              <w:rPr>
                <w:rFonts w:hint="eastAsia" w:cs="Times New Roman"/>
                <w:color w:val="auto"/>
                <w:lang w:val="en-US" w:eastAsia="zh-CN"/>
              </w:rPr>
              <w:t>：</w:t>
            </w:r>
          </w:p>
          <w:p w14:paraId="009E1CAA">
            <w:pPr>
              <w:pStyle w:val="6"/>
              <w:keepNext w:val="0"/>
              <w:keepLines w:val="0"/>
              <w:pageBreakBefore w:val="0"/>
              <w:numPr>
                <w:ilvl w:val="0"/>
                <w:numId w:val="0"/>
              </w:numPr>
              <w:kinsoku/>
              <w:wordWrap/>
              <w:overflowPunct/>
              <w:topLinePunct w:val="0"/>
              <w:bidi w:val="0"/>
              <w:snapToGrid/>
              <w:spacing w:after="0" w:line="360" w:lineRule="auto"/>
              <w:ind w:leftChars="400"/>
              <w:jc w:val="center"/>
              <w:textAlignment w:val="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pict>
                <v:shape id="_x0000_s2615" o:spid="_x0000_s2615" o:spt="75" type="#_x0000_t75" style="position:absolute;left:0pt;margin-left:-0.25pt;margin-top:6.75pt;height:271.45pt;width:396.9pt;mso-wrap-distance-bottom:0pt;mso-wrap-distance-top:0pt;z-index:251665408;mso-width-relative:page;mso-height-relative:page;" o:ole="t" filled="f" o:preferrelative="t" stroked="f" coordsize="21600,21600">
                  <v:path/>
                  <v:fill on="f" focussize="0,0"/>
                  <v:stroke on="f"/>
                  <v:imagedata r:id="rId20" o:title=""/>
                  <o:lock v:ext="edit" aspectratio="f"/>
                  <w10:wrap type="topAndBottom"/>
                </v:shape>
                <o:OLEObject Type="Embed" ProgID="Visio.Drawing.15" ShapeID="_x0000_s2615" DrawAspect="Content" ObjectID="_1468075731" r:id="rId19">
                  <o:LockedField>false</o:LockedField>
                </o:OLEObject>
              </w:pict>
            </w:r>
            <w:r>
              <w:rPr>
                <w:rFonts w:hint="eastAsia" w:ascii="Times New Roman" w:hAnsi="Times New Roman" w:cs="Times New Roman"/>
                <w:b/>
                <w:bCs/>
                <w:color w:val="auto"/>
                <w:sz w:val="24"/>
                <w:szCs w:val="24"/>
                <w:lang w:val="en-US" w:eastAsia="zh-CN"/>
              </w:rPr>
              <w:t>图2-</w:t>
            </w:r>
            <w:r>
              <w:rPr>
                <w:rFonts w:hint="eastAsia" w:cs="Times New Roman"/>
                <w:b/>
                <w:bCs/>
                <w:color w:val="auto"/>
                <w:sz w:val="24"/>
                <w:szCs w:val="24"/>
                <w:lang w:val="en-US" w:eastAsia="zh-CN"/>
              </w:rPr>
              <w:t>7</w:t>
            </w:r>
            <w:r>
              <w:rPr>
                <w:rFonts w:hint="eastAsia" w:ascii="Times New Roman" w:hAnsi="Times New Roman" w:cs="Times New Roman"/>
                <w:b/>
                <w:bCs/>
                <w:color w:val="auto"/>
                <w:sz w:val="24"/>
                <w:szCs w:val="24"/>
                <w:lang w:val="en-US" w:eastAsia="zh-CN"/>
              </w:rPr>
              <w:t xml:space="preserve">  </w:t>
            </w:r>
            <w:r>
              <w:rPr>
                <w:rFonts w:hint="eastAsia" w:cs="Times New Roman"/>
                <w:b/>
                <w:bCs/>
                <w:color w:val="auto"/>
                <w:sz w:val="24"/>
                <w:szCs w:val="24"/>
                <w:lang w:val="en-US" w:eastAsia="zh-CN"/>
              </w:rPr>
              <w:t>夹胶</w:t>
            </w:r>
            <w:r>
              <w:rPr>
                <w:rFonts w:hint="eastAsia" w:ascii="Times New Roman" w:hAnsi="Times New Roman" w:cs="Times New Roman"/>
                <w:b/>
                <w:bCs/>
                <w:color w:val="auto"/>
                <w:sz w:val="24"/>
                <w:szCs w:val="24"/>
                <w:lang w:val="en-US" w:eastAsia="zh-CN"/>
              </w:rPr>
              <w:t>玻璃工</w:t>
            </w:r>
            <w:r>
              <w:rPr>
                <w:rFonts w:hint="default" w:ascii="Times New Roman" w:hAnsi="Times New Roman" w:cs="Times New Roman"/>
                <w:b/>
                <w:bCs/>
                <w:color w:val="auto"/>
                <w:sz w:val="24"/>
                <w:szCs w:val="24"/>
              </w:rPr>
              <w:t>艺流程图</w:t>
            </w:r>
          </w:p>
          <w:p w14:paraId="1348B7A8">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color w:val="auto"/>
                <w:sz w:val="24"/>
                <w:lang w:val="en-US" w:eastAsia="zh-CN"/>
              </w:rPr>
            </w:pPr>
            <w:r>
              <w:rPr>
                <w:rFonts w:hint="eastAsia"/>
                <w:color w:val="auto"/>
                <w:sz w:val="24"/>
                <w:lang w:val="en-US" w:eastAsia="zh-CN"/>
              </w:rPr>
              <w:t>生产工艺流程简述：</w:t>
            </w:r>
          </w:p>
          <w:p w14:paraId="28A735D6">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Times New Roman" w:hAnsi="Times New Roman"/>
                <w:b w:val="0"/>
                <w:color w:val="auto"/>
                <w:sz w:val="24"/>
                <w:lang w:val="en-US" w:eastAsia="zh-CN"/>
              </w:rPr>
            </w:pPr>
            <w:r>
              <w:rPr>
                <w:rFonts w:hint="eastAsia" w:ascii="Times New Roman" w:hAnsi="Times New Roman"/>
                <w:b w:val="0"/>
                <w:color w:val="auto"/>
                <w:sz w:val="24"/>
                <w:lang w:val="en-US" w:eastAsia="zh-CN"/>
              </w:rPr>
              <w:t>铺胶片：钢化玻璃半成品铺上 PVB 胶片。</w:t>
            </w:r>
          </w:p>
          <w:p w14:paraId="099C10AA">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Times New Roman" w:hAnsi="Times New Roman"/>
                <w:b w:val="0"/>
                <w:color w:val="auto"/>
                <w:sz w:val="24"/>
                <w:lang w:val="en-US" w:eastAsia="zh-CN"/>
              </w:rPr>
            </w:pPr>
            <w:r>
              <w:rPr>
                <w:rFonts w:hint="eastAsia" w:ascii="Times New Roman" w:hAnsi="Times New Roman"/>
                <w:b w:val="0"/>
                <w:color w:val="auto"/>
                <w:sz w:val="24"/>
                <w:lang w:val="en-US" w:eastAsia="zh-CN"/>
              </w:rPr>
              <w:t>合片：铺上 PVB 胶片的玻璃进行合片。</w:t>
            </w:r>
          </w:p>
          <w:p w14:paraId="3E91B457">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Times New Roman" w:hAnsi="Times New Roman"/>
                <w:b w:val="0"/>
                <w:color w:val="auto"/>
                <w:sz w:val="24"/>
                <w:lang w:val="en-US" w:eastAsia="zh-CN"/>
              </w:rPr>
            </w:pPr>
            <w:r>
              <w:rPr>
                <w:rFonts w:hint="eastAsia" w:ascii="Times New Roman" w:hAnsi="Times New Roman"/>
                <w:b w:val="0"/>
                <w:color w:val="auto"/>
                <w:sz w:val="24"/>
                <w:lang w:val="en-US" w:eastAsia="zh-CN"/>
              </w:rPr>
              <w:t>加热：玻璃四周置放便于真空排气的网格，在真空值达到 0.095Mpa常</w:t>
            </w:r>
            <w:r>
              <w:rPr>
                <w:rFonts w:hint="default" w:ascii="Times New Roman" w:hAnsi="Times New Roman" w:cs="Times New Roman"/>
                <w:b w:val="0"/>
                <w:color w:val="auto"/>
                <w:sz w:val="24"/>
                <w:lang w:val="en-US" w:eastAsia="zh-CN"/>
              </w:rPr>
              <w:t>温下冷抽5分钟，抽真空</w:t>
            </w:r>
            <w:r>
              <w:rPr>
                <w:rFonts w:hint="eastAsia" w:cs="Times New Roman"/>
                <w:b w:val="0"/>
                <w:color w:val="auto"/>
                <w:sz w:val="24"/>
                <w:lang w:val="en-US" w:eastAsia="zh-CN"/>
              </w:rPr>
              <w:t>，</w:t>
            </w:r>
            <w:r>
              <w:rPr>
                <w:rFonts w:hint="default" w:ascii="Times New Roman" w:hAnsi="Times New Roman" w:cs="Times New Roman"/>
                <w:b w:val="0"/>
                <w:color w:val="auto"/>
                <w:sz w:val="24"/>
                <w:lang w:val="en-US" w:eastAsia="zh-CN"/>
              </w:rPr>
              <w:t>排空硅胶袋内空气，然后推入炉体内进行加热，合片后的玻璃通过夹胶炉进行电加热，一般加热到玻璃表面温度达 50℃-60℃，保持时间20</w:t>
            </w:r>
            <w:r>
              <w:rPr>
                <w:rFonts w:hint="eastAsia" w:cs="Times New Roman"/>
                <w:b w:val="0"/>
                <w:color w:val="auto"/>
                <w:sz w:val="24"/>
                <w:lang w:val="en-US" w:eastAsia="zh-CN"/>
              </w:rPr>
              <w:t>～</w:t>
            </w:r>
            <w:r>
              <w:rPr>
                <w:rFonts w:hint="default" w:ascii="Times New Roman" w:hAnsi="Times New Roman" w:cs="Times New Roman"/>
                <w:b w:val="0"/>
                <w:color w:val="auto"/>
                <w:sz w:val="24"/>
                <w:lang w:val="en-US" w:eastAsia="zh-CN"/>
              </w:rPr>
              <w:t>30分钟；然后继续加热到玻璃表面温度达到 130℃-135℃，保持时间 45-60 分</w:t>
            </w:r>
            <w:r>
              <w:rPr>
                <w:rFonts w:hint="eastAsia" w:ascii="Times New Roman" w:hAnsi="Times New Roman"/>
                <w:b w:val="0"/>
                <w:color w:val="auto"/>
                <w:sz w:val="24"/>
                <w:lang w:val="en-US" w:eastAsia="zh-CN"/>
              </w:rPr>
              <w:t>钟，胶膜厚度或合片层数增加，可适当延长保温时间，然后冷却至室温时， 即制得夹胶玻璃。该过程污染物主要是</w:t>
            </w:r>
            <w:r>
              <w:rPr>
                <w:rFonts w:hint="eastAsia"/>
                <w:b w:val="0"/>
                <w:color w:val="auto"/>
                <w:sz w:val="24"/>
                <w:lang w:val="en-US" w:eastAsia="zh-CN"/>
              </w:rPr>
              <w:t>设备</w:t>
            </w:r>
            <w:r>
              <w:rPr>
                <w:rFonts w:hint="eastAsia" w:ascii="Times New Roman" w:hAnsi="Times New Roman"/>
                <w:b w:val="0"/>
                <w:color w:val="auto"/>
                <w:sz w:val="24"/>
                <w:lang w:val="en-US" w:eastAsia="zh-CN"/>
              </w:rPr>
              <w:t>运行产生的噪声</w:t>
            </w:r>
            <w:r>
              <w:rPr>
                <w:rFonts w:hint="eastAsia"/>
                <w:b w:val="0"/>
                <w:color w:val="auto"/>
                <w:sz w:val="24"/>
                <w:lang w:val="en-US" w:eastAsia="zh-CN"/>
              </w:rPr>
              <w:t>N、</w:t>
            </w:r>
            <w:r>
              <w:rPr>
                <w:rFonts w:hint="eastAsia" w:ascii="Times New Roman" w:hAnsi="Times New Roman"/>
                <w:b w:val="0"/>
                <w:color w:val="auto"/>
                <w:sz w:val="24"/>
                <w:lang w:val="en-US" w:eastAsia="zh-CN"/>
              </w:rPr>
              <w:t xml:space="preserve"> PVB 胶片加热挥发出的少量有机废气</w:t>
            </w:r>
            <w:r>
              <w:rPr>
                <w:rFonts w:hint="eastAsia"/>
                <w:b w:val="0"/>
                <w:color w:val="auto"/>
                <w:sz w:val="24"/>
                <w:lang w:val="en-US" w:eastAsia="zh-CN"/>
              </w:rPr>
              <w:t>G</w:t>
            </w:r>
            <w:r>
              <w:rPr>
                <w:rFonts w:hint="eastAsia"/>
                <w:b w:val="0"/>
                <w:color w:val="auto"/>
                <w:sz w:val="24"/>
                <w:vertAlign w:val="subscript"/>
                <w:lang w:val="en-US" w:eastAsia="zh-CN"/>
              </w:rPr>
              <w:t>2-1</w:t>
            </w:r>
            <w:r>
              <w:rPr>
                <w:rFonts w:hint="eastAsia" w:ascii="Times New Roman" w:hAnsi="Times New Roman"/>
                <w:b w:val="0"/>
                <w:color w:val="auto"/>
                <w:sz w:val="24"/>
                <w:lang w:val="en-US" w:eastAsia="zh-CN"/>
              </w:rPr>
              <w:t>。</w:t>
            </w:r>
          </w:p>
          <w:p w14:paraId="6950CC05">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cs="宋体"/>
                <w:b w:val="0"/>
                <w:bCs w:val="0"/>
                <w:color w:val="auto"/>
                <w:kern w:val="2"/>
                <w:sz w:val="24"/>
                <w:szCs w:val="24"/>
                <w:lang w:val="en-US" w:eastAsia="zh-CN"/>
              </w:rPr>
            </w:pPr>
            <w:r>
              <w:rPr>
                <w:rFonts w:hint="eastAsia" w:ascii="Times New Roman" w:hAnsi="Times New Roman" w:cs="宋体"/>
                <w:b w:val="0"/>
                <w:bCs w:val="0"/>
                <w:color w:val="auto"/>
                <w:kern w:val="2"/>
                <w:sz w:val="24"/>
                <w:szCs w:val="24"/>
                <w:lang w:val="en-US" w:eastAsia="zh-CN"/>
              </w:rPr>
              <w:t>检验：检验后合格品入库待售</w:t>
            </w:r>
            <w:r>
              <w:rPr>
                <w:rFonts w:hint="eastAsia" w:cs="宋体"/>
                <w:b w:val="0"/>
                <w:bCs w:val="0"/>
                <w:color w:val="auto"/>
                <w:kern w:val="2"/>
                <w:sz w:val="24"/>
                <w:szCs w:val="24"/>
                <w:lang w:val="en-US" w:eastAsia="zh-CN"/>
              </w:rPr>
              <w:t>，不合格品外售综合利用，此工序产生不合格品S</w:t>
            </w:r>
            <w:r>
              <w:rPr>
                <w:rFonts w:hint="eastAsia" w:cs="宋体"/>
                <w:b w:val="0"/>
                <w:bCs w:val="0"/>
                <w:color w:val="auto"/>
                <w:kern w:val="2"/>
                <w:sz w:val="24"/>
                <w:szCs w:val="24"/>
                <w:vertAlign w:val="subscript"/>
                <w:lang w:val="en-US" w:eastAsia="zh-CN"/>
              </w:rPr>
              <w:t>3-1</w:t>
            </w:r>
            <w:r>
              <w:rPr>
                <w:rFonts w:hint="eastAsia" w:cs="宋体"/>
                <w:b w:val="0"/>
                <w:bCs w:val="0"/>
                <w:color w:val="auto"/>
                <w:kern w:val="2"/>
                <w:sz w:val="24"/>
                <w:szCs w:val="24"/>
                <w:lang w:val="en-US" w:eastAsia="zh-CN"/>
              </w:rPr>
              <w:t>。</w:t>
            </w:r>
          </w:p>
          <w:p w14:paraId="0698E2CD">
            <w:pPr>
              <w:pStyle w:val="2"/>
              <w:keepNext w:val="0"/>
              <w:keepLines w:val="0"/>
              <w:pageBreakBefore w:val="0"/>
              <w:widowControl w:val="0"/>
              <w:numPr>
                <w:ilvl w:val="0"/>
                <w:numId w:val="6"/>
              </w:numPr>
              <w:kinsoku/>
              <w:wordWrap/>
              <w:overflowPunct/>
              <w:topLinePunct w:val="0"/>
              <w:bidi w:val="0"/>
              <w:adjustRightInd w:val="0"/>
              <w:snapToGrid w:val="0"/>
              <w:spacing w:line="360" w:lineRule="auto"/>
              <w:ind w:left="0" w:leftChars="0" w:firstLine="480" w:firstLineChars="200"/>
              <w:textAlignment w:val="auto"/>
              <w:rPr>
                <w:rFonts w:hint="default" w:ascii="Times New Roman" w:hAnsi="Times New Roman"/>
                <w:b w:val="0"/>
                <w:sz w:val="24"/>
                <w:lang w:val="en-US" w:eastAsia="zh-CN"/>
              </w:rPr>
            </w:pPr>
            <w:r>
              <w:rPr>
                <w:rFonts w:hint="default" w:ascii="Times New Roman" w:hAnsi="Times New Roman"/>
                <w:b w:val="0"/>
                <w:sz w:val="24"/>
                <w:lang w:val="en-US" w:eastAsia="zh-CN"/>
              </w:rPr>
              <w:t>原有项目主要污染源和治理措施如下：</w:t>
            </w:r>
          </w:p>
          <w:p w14:paraId="6FAB11B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p>
          <w:p w14:paraId="4587988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p>
          <w:p w14:paraId="04D7EEF5">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p>
          <w:p w14:paraId="6F643A1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r>
              <w:rPr>
                <w:rFonts w:hint="eastAsia"/>
                <w:b/>
                <w:bCs/>
                <w:sz w:val="21"/>
                <w:lang w:val="en-US" w:eastAsia="zh-CN"/>
              </w:rPr>
              <w:t>表2-12  污染物总量核算表</w:t>
            </w:r>
          </w:p>
          <w:tbl>
            <w:tblPr>
              <w:tblStyle w:val="23"/>
              <w:tblW w:w="795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395"/>
              <w:gridCol w:w="1365"/>
              <w:gridCol w:w="975"/>
              <w:gridCol w:w="945"/>
              <w:gridCol w:w="1110"/>
              <w:gridCol w:w="946"/>
              <w:gridCol w:w="13"/>
            </w:tblGrid>
            <w:tr w14:paraId="685637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gridAfter w:val="1"/>
                <w:wAfter w:w="13" w:type="dxa"/>
                <w:trHeight w:val="840" w:hRule="atLeast"/>
              </w:trPr>
              <w:tc>
                <w:tcPr>
                  <w:tcW w:w="1209" w:type="dxa"/>
                  <w:tcBorders>
                    <w:tl2br w:val="nil"/>
                    <w:tr2bl w:val="nil"/>
                  </w:tcBorders>
                  <w:vAlign w:val="center"/>
                </w:tcPr>
                <w:p w14:paraId="3D33E76F">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类型</w:t>
                  </w:r>
                </w:p>
              </w:tc>
              <w:tc>
                <w:tcPr>
                  <w:tcW w:w="1395" w:type="dxa"/>
                  <w:tcBorders>
                    <w:tl2br w:val="nil"/>
                    <w:tr2bl w:val="nil"/>
                  </w:tcBorders>
                  <w:vAlign w:val="center"/>
                </w:tcPr>
                <w:p w14:paraId="316B8692">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污染因子</w:t>
                  </w:r>
                </w:p>
              </w:tc>
              <w:tc>
                <w:tcPr>
                  <w:tcW w:w="1365" w:type="dxa"/>
                  <w:tcBorders>
                    <w:tl2br w:val="nil"/>
                    <w:tr2bl w:val="nil"/>
                  </w:tcBorders>
                  <w:vAlign w:val="center"/>
                </w:tcPr>
                <w:p w14:paraId="580092BE">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排放速率（kg/h）</w:t>
                  </w:r>
                </w:p>
              </w:tc>
              <w:tc>
                <w:tcPr>
                  <w:tcW w:w="1920" w:type="dxa"/>
                  <w:gridSpan w:val="2"/>
                  <w:tcBorders>
                    <w:tl2br w:val="nil"/>
                    <w:tr2bl w:val="nil"/>
                  </w:tcBorders>
                  <w:vAlign w:val="center"/>
                </w:tcPr>
                <w:p w14:paraId="3744D3FF">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环评预估量</w:t>
                  </w:r>
                </w:p>
              </w:tc>
              <w:tc>
                <w:tcPr>
                  <w:tcW w:w="2056" w:type="dxa"/>
                  <w:gridSpan w:val="2"/>
                  <w:tcBorders>
                    <w:tl2br w:val="nil"/>
                    <w:tr2bl w:val="nil"/>
                  </w:tcBorders>
                  <w:vAlign w:val="center"/>
                </w:tcPr>
                <w:p w14:paraId="18295D0C">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实际排放量</w:t>
                  </w:r>
                </w:p>
              </w:tc>
            </w:tr>
            <w:tr w14:paraId="673960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209" w:type="dxa"/>
                  <w:tcBorders>
                    <w:tl2br w:val="nil"/>
                    <w:tr2bl w:val="nil"/>
                  </w:tcBorders>
                  <w:vAlign w:val="center"/>
                </w:tcPr>
                <w:p w14:paraId="32633AE3">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default" w:ascii="Times New Roman" w:hAnsi="Times New Roman"/>
                      <w:b w:val="0"/>
                      <w:sz w:val="21"/>
                      <w:vertAlign w:val="baseline"/>
                      <w:lang w:val="en-US" w:eastAsia="zh-CN"/>
                    </w:rPr>
                    <w:t>夹胶炉加热、施胶、密封胶固化废气</w:t>
                  </w:r>
                </w:p>
              </w:tc>
              <w:tc>
                <w:tcPr>
                  <w:tcW w:w="1395" w:type="dxa"/>
                  <w:tcBorders>
                    <w:tl2br w:val="nil"/>
                    <w:tr2bl w:val="nil"/>
                  </w:tcBorders>
                  <w:vAlign w:val="center"/>
                </w:tcPr>
                <w:p w14:paraId="436540DE">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非甲烷总烃</w:t>
                  </w:r>
                </w:p>
              </w:tc>
              <w:tc>
                <w:tcPr>
                  <w:tcW w:w="1365" w:type="dxa"/>
                  <w:tcBorders>
                    <w:tl2br w:val="nil"/>
                    <w:tr2bl w:val="nil"/>
                  </w:tcBorders>
                  <w:vAlign w:val="center"/>
                </w:tcPr>
                <w:p w14:paraId="095BA589">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9.34×10</w:t>
                  </w:r>
                  <w:r>
                    <w:rPr>
                      <w:rFonts w:hint="eastAsia" w:ascii="Times New Roman" w:hAnsi="Times New Roman"/>
                      <w:b w:val="0"/>
                      <w:sz w:val="21"/>
                      <w:vertAlign w:val="superscript"/>
                      <w:lang w:val="en-US" w:eastAsia="zh-CN"/>
                    </w:rPr>
                    <w:t>-3</w:t>
                  </w:r>
                </w:p>
              </w:tc>
              <w:tc>
                <w:tcPr>
                  <w:tcW w:w="1920" w:type="dxa"/>
                  <w:gridSpan w:val="2"/>
                  <w:tcBorders>
                    <w:tl2br w:val="nil"/>
                    <w:tr2bl w:val="nil"/>
                  </w:tcBorders>
                  <w:vAlign w:val="center"/>
                </w:tcPr>
                <w:p w14:paraId="29509D92">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0.037*</w:t>
                  </w:r>
                </w:p>
              </w:tc>
              <w:tc>
                <w:tcPr>
                  <w:tcW w:w="2056" w:type="dxa"/>
                  <w:gridSpan w:val="2"/>
                  <w:tcBorders>
                    <w:tl2br w:val="nil"/>
                    <w:tr2bl w:val="nil"/>
                  </w:tcBorders>
                  <w:vAlign w:val="center"/>
                </w:tcPr>
                <w:p w14:paraId="50BCFE84">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0.0224</w:t>
                  </w:r>
                </w:p>
              </w:tc>
            </w:tr>
            <w:tr w14:paraId="654B66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209" w:type="dxa"/>
                  <w:tcBorders>
                    <w:tl2br w:val="nil"/>
                    <w:tr2bl w:val="nil"/>
                  </w:tcBorders>
                  <w:vAlign w:val="center"/>
                </w:tcPr>
                <w:p w14:paraId="393BB04D">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类型</w:t>
                  </w:r>
                </w:p>
              </w:tc>
              <w:tc>
                <w:tcPr>
                  <w:tcW w:w="1395" w:type="dxa"/>
                  <w:tcBorders>
                    <w:tl2br w:val="nil"/>
                    <w:tr2bl w:val="nil"/>
                  </w:tcBorders>
                  <w:vAlign w:val="center"/>
                </w:tcPr>
                <w:p w14:paraId="7011BA62">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污染因子</w:t>
                  </w:r>
                </w:p>
              </w:tc>
              <w:tc>
                <w:tcPr>
                  <w:tcW w:w="1365" w:type="dxa"/>
                  <w:tcBorders>
                    <w:tl2br w:val="nil"/>
                    <w:tr2bl w:val="nil"/>
                  </w:tcBorders>
                  <w:vAlign w:val="center"/>
                </w:tcPr>
                <w:p w14:paraId="402B80E6">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排放浓度（mg/L）</w:t>
                  </w:r>
                </w:p>
              </w:tc>
              <w:tc>
                <w:tcPr>
                  <w:tcW w:w="1920" w:type="dxa"/>
                  <w:gridSpan w:val="2"/>
                  <w:tcBorders>
                    <w:tl2br w:val="nil"/>
                    <w:tr2bl w:val="nil"/>
                  </w:tcBorders>
                  <w:vAlign w:val="center"/>
                </w:tcPr>
                <w:p w14:paraId="61F24601">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环评预估量</w:t>
                  </w:r>
                </w:p>
              </w:tc>
              <w:tc>
                <w:tcPr>
                  <w:tcW w:w="2056" w:type="dxa"/>
                  <w:gridSpan w:val="2"/>
                  <w:tcBorders>
                    <w:tl2br w:val="nil"/>
                    <w:tr2bl w:val="nil"/>
                  </w:tcBorders>
                  <w:vAlign w:val="center"/>
                </w:tcPr>
                <w:p w14:paraId="036A0D97">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实际排放量</w:t>
                  </w:r>
                </w:p>
              </w:tc>
            </w:tr>
            <w:tr w14:paraId="45494D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209" w:type="dxa"/>
                  <w:vMerge w:val="restart"/>
                  <w:tcBorders>
                    <w:tl2br w:val="nil"/>
                    <w:tr2bl w:val="nil"/>
                  </w:tcBorders>
                  <w:vAlign w:val="center"/>
                </w:tcPr>
                <w:p w14:paraId="6F81058A">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生活污水</w:t>
                  </w:r>
                </w:p>
              </w:tc>
              <w:tc>
                <w:tcPr>
                  <w:tcW w:w="1395" w:type="dxa"/>
                  <w:tcBorders>
                    <w:tl2br w:val="nil"/>
                    <w:tr2bl w:val="nil"/>
                  </w:tcBorders>
                  <w:vAlign w:val="center"/>
                </w:tcPr>
                <w:p w14:paraId="3688EC2D">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化学需氧量</w:t>
                  </w:r>
                </w:p>
              </w:tc>
              <w:tc>
                <w:tcPr>
                  <w:tcW w:w="1365" w:type="dxa"/>
                  <w:tcBorders>
                    <w:tl2br w:val="nil"/>
                    <w:tr2bl w:val="nil"/>
                  </w:tcBorders>
                  <w:vAlign w:val="center"/>
                </w:tcPr>
                <w:p w14:paraId="3189CF38">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206.33</w:t>
                  </w:r>
                </w:p>
              </w:tc>
              <w:tc>
                <w:tcPr>
                  <w:tcW w:w="1920" w:type="dxa"/>
                  <w:gridSpan w:val="2"/>
                  <w:tcBorders>
                    <w:tl2br w:val="nil"/>
                    <w:tr2bl w:val="nil"/>
                  </w:tcBorders>
                  <w:vAlign w:val="center"/>
                </w:tcPr>
                <w:p w14:paraId="07DC13FD">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0.09</w:t>
                  </w:r>
                </w:p>
              </w:tc>
              <w:tc>
                <w:tcPr>
                  <w:tcW w:w="2056" w:type="dxa"/>
                  <w:gridSpan w:val="2"/>
                  <w:tcBorders>
                    <w:tl2br w:val="nil"/>
                    <w:tr2bl w:val="nil"/>
                  </w:tcBorders>
                  <w:vAlign w:val="center"/>
                </w:tcPr>
                <w:p w14:paraId="03DF7E94">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0.0743</w:t>
                  </w:r>
                </w:p>
              </w:tc>
            </w:tr>
            <w:tr w14:paraId="7123EC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209" w:type="dxa"/>
                  <w:vMerge w:val="continue"/>
                  <w:tcBorders>
                    <w:tl2br w:val="nil"/>
                    <w:tr2bl w:val="nil"/>
                  </w:tcBorders>
                  <w:vAlign w:val="center"/>
                </w:tcPr>
                <w:p w14:paraId="6DBDB205">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b w:val="0"/>
                      <w:sz w:val="21"/>
                      <w:vertAlign w:val="baseline"/>
                      <w:lang w:val="en-US" w:eastAsia="zh-CN"/>
                    </w:rPr>
                  </w:pPr>
                </w:p>
              </w:tc>
              <w:tc>
                <w:tcPr>
                  <w:tcW w:w="1395" w:type="dxa"/>
                  <w:tcBorders>
                    <w:tl2br w:val="nil"/>
                    <w:tr2bl w:val="nil"/>
                  </w:tcBorders>
                  <w:vAlign w:val="center"/>
                </w:tcPr>
                <w:p w14:paraId="4BED902A">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悬浮物</w:t>
                  </w:r>
                </w:p>
              </w:tc>
              <w:tc>
                <w:tcPr>
                  <w:tcW w:w="1365" w:type="dxa"/>
                  <w:tcBorders>
                    <w:tl2br w:val="nil"/>
                    <w:tr2bl w:val="nil"/>
                  </w:tcBorders>
                  <w:vAlign w:val="center"/>
                </w:tcPr>
                <w:p w14:paraId="0D6B1E49">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132.33</w:t>
                  </w:r>
                </w:p>
              </w:tc>
              <w:tc>
                <w:tcPr>
                  <w:tcW w:w="1920" w:type="dxa"/>
                  <w:gridSpan w:val="2"/>
                  <w:tcBorders>
                    <w:tl2br w:val="nil"/>
                    <w:tr2bl w:val="nil"/>
                  </w:tcBorders>
                  <w:vAlign w:val="center"/>
                </w:tcPr>
                <w:p w14:paraId="279AB46C">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0.072</w:t>
                  </w:r>
                </w:p>
              </w:tc>
              <w:tc>
                <w:tcPr>
                  <w:tcW w:w="2056" w:type="dxa"/>
                  <w:gridSpan w:val="2"/>
                  <w:tcBorders>
                    <w:tl2br w:val="nil"/>
                    <w:tr2bl w:val="nil"/>
                  </w:tcBorders>
                  <w:vAlign w:val="center"/>
                </w:tcPr>
                <w:p w14:paraId="5A7851E7">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0.0476</w:t>
                  </w:r>
                </w:p>
              </w:tc>
            </w:tr>
            <w:tr w14:paraId="5B095D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209" w:type="dxa"/>
                  <w:vMerge w:val="continue"/>
                  <w:tcBorders>
                    <w:tl2br w:val="nil"/>
                    <w:tr2bl w:val="nil"/>
                  </w:tcBorders>
                  <w:vAlign w:val="center"/>
                </w:tcPr>
                <w:p w14:paraId="49E781D0">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b w:val="0"/>
                      <w:sz w:val="21"/>
                      <w:vertAlign w:val="baseline"/>
                      <w:lang w:val="en-US" w:eastAsia="zh-CN"/>
                    </w:rPr>
                  </w:pPr>
                </w:p>
              </w:tc>
              <w:tc>
                <w:tcPr>
                  <w:tcW w:w="1395" w:type="dxa"/>
                  <w:tcBorders>
                    <w:tl2br w:val="nil"/>
                    <w:tr2bl w:val="nil"/>
                  </w:tcBorders>
                  <w:vAlign w:val="center"/>
                </w:tcPr>
                <w:p w14:paraId="7572FE0D">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氨氮</w:t>
                  </w:r>
                </w:p>
              </w:tc>
              <w:tc>
                <w:tcPr>
                  <w:tcW w:w="1365" w:type="dxa"/>
                  <w:tcBorders>
                    <w:tl2br w:val="nil"/>
                    <w:tr2bl w:val="nil"/>
                  </w:tcBorders>
                  <w:vAlign w:val="center"/>
                </w:tcPr>
                <w:p w14:paraId="37FF0ED9">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21.77</w:t>
                  </w:r>
                </w:p>
              </w:tc>
              <w:tc>
                <w:tcPr>
                  <w:tcW w:w="1920" w:type="dxa"/>
                  <w:gridSpan w:val="2"/>
                  <w:tcBorders>
                    <w:tl2br w:val="nil"/>
                    <w:tr2bl w:val="nil"/>
                  </w:tcBorders>
                  <w:vAlign w:val="center"/>
                </w:tcPr>
                <w:p w14:paraId="4EC2D7AC">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0.0108</w:t>
                  </w:r>
                </w:p>
              </w:tc>
              <w:tc>
                <w:tcPr>
                  <w:tcW w:w="2056" w:type="dxa"/>
                  <w:gridSpan w:val="2"/>
                  <w:tcBorders>
                    <w:tl2br w:val="nil"/>
                    <w:tr2bl w:val="nil"/>
                  </w:tcBorders>
                  <w:vAlign w:val="center"/>
                </w:tcPr>
                <w:p w14:paraId="39A0BA63">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0.0078</w:t>
                  </w:r>
                </w:p>
              </w:tc>
            </w:tr>
            <w:tr w14:paraId="12AD0E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209" w:type="dxa"/>
                  <w:vMerge w:val="continue"/>
                  <w:tcBorders>
                    <w:tl2br w:val="nil"/>
                    <w:tr2bl w:val="nil"/>
                  </w:tcBorders>
                  <w:vAlign w:val="center"/>
                </w:tcPr>
                <w:p w14:paraId="35F5196C">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b w:val="0"/>
                      <w:sz w:val="21"/>
                      <w:vertAlign w:val="baseline"/>
                      <w:lang w:val="en-US" w:eastAsia="zh-CN"/>
                    </w:rPr>
                  </w:pPr>
                </w:p>
              </w:tc>
              <w:tc>
                <w:tcPr>
                  <w:tcW w:w="1395" w:type="dxa"/>
                  <w:tcBorders>
                    <w:tl2br w:val="nil"/>
                    <w:tr2bl w:val="nil"/>
                  </w:tcBorders>
                  <w:vAlign w:val="center"/>
                </w:tcPr>
                <w:p w14:paraId="6630D145">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总磷</w:t>
                  </w:r>
                </w:p>
              </w:tc>
              <w:tc>
                <w:tcPr>
                  <w:tcW w:w="1365" w:type="dxa"/>
                  <w:tcBorders>
                    <w:tl2br w:val="nil"/>
                    <w:tr2bl w:val="nil"/>
                  </w:tcBorders>
                  <w:vAlign w:val="center"/>
                </w:tcPr>
                <w:p w14:paraId="4FD33160">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3.66</w:t>
                  </w:r>
                </w:p>
              </w:tc>
              <w:tc>
                <w:tcPr>
                  <w:tcW w:w="1920" w:type="dxa"/>
                  <w:gridSpan w:val="2"/>
                  <w:tcBorders>
                    <w:tl2br w:val="nil"/>
                    <w:tr2bl w:val="nil"/>
                  </w:tcBorders>
                  <w:vAlign w:val="center"/>
                </w:tcPr>
                <w:p w14:paraId="5364669A">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0.0018</w:t>
                  </w:r>
                </w:p>
              </w:tc>
              <w:tc>
                <w:tcPr>
                  <w:tcW w:w="2056" w:type="dxa"/>
                  <w:gridSpan w:val="2"/>
                  <w:tcBorders>
                    <w:tl2br w:val="nil"/>
                    <w:tr2bl w:val="nil"/>
                  </w:tcBorders>
                  <w:vAlign w:val="center"/>
                </w:tcPr>
                <w:p w14:paraId="07C3FA78">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0.0013</w:t>
                  </w:r>
                </w:p>
              </w:tc>
            </w:tr>
            <w:tr w14:paraId="0D6CC9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9" w:type="dxa"/>
                  <w:vMerge w:val="restart"/>
                  <w:tcBorders>
                    <w:tl2br w:val="nil"/>
                    <w:tr2bl w:val="nil"/>
                  </w:tcBorders>
                  <w:vAlign w:val="center"/>
                </w:tcPr>
                <w:p w14:paraId="3D202354">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类型</w:t>
                  </w:r>
                </w:p>
              </w:tc>
              <w:tc>
                <w:tcPr>
                  <w:tcW w:w="1395" w:type="dxa"/>
                  <w:vMerge w:val="restart"/>
                  <w:tcBorders>
                    <w:tl2br w:val="nil"/>
                    <w:tr2bl w:val="nil"/>
                  </w:tcBorders>
                  <w:vAlign w:val="center"/>
                </w:tcPr>
                <w:p w14:paraId="75A3B208">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名称</w:t>
                  </w:r>
                </w:p>
              </w:tc>
              <w:tc>
                <w:tcPr>
                  <w:tcW w:w="1365" w:type="dxa"/>
                  <w:vMerge w:val="restart"/>
                  <w:tcBorders>
                    <w:tl2br w:val="nil"/>
                    <w:tr2bl w:val="nil"/>
                  </w:tcBorders>
                  <w:vAlign w:val="center"/>
                </w:tcPr>
                <w:p w14:paraId="68BFC8E8">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性质</w:t>
                  </w:r>
                </w:p>
              </w:tc>
              <w:tc>
                <w:tcPr>
                  <w:tcW w:w="1920" w:type="dxa"/>
                  <w:gridSpan w:val="2"/>
                  <w:tcBorders>
                    <w:tl2br w:val="nil"/>
                    <w:tr2bl w:val="nil"/>
                  </w:tcBorders>
                  <w:vAlign w:val="center"/>
                </w:tcPr>
                <w:p w14:paraId="2332642F">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环评</w:t>
                  </w:r>
                </w:p>
              </w:tc>
              <w:tc>
                <w:tcPr>
                  <w:tcW w:w="2069" w:type="dxa"/>
                  <w:gridSpan w:val="3"/>
                  <w:tcBorders>
                    <w:tl2br w:val="nil"/>
                    <w:tr2bl w:val="nil"/>
                  </w:tcBorders>
                  <w:vAlign w:val="center"/>
                </w:tcPr>
                <w:p w14:paraId="0364AA33">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验收</w:t>
                  </w:r>
                </w:p>
              </w:tc>
            </w:tr>
            <w:tr w14:paraId="538A8A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9" w:type="dxa"/>
                  <w:vMerge w:val="continue"/>
                  <w:tcBorders>
                    <w:tl2br w:val="nil"/>
                    <w:tr2bl w:val="nil"/>
                  </w:tcBorders>
                  <w:vAlign w:val="center"/>
                </w:tcPr>
                <w:p w14:paraId="4EDD553A">
                  <w:pPr>
                    <w:pStyle w:val="2"/>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b w:val="0"/>
                      <w:bCs w:val="0"/>
                      <w:sz w:val="21"/>
                      <w:vertAlign w:val="baseline"/>
                      <w:lang w:val="en-US" w:eastAsia="zh-CN"/>
                    </w:rPr>
                  </w:pPr>
                </w:p>
              </w:tc>
              <w:tc>
                <w:tcPr>
                  <w:tcW w:w="1395" w:type="dxa"/>
                  <w:vMerge w:val="continue"/>
                  <w:tcBorders>
                    <w:tl2br w:val="nil"/>
                    <w:tr2bl w:val="nil"/>
                  </w:tcBorders>
                  <w:vAlign w:val="center"/>
                </w:tcPr>
                <w:p w14:paraId="6958ED3A">
                  <w:pPr>
                    <w:pStyle w:val="2"/>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b w:val="0"/>
                      <w:bCs w:val="0"/>
                      <w:sz w:val="21"/>
                      <w:vertAlign w:val="baseline"/>
                      <w:lang w:val="en-US" w:eastAsia="zh-CN"/>
                    </w:rPr>
                  </w:pPr>
                </w:p>
              </w:tc>
              <w:tc>
                <w:tcPr>
                  <w:tcW w:w="1365" w:type="dxa"/>
                  <w:vMerge w:val="continue"/>
                  <w:tcBorders>
                    <w:tl2br w:val="nil"/>
                    <w:tr2bl w:val="nil"/>
                  </w:tcBorders>
                  <w:vAlign w:val="center"/>
                </w:tcPr>
                <w:p w14:paraId="04F7935E">
                  <w:pPr>
                    <w:pStyle w:val="2"/>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b w:val="0"/>
                      <w:bCs w:val="0"/>
                      <w:sz w:val="21"/>
                      <w:vertAlign w:val="baseline"/>
                      <w:lang w:val="en-US" w:eastAsia="zh-CN"/>
                    </w:rPr>
                  </w:pPr>
                </w:p>
              </w:tc>
              <w:tc>
                <w:tcPr>
                  <w:tcW w:w="975" w:type="dxa"/>
                  <w:tcBorders>
                    <w:tl2br w:val="nil"/>
                    <w:tr2bl w:val="nil"/>
                  </w:tcBorders>
                  <w:vAlign w:val="center"/>
                </w:tcPr>
                <w:p w14:paraId="3AC0845D">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预估量（t/a）</w:t>
                  </w:r>
                </w:p>
              </w:tc>
              <w:tc>
                <w:tcPr>
                  <w:tcW w:w="945" w:type="dxa"/>
                  <w:tcBorders>
                    <w:tl2br w:val="nil"/>
                    <w:tr2bl w:val="nil"/>
                  </w:tcBorders>
                  <w:vAlign w:val="center"/>
                </w:tcPr>
                <w:p w14:paraId="0CC47CD5">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处置去向</w:t>
                  </w:r>
                </w:p>
              </w:tc>
              <w:tc>
                <w:tcPr>
                  <w:tcW w:w="1110" w:type="dxa"/>
                  <w:tcBorders>
                    <w:tl2br w:val="nil"/>
                    <w:tr2bl w:val="nil"/>
                  </w:tcBorders>
                  <w:vAlign w:val="center"/>
                </w:tcPr>
                <w:p w14:paraId="3D6F48F3">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产生量（t/a）</w:t>
                  </w:r>
                </w:p>
              </w:tc>
              <w:tc>
                <w:tcPr>
                  <w:tcW w:w="959" w:type="dxa"/>
                  <w:gridSpan w:val="2"/>
                  <w:tcBorders>
                    <w:tl2br w:val="nil"/>
                    <w:tr2bl w:val="nil"/>
                  </w:tcBorders>
                  <w:vAlign w:val="center"/>
                </w:tcPr>
                <w:p w14:paraId="3858D384">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处置去向</w:t>
                  </w:r>
                </w:p>
              </w:tc>
            </w:tr>
            <w:tr w14:paraId="4BF9C7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9" w:type="dxa"/>
                  <w:vMerge w:val="restart"/>
                  <w:tcBorders>
                    <w:tl2br w:val="nil"/>
                    <w:tr2bl w:val="nil"/>
                  </w:tcBorders>
                  <w:vAlign w:val="center"/>
                </w:tcPr>
                <w:p w14:paraId="56E9106C">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一般固废</w:t>
                  </w:r>
                </w:p>
              </w:tc>
              <w:tc>
                <w:tcPr>
                  <w:tcW w:w="1395" w:type="dxa"/>
                  <w:tcBorders>
                    <w:tl2br w:val="nil"/>
                    <w:tr2bl w:val="nil"/>
                  </w:tcBorders>
                  <w:vAlign w:val="center"/>
                </w:tcPr>
                <w:p w14:paraId="4B3C29F3">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边角料、碎玻璃及粉末</w:t>
                  </w:r>
                </w:p>
              </w:tc>
              <w:tc>
                <w:tcPr>
                  <w:tcW w:w="1365" w:type="dxa"/>
                  <w:tcBorders>
                    <w:tl2br w:val="nil"/>
                    <w:tr2bl w:val="nil"/>
                  </w:tcBorders>
                  <w:vAlign w:val="center"/>
                </w:tcPr>
                <w:p w14:paraId="7D62E43E">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固态</w:t>
                  </w:r>
                </w:p>
              </w:tc>
              <w:tc>
                <w:tcPr>
                  <w:tcW w:w="975" w:type="dxa"/>
                  <w:tcBorders>
                    <w:tl2br w:val="nil"/>
                    <w:tr2bl w:val="nil"/>
                  </w:tcBorders>
                  <w:vAlign w:val="center"/>
                </w:tcPr>
                <w:p w14:paraId="6028222D">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0.3</w:t>
                  </w:r>
                </w:p>
              </w:tc>
              <w:tc>
                <w:tcPr>
                  <w:tcW w:w="945" w:type="dxa"/>
                  <w:tcBorders>
                    <w:tl2br w:val="nil"/>
                    <w:tr2bl w:val="nil"/>
                  </w:tcBorders>
                  <w:vAlign w:val="center"/>
                </w:tcPr>
                <w:p w14:paraId="3B5BDD6D">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外售</w:t>
                  </w:r>
                </w:p>
              </w:tc>
              <w:tc>
                <w:tcPr>
                  <w:tcW w:w="1110" w:type="dxa"/>
                  <w:tcBorders>
                    <w:tl2br w:val="nil"/>
                    <w:tr2bl w:val="nil"/>
                  </w:tcBorders>
                  <w:vAlign w:val="center"/>
                </w:tcPr>
                <w:p w14:paraId="2E0B2DB9">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0.3</w:t>
                  </w:r>
                </w:p>
              </w:tc>
              <w:tc>
                <w:tcPr>
                  <w:tcW w:w="959" w:type="dxa"/>
                  <w:gridSpan w:val="2"/>
                  <w:tcBorders>
                    <w:tl2br w:val="nil"/>
                    <w:tr2bl w:val="nil"/>
                  </w:tcBorders>
                  <w:vAlign w:val="center"/>
                </w:tcPr>
                <w:p w14:paraId="657C7296">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外售</w:t>
                  </w:r>
                </w:p>
              </w:tc>
            </w:tr>
            <w:tr w14:paraId="654008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9" w:type="dxa"/>
                  <w:vMerge w:val="continue"/>
                  <w:tcBorders>
                    <w:tl2br w:val="nil"/>
                    <w:tr2bl w:val="nil"/>
                  </w:tcBorders>
                  <w:vAlign w:val="center"/>
                </w:tcPr>
                <w:p w14:paraId="03B7D064">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b w:val="0"/>
                      <w:sz w:val="21"/>
                      <w:vertAlign w:val="baseline"/>
                      <w:lang w:val="en-US" w:eastAsia="zh-CN"/>
                    </w:rPr>
                  </w:pPr>
                </w:p>
              </w:tc>
              <w:tc>
                <w:tcPr>
                  <w:tcW w:w="1395" w:type="dxa"/>
                  <w:tcBorders>
                    <w:tl2br w:val="nil"/>
                    <w:tr2bl w:val="nil"/>
                  </w:tcBorders>
                  <w:vAlign w:val="center"/>
                </w:tcPr>
                <w:p w14:paraId="11810AC0">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废玻璃</w:t>
                  </w:r>
                </w:p>
              </w:tc>
              <w:tc>
                <w:tcPr>
                  <w:tcW w:w="1365" w:type="dxa"/>
                  <w:tcBorders>
                    <w:tl2br w:val="nil"/>
                    <w:tr2bl w:val="nil"/>
                  </w:tcBorders>
                  <w:vAlign w:val="center"/>
                </w:tcPr>
                <w:p w14:paraId="663CCD46">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固态</w:t>
                  </w:r>
                </w:p>
              </w:tc>
              <w:tc>
                <w:tcPr>
                  <w:tcW w:w="975" w:type="dxa"/>
                  <w:tcBorders>
                    <w:tl2br w:val="nil"/>
                    <w:tr2bl w:val="nil"/>
                  </w:tcBorders>
                  <w:vAlign w:val="center"/>
                </w:tcPr>
                <w:p w14:paraId="27BEAF4E">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20</w:t>
                  </w:r>
                </w:p>
              </w:tc>
              <w:tc>
                <w:tcPr>
                  <w:tcW w:w="945" w:type="dxa"/>
                  <w:tcBorders>
                    <w:tl2br w:val="nil"/>
                    <w:tr2bl w:val="nil"/>
                  </w:tcBorders>
                  <w:vAlign w:val="center"/>
                </w:tcPr>
                <w:p w14:paraId="06C32431">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外售</w:t>
                  </w:r>
                </w:p>
              </w:tc>
              <w:tc>
                <w:tcPr>
                  <w:tcW w:w="1110" w:type="dxa"/>
                  <w:tcBorders>
                    <w:tl2br w:val="nil"/>
                    <w:tr2bl w:val="nil"/>
                  </w:tcBorders>
                  <w:vAlign w:val="center"/>
                </w:tcPr>
                <w:p w14:paraId="27371C24">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19.5</w:t>
                  </w:r>
                </w:p>
              </w:tc>
              <w:tc>
                <w:tcPr>
                  <w:tcW w:w="959" w:type="dxa"/>
                  <w:gridSpan w:val="2"/>
                  <w:tcBorders>
                    <w:tl2br w:val="nil"/>
                    <w:tr2bl w:val="nil"/>
                  </w:tcBorders>
                  <w:vAlign w:val="center"/>
                </w:tcPr>
                <w:p w14:paraId="1D5D7F2B">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外售</w:t>
                  </w:r>
                </w:p>
              </w:tc>
            </w:tr>
            <w:tr w14:paraId="3F19FA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9" w:type="dxa"/>
                  <w:vMerge w:val="continue"/>
                  <w:tcBorders>
                    <w:tl2br w:val="nil"/>
                    <w:tr2bl w:val="nil"/>
                  </w:tcBorders>
                  <w:vAlign w:val="center"/>
                </w:tcPr>
                <w:p w14:paraId="3BDB1537">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b w:val="0"/>
                      <w:sz w:val="21"/>
                      <w:vertAlign w:val="baseline"/>
                      <w:lang w:val="en-US" w:eastAsia="zh-CN"/>
                    </w:rPr>
                  </w:pPr>
                </w:p>
              </w:tc>
              <w:tc>
                <w:tcPr>
                  <w:tcW w:w="1395" w:type="dxa"/>
                  <w:tcBorders>
                    <w:tl2br w:val="nil"/>
                    <w:tr2bl w:val="nil"/>
                  </w:tcBorders>
                  <w:vAlign w:val="center"/>
                </w:tcPr>
                <w:p w14:paraId="41A7A74C">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不合格品</w:t>
                  </w:r>
                </w:p>
              </w:tc>
              <w:tc>
                <w:tcPr>
                  <w:tcW w:w="1365" w:type="dxa"/>
                  <w:tcBorders>
                    <w:tl2br w:val="nil"/>
                    <w:tr2bl w:val="nil"/>
                  </w:tcBorders>
                  <w:vAlign w:val="center"/>
                </w:tcPr>
                <w:p w14:paraId="2BA52695">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固态</w:t>
                  </w:r>
                </w:p>
              </w:tc>
              <w:tc>
                <w:tcPr>
                  <w:tcW w:w="975" w:type="dxa"/>
                  <w:tcBorders>
                    <w:tl2br w:val="nil"/>
                    <w:tr2bl w:val="nil"/>
                  </w:tcBorders>
                  <w:vAlign w:val="center"/>
                </w:tcPr>
                <w:p w14:paraId="2EDAE8FD">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1</w:t>
                  </w:r>
                </w:p>
              </w:tc>
              <w:tc>
                <w:tcPr>
                  <w:tcW w:w="945" w:type="dxa"/>
                  <w:tcBorders>
                    <w:tl2br w:val="nil"/>
                    <w:tr2bl w:val="nil"/>
                  </w:tcBorders>
                  <w:vAlign w:val="center"/>
                </w:tcPr>
                <w:p w14:paraId="0B67B4F6">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外售</w:t>
                  </w:r>
                </w:p>
              </w:tc>
              <w:tc>
                <w:tcPr>
                  <w:tcW w:w="1110" w:type="dxa"/>
                  <w:tcBorders>
                    <w:tl2br w:val="nil"/>
                    <w:tr2bl w:val="nil"/>
                  </w:tcBorders>
                  <w:vAlign w:val="center"/>
                </w:tcPr>
                <w:p w14:paraId="2F085CC3">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1</w:t>
                  </w:r>
                </w:p>
              </w:tc>
              <w:tc>
                <w:tcPr>
                  <w:tcW w:w="959" w:type="dxa"/>
                  <w:gridSpan w:val="2"/>
                  <w:tcBorders>
                    <w:tl2br w:val="nil"/>
                    <w:tr2bl w:val="nil"/>
                  </w:tcBorders>
                  <w:vAlign w:val="center"/>
                </w:tcPr>
                <w:p w14:paraId="5C7B7EB2">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外售</w:t>
                  </w:r>
                </w:p>
              </w:tc>
            </w:tr>
            <w:tr w14:paraId="431B4B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9" w:type="dxa"/>
                  <w:vMerge w:val="continue"/>
                  <w:tcBorders>
                    <w:tl2br w:val="nil"/>
                    <w:tr2bl w:val="nil"/>
                  </w:tcBorders>
                  <w:vAlign w:val="center"/>
                </w:tcPr>
                <w:p w14:paraId="4BC50431">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b w:val="0"/>
                      <w:sz w:val="21"/>
                      <w:vertAlign w:val="baseline"/>
                      <w:lang w:val="en-US" w:eastAsia="zh-CN"/>
                    </w:rPr>
                  </w:pPr>
                </w:p>
              </w:tc>
              <w:tc>
                <w:tcPr>
                  <w:tcW w:w="1395" w:type="dxa"/>
                  <w:tcBorders>
                    <w:tl2br w:val="nil"/>
                    <w:tr2bl w:val="nil"/>
                  </w:tcBorders>
                  <w:vAlign w:val="center"/>
                </w:tcPr>
                <w:p w14:paraId="614AA95E">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废包装材料</w:t>
                  </w:r>
                </w:p>
              </w:tc>
              <w:tc>
                <w:tcPr>
                  <w:tcW w:w="1365" w:type="dxa"/>
                  <w:tcBorders>
                    <w:tl2br w:val="nil"/>
                    <w:tr2bl w:val="nil"/>
                  </w:tcBorders>
                  <w:vAlign w:val="center"/>
                </w:tcPr>
                <w:p w14:paraId="6647AF41">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固态</w:t>
                  </w:r>
                </w:p>
              </w:tc>
              <w:tc>
                <w:tcPr>
                  <w:tcW w:w="975" w:type="dxa"/>
                  <w:tcBorders>
                    <w:tl2br w:val="nil"/>
                    <w:tr2bl w:val="nil"/>
                  </w:tcBorders>
                  <w:vAlign w:val="center"/>
                </w:tcPr>
                <w:p w14:paraId="20759D4D">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0.01</w:t>
                  </w:r>
                </w:p>
              </w:tc>
              <w:tc>
                <w:tcPr>
                  <w:tcW w:w="945" w:type="dxa"/>
                  <w:tcBorders>
                    <w:tl2br w:val="nil"/>
                    <w:tr2bl w:val="nil"/>
                  </w:tcBorders>
                  <w:vAlign w:val="center"/>
                </w:tcPr>
                <w:p w14:paraId="2EA3CC45">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外售</w:t>
                  </w:r>
                </w:p>
              </w:tc>
              <w:tc>
                <w:tcPr>
                  <w:tcW w:w="1110" w:type="dxa"/>
                  <w:tcBorders>
                    <w:tl2br w:val="nil"/>
                    <w:tr2bl w:val="nil"/>
                  </w:tcBorders>
                  <w:vAlign w:val="center"/>
                </w:tcPr>
                <w:p w14:paraId="23F45701">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0.01</w:t>
                  </w:r>
                </w:p>
              </w:tc>
              <w:tc>
                <w:tcPr>
                  <w:tcW w:w="959" w:type="dxa"/>
                  <w:gridSpan w:val="2"/>
                  <w:tcBorders>
                    <w:tl2br w:val="nil"/>
                    <w:tr2bl w:val="nil"/>
                  </w:tcBorders>
                  <w:vAlign w:val="center"/>
                </w:tcPr>
                <w:p w14:paraId="185478E6">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外售</w:t>
                  </w:r>
                </w:p>
              </w:tc>
            </w:tr>
            <w:tr w14:paraId="7D41FC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9" w:type="dxa"/>
                  <w:vMerge w:val="restart"/>
                  <w:tcBorders>
                    <w:tl2br w:val="nil"/>
                    <w:tr2bl w:val="nil"/>
                  </w:tcBorders>
                  <w:vAlign w:val="center"/>
                </w:tcPr>
                <w:p w14:paraId="103107EE">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危险废物</w:t>
                  </w:r>
                </w:p>
              </w:tc>
              <w:tc>
                <w:tcPr>
                  <w:tcW w:w="1395" w:type="dxa"/>
                  <w:tcBorders>
                    <w:tl2br w:val="nil"/>
                    <w:tr2bl w:val="nil"/>
                  </w:tcBorders>
                  <w:vAlign w:val="center"/>
                </w:tcPr>
                <w:p w14:paraId="11FAA390">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sz w:val="21"/>
                      <w:vertAlign w:val="baseline"/>
                      <w:lang w:val="en-US" w:eastAsia="zh-CN"/>
                    </w:rPr>
                  </w:pPr>
                  <w:r>
                    <w:rPr>
                      <w:rFonts w:hint="eastAsia" w:ascii="Times New Roman" w:hAnsi="Times New Roman"/>
                      <w:b w:val="0"/>
                      <w:bCs/>
                      <w:sz w:val="21"/>
                      <w:vertAlign w:val="baseline"/>
                      <w:lang w:val="en-US" w:eastAsia="zh-CN"/>
                    </w:rPr>
                    <w:t>废胶桶</w:t>
                  </w:r>
                </w:p>
              </w:tc>
              <w:tc>
                <w:tcPr>
                  <w:tcW w:w="1365" w:type="dxa"/>
                  <w:tcBorders>
                    <w:tl2br w:val="nil"/>
                    <w:tr2bl w:val="nil"/>
                  </w:tcBorders>
                  <w:vAlign w:val="center"/>
                </w:tcPr>
                <w:p w14:paraId="241BE5AD">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b w:val="0"/>
                      <w:bCs/>
                      <w:sz w:val="21"/>
                      <w:vertAlign w:val="baseline"/>
                      <w:lang w:val="en-US" w:eastAsia="zh-CN"/>
                    </w:rPr>
                  </w:pPr>
                  <w:r>
                    <w:rPr>
                      <w:rFonts w:hint="eastAsia" w:ascii="Times New Roman" w:hAnsi="Times New Roman"/>
                      <w:b w:val="0"/>
                      <w:sz w:val="21"/>
                      <w:vertAlign w:val="baseline"/>
                      <w:lang w:val="en-US" w:eastAsia="zh-CN"/>
                    </w:rPr>
                    <w:t>固态</w:t>
                  </w:r>
                </w:p>
              </w:tc>
              <w:tc>
                <w:tcPr>
                  <w:tcW w:w="975" w:type="dxa"/>
                  <w:tcBorders>
                    <w:tl2br w:val="nil"/>
                    <w:tr2bl w:val="nil"/>
                  </w:tcBorders>
                  <w:vAlign w:val="center"/>
                </w:tcPr>
                <w:p w14:paraId="1868E7BC">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sz w:val="21"/>
                      <w:vertAlign w:val="baseline"/>
                      <w:lang w:val="en-US" w:eastAsia="zh-CN"/>
                    </w:rPr>
                  </w:pPr>
                  <w:r>
                    <w:rPr>
                      <w:rFonts w:hint="eastAsia" w:ascii="Times New Roman" w:hAnsi="Times New Roman"/>
                      <w:b w:val="0"/>
                      <w:bCs/>
                      <w:sz w:val="21"/>
                      <w:vertAlign w:val="baseline"/>
                      <w:lang w:val="en-US" w:eastAsia="zh-CN"/>
                    </w:rPr>
                    <w:t>0.73</w:t>
                  </w:r>
                </w:p>
              </w:tc>
              <w:tc>
                <w:tcPr>
                  <w:tcW w:w="945" w:type="dxa"/>
                  <w:tcBorders>
                    <w:tl2br w:val="nil"/>
                    <w:tr2bl w:val="nil"/>
                  </w:tcBorders>
                  <w:vAlign w:val="center"/>
                </w:tcPr>
                <w:p w14:paraId="0C79FDE2">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sz w:val="21"/>
                      <w:vertAlign w:val="baseline"/>
                      <w:lang w:val="en-US" w:eastAsia="zh-CN"/>
                    </w:rPr>
                  </w:pPr>
                  <w:r>
                    <w:rPr>
                      <w:rFonts w:hint="eastAsia" w:ascii="Times New Roman" w:hAnsi="Times New Roman"/>
                      <w:b w:val="0"/>
                      <w:bCs/>
                      <w:sz w:val="21"/>
                      <w:vertAlign w:val="baseline"/>
                      <w:lang w:val="en-US" w:eastAsia="zh-CN"/>
                    </w:rPr>
                    <w:t>外售</w:t>
                  </w:r>
                </w:p>
              </w:tc>
              <w:tc>
                <w:tcPr>
                  <w:tcW w:w="1110" w:type="dxa"/>
                  <w:tcBorders>
                    <w:tl2br w:val="nil"/>
                    <w:tr2bl w:val="nil"/>
                  </w:tcBorders>
                  <w:vAlign w:val="center"/>
                </w:tcPr>
                <w:p w14:paraId="6A08963E">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sz w:val="21"/>
                      <w:vertAlign w:val="baseline"/>
                      <w:lang w:val="en-US" w:eastAsia="zh-CN"/>
                    </w:rPr>
                  </w:pPr>
                  <w:r>
                    <w:rPr>
                      <w:rFonts w:hint="eastAsia" w:ascii="Times New Roman" w:hAnsi="Times New Roman"/>
                      <w:b w:val="0"/>
                      <w:bCs/>
                      <w:sz w:val="21"/>
                      <w:vertAlign w:val="baseline"/>
                      <w:lang w:val="en-US" w:eastAsia="zh-CN"/>
                    </w:rPr>
                    <w:t>0.1</w:t>
                  </w:r>
                </w:p>
              </w:tc>
              <w:tc>
                <w:tcPr>
                  <w:tcW w:w="959" w:type="dxa"/>
                  <w:gridSpan w:val="2"/>
                  <w:tcBorders>
                    <w:tl2br w:val="nil"/>
                    <w:tr2bl w:val="nil"/>
                  </w:tcBorders>
                  <w:vAlign w:val="center"/>
                </w:tcPr>
                <w:p w14:paraId="53FD38FD">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sz w:val="21"/>
                      <w:vertAlign w:val="baseline"/>
                      <w:lang w:val="en-US" w:eastAsia="zh-CN"/>
                    </w:rPr>
                  </w:pPr>
                  <w:r>
                    <w:rPr>
                      <w:rFonts w:hint="eastAsia" w:ascii="Times New Roman" w:hAnsi="Times New Roman"/>
                      <w:b w:val="0"/>
                      <w:bCs/>
                      <w:sz w:val="21"/>
                      <w:vertAlign w:val="baseline"/>
                      <w:lang w:val="en-US" w:eastAsia="zh-CN"/>
                    </w:rPr>
                    <w:t>供应商回收</w:t>
                  </w:r>
                </w:p>
              </w:tc>
            </w:tr>
            <w:tr w14:paraId="09F2EF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9" w:type="dxa"/>
                  <w:vMerge w:val="continue"/>
                  <w:tcBorders>
                    <w:tl2br w:val="nil"/>
                    <w:tr2bl w:val="nil"/>
                  </w:tcBorders>
                  <w:vAlign w:val="center"/>
                </w:tcPr>
                <w:p w14:paraId="6024138D">
                  <w:pPr>
                    <w:pStyle w:val="2"/>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b w:val="0"/>
                      <w:sz w:val="21"/>
                      <w:vertAlign w:val="baseline"/>
                      <w:lang w:val="en-US" w:eastAsia="zh-CN"/>
                    </w:rPr>
                  </w:pPr>
                </w:p>
              </w:tc>
              <w:tc>
                <w:tcPr>
                  <w:tcW w:w="1395" w:type="dxa"/>
                  <w:tcBorders>
                    <w:tl2br w:val="nil"/>
                    <w:tr2bl w:val="nil"/>
                  </w:tcBorders>
                  <w:vAlign w:val="center"/>
                </w:tcPr>
                <w:p w14:paraId="543E70A3">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sz w:val="21"/>
                      <w:vertAlign w:val="baseline"/>
                      <w:lang w:val="en-US" w:eastAsia="zh-CN"/>
                    </w:rPr>
                  </w:pPr>
                  <w:r>
                    <w:rPr>
                      <w:rFonts w:hint="eastAsia" w:ascii="Times New Roman" w:hAnsi="Times New Roman"/>
                      <w:b w:val="0"/>
                      <w:bCs/>
                      <w:sz w:val="21"/>
                      <w:vertAlign w:val="baseline"/>
                      <w:lang w:val="en-US" w:eastAsia="zh-CN"/>
                    </w:rPr>
                    <w:t>废硅酮胶包装袋</w:t>
                  </w:r>
                </w:p>
              </w:tc>
              <w:tc>
                <w:tcPr>
                  <w:tcW w:w="1365" w:type="dxa"/>
                  <w:tcBorders>
                    <w:tl2br w:val="nil"/>
                    <w:tr2bl w:val="nil"/>
                  </w:tcBorders>
                  <w:vAlign w:val="center"/>
                </w:tcPr>
                <w:p w14:paraId="766757D3">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b w:val="0"/>
                      <w:bCs/>
                      <w:sz w:val="21"/>
                      <w:vertAlign w:val="baseline"/>
                      <w:lang w:val="en-US" w:eastAsia="zh-CN"/>
                    </w:rPr>
                  </w:pPr>
                  <w:r>
                    <w:rPr>
                      <w:rFonts w:hint="eastAsia" w:ascii="Times New Roman" w:hAnsi="Times New Roman"/>
                      <w:b w:val="0"/>
                      <w:sz w:val="21"/>
                      <w:vertAlign w:val="baseline"/>
                      <w:lang w:val="en-US" w:eastAsia="zh-CN"/>
                    </w:rPr>
                    <w:t>固态</w:t>
                  </w:r>
                </w:p>
              </w:tc>
              <w:tc>
                <w:tcPr>
                  <w:tcW w:w="975" w:type="dxa"/>
                  <w:tcBorders>
                    <w:tl2br w:val="nil"/>
                    <w:tr2bl w:val="nil"/>
                  </w:tcBorders>
                  <w:vAlign w:val="center"/>
                </w:tcPr>
                <w:p w14:paraId="529B9B0C">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sz w:val="21"/>
                      <w:vertAlign w:val="baseline"/>
                      <w:lang w:val="en-US" w:eastAsia="zh-CN"/>
                    </w:rPr>
                  </w:pPr>
                  <w:r>
                    <w:rPr>
                      <w:rFonts w:hint="eastAsia" w:ascii="Times New Roman" w:hAnsi="Times New Roman"/>
                      <w:b w:val="0"/>
                      <w:bCs/>
                      <w:sz w:val="21"/>
                      <w:vertAlign w:val="baseline"/>
                      <w:lang w:val="en-US" w:eastAsia="zh-CN"/>
                    </w:rPr>
                    <w:t>/</w:t>
                  </w:r>
                </w:p>
              </w:tc>
              <w:tc>
                <w:tcPr>
                  <w:tcW w:w="945" w:type="dxa"/>
                  <w:tcBorders>
                    <w:tl2br w:val="nil"/>
                    <w:tr2bl w:val="nil"/>
                  </w:tcBorders>
                  <w:vAlign w:val="center"/>
                </w:tcPr>
                <w:p w14:paraId="5E5AAC57">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sz w:val="21"/>
                      <w:vertAlign w:val="baseline"/>
                      <w:lang w:val="en-US" w:eastAsia="zh-CN"/>
                    </w:rPr>
                  </w:pPr>
                  <w:r>
                    <w:rPr>
                      <w:rFonts w:hint="eastAsia" w:ascii="Times New Roman" w:hAnsi="Times New Roman"/>
                      <w:b w:val="0"/>
                      <w:bCs/>
                      <w:sz w:val="21"/>
                      <w:vertAlign w:val="baseline"/>
                      <w:lang w:val="en-US" w:eastAsia="zh-CN"/>
                    </w:rPr>
                    <w:t>/</w:t>
                  </w:r>
                </w:p>
              </w:tc>
              <w:tc>
                <w:tcPr>
                  <w:tcW w:w="1110" w:type="dxa"/>
                  <w:tcBorders>
                    <w:tl2br w:val="nil"/>
                    <w:tr2bl w:val="nil"/>
                  </w:tcBorders>
                  <w:vAlign w:val="center"/>
                </w:tcPr>
                <w:p w14:paraId="6A007835">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sz w:val="21"/>
                      <w:vertAlign w:val="baseline"/>
                      <w:lang w:val="en-US" w:eastAsia="zh-CN"/>
                    </w:rPr>
                  </w:pPr>
                  <w:r>
                    <w:rPr>
                      <w:rFonts w:hint="eastAsia" w:ascii="Times New Roman" w:hAnsi="Times New Roman"/>
                      <w:b w:val="0"/>
                      <w:bCs/>
                      <w:sz w:val="21"/>
                      <w:vertAlign w:val="baseline"/>
                      <w:lang w:val="en-US" w:eastAsia="zh-CN"/>
                    </w:rPr>
                    <w:t>0.1</w:t>
                  </w:r>
                </w:p>
              </w:tc>
              <w:tc>
                <w:tcPr>
                  <w:tcW w:w="959" w:type="dxa"/>
                  <w:gridSpan w:val="2"/>
                  <w:vMerge w:val="restart"/>
                  <w:tcBorders>
                    <w:tl2br w:val="nil"/>
                    <w:tr2bl w:val="nil"/>
                  </w:tcBorders>
                  <w:vAlign w:val="center"/>
                </w:tcPr>
                <w:p w14:paraId="1C0D9396">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sz w:val="21"/>
                      <w:vertAlign w:val="baseline"/>
                      <w:lang w:val="en-US" w:eastAsia="zh-CN"/>
                    </w:rPr>
                  </w:pPr>
                  <w:r>
                    <w:rPr>
                      <w:rFonts w:hint="eastAsia" w:ascii="Times New Roman" w:hAnsi="Times New Roman"/>
                      <w:b w:val="0"/>
                      <w:bCs/>
                      <w:sz w:val="21"/>
                      <w:vertAlign w:val="baseline"/>
                      <w:lang w:val="en-US" w:eastAsia="zh-CN"/>
                    </w:rPr>
                    <w:t>委托危废处置单位处置</w:t>
                  </w:r>
                </w:p>
              </w:tc>
            </w:tr>
            <w:tr w14:paraId="192DD6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9" w:type="dxa"/>
                  <w:vMerge w:val="continue"/>
                  <w:tcBorders>
                    <w:tl2br w:val="nil"/>
                    <w:tr2bl w:val="nil"/>
                  </w:tcBorders>
                  <w:vAlign w:val="center"/>
                </w:tcPr>
                <w:p w14:paraId="7CBB6FED">
                  <w:pPr>
                    <w:pStyle w:val="2"/>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b w:val="0"/>
                      <w:sz w:val="21"/>
                      <w:vertAlign w:val="baseline"/>
                      <w:lang w:val="en-US" w:eastAsia="zh-CN"/>
                    </w:rPr>
                  </w:pPr>
                </w:p>
              </w:tc>
              <w:tc>
                <w:tcPr>
                  <w:tcW w:w="1395" w:type="dxa"/>
                  <w:tcBorders>
                    <w:tl2br w:val="nil"/>
                    <w:tr2bl w:val="nil"/>
                  </w:tcBorders>
                  <w:vAlign w:val="center"/>
                </w:tcPr>
                <w:p w14:paraId="6BD8CBB9">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sz w:val="21"/>
                      <w:vertAlign w:val="baseline"/>
                      <w:lang w:val="en-US" w:eastAsia="zh-CN"/>
                    </w:rPr>
                  </w:pPr>
                  <w:r>
                    <w:rPr>
                      <w:rFonts w:hint="eastAsia" w:ascii="Times New Roman" w:hAnsi="Times New Roman"/>
                      <w:b w:val="0"/>
                      <w:bCs/>
                      <w:sz w:val="21"/>
                      <w:vertAlign w:val="baseline"/>
                      <w:lang w:val="en-US" w:eastAsia="zh-CN"/>
                    </w:rPr>
                    <w:t>废活性炭</w:t>
                  </w:r>
                </w:p>
              </w:tc>
              <w:tc>
                <w:tcPr>
                  <w:tcW w:w="1365" w:type="dxa"/>
                  <w:tcBorders>
                    <w:tl2br w:val="nil"/>
                    <w:tr2bl w:val="nil"/>
                  </w:tcBorders>
                  <w:vAlign w:val="center"/>
                </w:tcPr>
                <w:p w14:paraId="418929E3">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b w:val="0"/>
                      <w:bCs/>
                      <w:sz w:val="21"/>
                      <w:vertAlign w:val="baseline"/>
                      <w:lang w:val="en-US" w:eastAsia="zh-CN"/>
                    </w:rPr>
                  </w:pPr>
                  <w:r>
                    <w:rPr>
                      <w:rFonts w:hint="eastAsia" w:ascii="Times New Roman" w:hAnsi="Times New Roman"/>
                      <w:b w:val="0"/>
                      <w:sz w:val="21"/>
                      <w:vertAlign w:val="baseline"/>
                      <w:lang w:val="en-US" w:eastAsia="zh-CN"/>
                    </w:rPr>
                    <w:t>固态</w:t>
                  </w:r>
                </w:p>
              </w:tc>
              <w:tc>
                <w:tcPr>
                  <w:tcW w:w="975" w:type="dxa"/>
                  <w:tcBorders>
                    <w:tl2br w:val="nil"/>
                    <w:tr2bl w:val="nil"/>
                  </w:tcBorders>
                  <w:vAlign w:val="center"/>
                </w:tcPr>
                <w:p w14:paraId="6A4B5F25">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sz w:val="21"/>
                      <w:vertAlign w:val="baseline"/>
                      <w:lang w:val="en-US" w:eastAsia="zh-CN"/>
                    </w:rPr>
                  </w:pPr>
                  <w:r>
                    <w:rPr>
                      <w:rFonts w:hint="eastAsia" w:ascii="Times New Roman" w:hAnsi="Times New Roman"/>
                      <w:b w:val="0"/>
                      <w:bCs/>
                      <w:sz w:val="21"/>
                      <w:vertAlign w:val="baseline"/>
                      <w:lang w:val="en-US" w:eastAsia="zh-CN"/>
                    </w:rPr>
                    <w:t>3.7126</w:t>
                  </w:r>
                </w:p>
              </w:tc>
              <w:tc>
                <w:tcPr>
                  <w:tcW w:w="945" w:type="dxa"/>
                  <w:tcBorders>
                    <w:tl2br w:val="nil"/>
                    <w:tr2bl w:val="nil"/>
                  </w:tcBorders>
                  <w:vAlign w:val="center"/>
                </w:tcPr>
                <w:p w14:paraId="521DA715">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sz w:val="21"/>
                      <w:vertAlign w:val="baseline"/>
                      <w:lang w:val="en-US" w:eastAsia="zh-CN"/>
                    </w:rPr>
                  </w:pPr>
                  <w:r>
                    <w:rPr>
                      <w:rFonts w:hint="eastAsia" w:ascii="Times New Roman" w:hAnsi="Times New Roman"/>
                      <w:b w:val="0"/>
                      <w:bCs/>
                      <w:sz w:val="21"/>
                      <w:vertAlign w:val="baseline"/>
                      <w:lang w:val="en-US" w:eastAsia="zh-CN"/>
                    </w:rPr>
                    <w:t>委托危废处置单位处置</w:t>
                  </w:r>
                </w:p>
              </w:tc>
              <w:tc>
                <w:tcPr>
                  <w:tcW w:w="1110" w:type="dxa"/>
                  <w:tcBorders>
                    <w:tl2br w:val="nil"/>
                    <w:tr2bl w:val="nil"/>
                  </w:tcBorders>
                  <w:vAlign w:val="center"/>
                </w:tcPr>
                <w:p w14:paraId="674763FB">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bCs/>
                      <w:sz w:val="21"/>
                      <w:vertAlign w:val="baseline"/>
                      <w:lang w:val="en-US" w:eastAsia="zh-CN"/>
                    </w:rPr>
                  </w:pPr>
                  <w:r>
                    <w:rPr>
                      <w:rFonts w:hint="eastAsia" w:ascii="Times New Roman" w:hAnsi="Times New Roman"/>
                      <w:b w:val="0"/>
                      <w:bCs/>
                      <w:sz w:val="21"/>
                      <w:vertAlign w:val="baseline"/>
                      <w:lang w:val="en-US" w:eastAsia="zh-CN"/>
                    </w:rPr>
                    <w:t>3.7</w:t>
                  </w:r>
                </w:p>
              </w:tc>
              <w:tc>
                <w:tcPr>
                  <w:tcW w:w="959" w:type="dxa"/>
                  <w:gridSpan w:val="2"/>
                  <w:vMerge w:val="continue"/>
                  <w:tcBorders>
                    <w:tl2br w:val="nil"/>
                    <w:tr2bl w:val="nil"/>
                  </w:tcBorders>
                  <w:vAlign w:val="center"/>
                </w:tcPr>
                <w:p w14:paraId="7D629178">
                  <w:pPr>
                    <w:pStyle w:val="2"/>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b w:val="0"/>
                      <w:bCs/>
                      <w:sz w:val="21"/>
                      <w:vertAlign w:val="baseline"/>
                      <w:lang w:val="en-US" w:eastAsia="zh-CN"/>
                    </w:rPr>
                  </w:pPr>
                </w:p>
              </w:tc>
            </w:tr>
            <w:tr w14:paraId="29CC63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09" w:type="dxa"/>
                  <w:tcBorders>
                    <w:tl2br w:val="nil"/>
                    <w:tr2bl w:val="nil"/>
                  </w:tcBorders>
                  <w:vAlign w:val="center"/>
                </w:tcPr>
                <w:p w14:paraId="04419FF3">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生活垃圾</w:t>
                  </w:r>
                </w:p>
              </w:tc>
              <w:tc>
                <w:tcPr>
                  <w:tcW w:w="1395" w:type="dxa"/>
                  <w:tcBorders>
                    <w:tl2br w:val="nil"/>
                    <w:tr2bl w:val="nil"/>
                  </w:tcBorders>
                  <w:vAlign w:val="center"/>
                </w:tcPr>
                <w:p w14:paraId="0C391983">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生活垃圾</w:t>
                  </w:r>
                </w:p>
              </w:tc>
              <w:tc>
                <w:tcPr>
                  <w:tcW w:w="1365" w:type="dxa"/>
                  <w:tcBorders>
                    <w:tl2br w:val="nil"/>
                    <w:tr2bl w:val="nil"/>
                  </w:tcBorders>
                  <w:vAlign w:val="center"/>
                </w:tcPr>
                <w:p w14:paraId="23FB6C47">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固态</w:t>
                  </w:r>
                </w:p>
              </w:tc>
              <w:tc>
                <w:tcPr>
                  <w:tcW w:w="975" w:type="dxa"/>
                  <w:tcBorders>
                    <w:tl2br w:val="nil"/>
                    <w:tr2bl w:val="nil"/>
                  </w:tcBorders>
                  <w:vAlign w:val="center"/>
                </w:tcPr>
                <w:p w14:paraId="563DE3A1">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4.5</w:t>
                  </w:r>
                </w:p>
              </w:tc>
              <w:tc>
                <w:tcPr>
                  <w:tcW w:w="945" w:type="dxa"/>
                  <w:tcBorders>
                    <w:tl2br w:val="nil"/>
                    <w:tr2bl w:val="nil"/>
                  </w:tcBorders>
                  <w:vAlign w:val="center"/>
                </w:tcPr>
                <w:p w14:paraId="3FDA329F">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环卫清运</w:t>
                  </w:r>
                </w:p>
              </w:tc>
              <w:tc>
                <w:tcPr>
                  <w:tcW w:w="1110" w:type="dxa"/>
                  <w:tcBorders>
                    <w:tl2br w:val="nil"/>
                    <w:tr2bl w:val="nil"/>
                  </w:tcBorders>
                  <w:vAlign w:val="center"/>
                </w:tcPr>
                <w:p w14:paraId="6251427E">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4.2</w:t>
                  </w:r>
                </w:p>
              </w:tc>
              <w:tc>
                <w:tcPr>
                  <w:tcW w:w="959" w:type="dxa"/>
                  <w:gridSpan w:val="2"/>
                  <w:tcBorders>
                    <w:tl2br w:val="nil"/>
                    <w:tr2bl w:val="nil"/>
                  </w:tcBorders>
                  <w:vAlign w:val="center"/>
                </w:tcPr>
                <w:p w14:paraId="70F16DB0">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环卫清运</w:t>
                  </w:r>
                </w:p>
              </w:tc>
            </w:tr>
            <w:tr w14:paraId="201C6C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8" w:type="dxa"/>
                  <w:gridSpan w:val="8"/>
                  <w:tcBorders>
                    <w:tl2br w:val="nil"/>
                    <w:tr2bl w:val="nil"/>
                  </w:tcBorders>
                  <w:vAlign w:val="center"/>
                </w:tcPr>
                <w:p w14:paraId="6AF18691">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both"/>
                    <w:textAlignment w:val="auto"/>
                    <w:rPr>
                      <w:rFonts w:hint="eastAsia"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*注，原环评废气以无组织形式排放，未进行收集处理，为无组织申请量。实际运行过程中，企业对非甲烷总烃进行收集处理，处理后的废气通过排气筒排放，根据验收分析结果，非甲烷总烃预估排放量为 0.037t/a。</w:t>
                  </w:r>
                </w:p>
              </w:tc>
            </w:tr>
          </w:tbl>
          <w:p w14:paraId="14AD792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p>
          <w:p w14:paraId="6945998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p>
          <w:p w14:paraId="49F5DD0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p>
          <w:p w14:paraId="55A8433F">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p>
          <w:p w14:paraId="17F8DFF2">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p>
          <w:p w14:paraId="78862A4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p>
          <w:p w14:paraId="3CBF516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p>
          <w:p w14:paraId="6DD7A8C2">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p>
          <w:p w14:paraId="4ADE33B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p>
          <w:p w14:paraId="635D3D9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p>
          <w:p w14:paraId="1AC9D24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p>
          <w:p w14:paraId="74350F0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p>
          <w:p w14:paraId="1CBF179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p>
          <w:p w14:paraId="7E2F82E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p>
          <w:p w14:paraId="2BEAE8D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r>
              <w:rPr>
                <w:rFonts w:hint="eastAsia"/>
                <w:b/>
                <w:bCs/>
                <w:sz w:val="21"/>
                <w:lang w:val="en-US" w:eastAsia="zh-CN"/>
              </w:rPr>
              <w:t>表2-13  原项目治理措施汇总表</w:t>
            </w:r>
          </w:p>
          <w:tbl>
            <w:tblPr>
              <w:tblStyle w:val="23"/>
              <w:tblW w:w="7945"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833"/>
              <w:gridCol w:w="2139"/>
              <w:gridCol w:w="1987"/>
            </w:tblGrid>
            <w:tr w14:paraId="15ABEB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tcBorders>
                    <w:tl2br w:val="nil"/>
                    <w:tr2bl w:val="nil"/>
                  </w:tcBorders>
                  <w:vAlign w:val="center"/>
                </w:tcPr>
                <w:p w14:paraId="04E7A7C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b w:val="0"/>
                      <w:bCs w:val="0"/>
                      <w:sz w:val="21"/>
                      <w:vertAlign w:val="baseline"/>
                      <w:lang w:val="en-US" w:eastAsia="zh-CN"/>
                    </w:rPr>
                  </w:pPr>
                  <w:r>
                    <w:rPr>
                      <w:rFonts w:hint="eastAsia" w:ascii="Times New Roman" w:hAnsi="Times New Roman" w:eastAsia="宋体"/>
                      <w:b w:val="0"/>
                      <w:bCs w:val="0"/>
                      <w:sz w:val="21"/>
                      <w:vertAlign w:val="baseline"/>
                      <w:lang w:val="en-US" w:eastAsia="zh-CN"/>
                    </w:rPr>
                    <w:t>类型</w:t>
                  </w:r>
                </w:p>
              </w:tc>
              <w:tc>
                <w:tcPr>
                  <w:tcW w:w="1833" w:type="dxa"/>
                  <w:tcBorders>
                    <w:tl2br w:val="nil"/>
                    <w:tr2bl w:val="nil"/>
                  </w:tcBorders>
                  <w:vAlign w:val="center"/>
                </w:tcPr>
                <w:p w14:paraId="2977C8E5">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b w:val="0"/>
                      <w:bCs w:val="0"/>
                      <w:sz w:val="21"/>
                      <w:vertAlign w:val="baseline"/>
                      <w:lang w:val="en-US" w:eastAsia="zh-CN"/>
                    </w:rPr>
                  </w:pPr>
                  <w:r>
                    <w:rPr>
                      <w:rFonts w:hint="eastAsia" w:ascii="Times New Roman" w:hAnsi="Times New Roman" w:eastAsia="宋体"/>
                      <w:b w:val="0"/>
                      <w:bCs w:val="0"/>
                      <w:sz w:val="21"/>
                      <w:vertAlign w:val="baseline"/>
                      <w:lang w:val="en-US" w:eastAsia="zh-CN"/>
                    </w:rPr>
                    <w:t>污染物名称</w:t>
                  </w:r>
                </w:p>
              </w:tc>
              <w:tc>
                <w:tcPr>
                  <w:tcW w:w="2139" w:type="dxa"/>
                  <w:tcBorders>
                    <w:tl2br w:val="nil"/>
                    <w:tr2bl w:val="nil"/>
                  </w:tcBorders>
                  <w:vAlign w:val="center"/>
                </w:tcPr>
                <w:p w14:paraId="0289D1D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b w:val="0"/>
                      <w:bCs w:val="0"/>
                      <w:sz w:val="21"/>
                      <w:vertAlign w:val="baseline"/>
                      <w:lang w:val="en-US" w:eastAsia="zh-CN"/>
                    </w:rPr>
                  </w:pPr>
                  <w:r>
                    <w:rPr>
                      <w:rFonts w:hint="eastAsia" w:ascii="Times New Roman" w:hAnsi="Times New Roman" w:eastAsia="宋体"/>
                      <w:b w:val="0"/>
                      <w:bCs w:val="0"/>
                      <w:sz w:val="21"/>
                      <w:vertAlign w:val="baseline"/>
                      <w:lang w:val="en-US" w:eastAsia="zh-CN"/>
                    </w:rPr>
                    <w:t>环评要求的处理措施</w:t>
                  </w:r>
                </w:p>
              </w:tc>
              <w:tc>
                <w:tcPr>
                  <w:tcW w:w="1987" w:type="dxa"/>
                  <w:tcBorders>
                    <w:tl2br w:val="nil"/>
                    <w:tr2bl w:val="nil"/>
                  </w:tcBorders>
                  <w:vAlign w:val="center"/>
                </w:tcPr>
                <w:p w14:paraId="046AFCE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b w:val="0"/>
                      <w:bCs w:val="0"/>
                      <w:sz w:val="21"/>
                      <w:vertAlign w:val="baseline"/>
                      <w:lang w:val="en-US" w:eastAsia="zh-CN"/>
                    </w:rPr>
                  </w:pPr>
                  <w:r>
                    <w:rPr>
                      <w:rFonts w:hint="eastAsia" w:ascii="Times New Roman" w:hAnsi="Times New Roman" w:eastAsia="宋体"/>
                      <w:b w:val="0"/>
                      <w:bCs w:val="0"/>
                      <w:sz w:val="21"/>
                      <w:vertAlign w:val="baseline"/>
                      <w:lang w:val="en-US" w:eastAsia="zh-CN"/>
                    </w:rPr>
                    <w:t>实际处理措施</w:t>
                  </w:r>
                </w:p>
              </w:tc>
            </w:tr>
            <w:tr w14:paraId="17C960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tcBorders>
                    <w:tl2br w:val="nil"/>
                    <w:tr2bl w:val="nil"/>
                  </w:tcBorders>
                  <w:vAlign w:val="center"/>
                </w:tcPr>
                <w:p w14:paraId="405AE1F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ascii="Times New Roman" w:hAnsi="Times New Roman" w:eastAsia="宋体"/>
                      <w:sz w:val="21"/>
                      <w:vertAlign w:val="baseline"/>
                      <w:lang w:val="en-US" w:eastAsia="zh-CN"/>
                    </w:rPr>
                    <w:t>大气污染物</w:t>
                  </w:r>
                </w:p>
              </w:tc>
              <w:tc>
                <w:tcPr>
                  <w:tcW w:w="1833" w:type="dxa"/>
                  <w:tcBorders>
                    <w:tl2br w:val="nil"/>
                    <w:tr2bl w:val="nil"/>
                  </w:tcBorders>
                  <w:vAlign w:val="center"/>
                </w:tcPr>
                <w:p w14:paraId="2D319C7F">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ascii="Times New Roman" w:hAnsi="Times New Roman" w:eastAsia="宋体"/>
                      <w:sz w:val="21"/>
                      <w:vertAlign w:val="baseline"/>
                      <w:lang w:val="en-US" w:eastAsia="zh-CN"/>
                    </w:rPr>
                    <w:t>非甲烷总烃</w:t>
                  </w:r>
                </w:p>
              </w:tc>
              <w:tc>
                <w:tcPr>
                  <w:tcW w:w="2139" w:type="dxa"/>
                  <w:tcBorders>
                    <w:tl2br w:val="nil"/>
                    <w:tr2bl w:val="nil"/>
                  </w:tcBorders>
                  <w:vAlign w:val="center"/>
                </w:tcPr>
                <w:p w14:paraId="5E6ED9E9">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sz w:val="21"/>
                      <w:vertAlign w:val="baseline"/>
                      <w:lang w:val="en-US" w:eastAsia="zh-CN"/>
                    </w:rPr>
                    <w:t>原有</w:t>
                  </w:r>
                  <w:r>
                    <w:rPr>
                      <w:rFonts w:hint="default" w:ascii="Times New Roman" w:hAnsi="Times New Roman" w:eastAsia="宋体"/>
                      <w:sz w:val="21"/>
                      <w:vertAlign w:val="baseline"/>
                      <w:lang w:val="en-US" w:eastAsia="zh-CN"/>
                    </w:rPr>
                    <w:t>项目工艺废气主要为有机废气</w:t>
                  </w:r>
                  <w:r>
                    <w:rPr>
                      <w:rFonts w:hint="eastAsia"/>
                      <w:sz w:val="21"/>
                      <w:vertAlign w:val="baseline"/>
                      <w:lang w:val="en-US" w:eastAsia="zh-CN"/>
                    </w:rPr>
                    <w:t>（</w:t>
                  </w:r>
                  <w:r>
                    <w:rPr>
                      <w:rFonts w:hint="default" w:ascii="Times New Roman" w:hAnsi="Times New Roman" w:eastAsia="宋体"/>
                      <w:sz w:val="21"/>
                      <w:vertAlign w:val="baseline"/>
                      <w:lang w:val="en-US" w:eastAsia="zh-CN"/>
                    </w:rPr>
                    <w:t>非甲烷总烃</w:t>
                  </w:r>
                  <w:r>
                    <w:rPr>
                      <w:rFonts w:hint="eastAsia"/>
                      <w:sz w:val="21"/>
                      <w:vertAlign w:val="baseline"/>
                      <w:lang w:val="en-US" w:eastAsia="zh-CN"/>
                    </w:rPr>
                    <w:t>）</w:t>
                  </w:r>
                  <w:r>
                    <w:rPr>
                      <w:rFonts w:hint="eastAsia" w:ascii="Times New Roman" w:hAnsi="Times New Roman" w:eastAsia="宋体"/>
                      <w:sz w:val="21"/>
                      <w:vertAlign w:val="baseline"/>
                      <w:lang w:val="en-US" w:eastAsia="zh-CN"/>
                    </w:rPr>
                    <w:t>，</w:t>
                  </w:r>
                  <w:r>
                    <w:rPr>
                      <w:rFonts w:hint="default" w:ascii="Times New Roman" w:hAnsi="Times New Roman" w:eastAsia="宋体"/>
                      <w:sz w:val="21"/>
                      <w:vertAlign w:val="baseline"/>
                      <w:lang w:val="en-US" w:eastAsia="zh-CN"/>
                    </w:rPr>
                    <w:t>主要产生于夹胶玻璃生产中的夹胶炉加热和中空玻璃生产中的施胶、密封胶固化过程。通过加强厂房通风，以无组织形式排放。</w:t>
                  </w:r>
                </w:p>
                <w:p w14:paraId="42585F6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p>
              </w:tc>
              <w:tc>
                <w:tcPr>
                  <w:tcW w:w="1987" w:type="dxa"/>
                  <w:tcBorders>
                    <w:tl2br w:val="nil"/>
                    <w:tr2bl w:val="nil"/>
                  </w:tcBorders>
                  <w:vAlign w:val="center"/>
                </w:tcPr>
                <w:p w14:paraId="62EF104F">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sz w:val="21"/>
                      <w:vertAlign w:val="baseline"/>
                      <w:lang w:val="en-US" w:eastAsia="zh-CN"/>
                    </w:rPr>
                    <w:t>原有</w:t>
                  </w:r>
                  <w:r>
                    <w:rPr>
                      <w:rFonts w:hint="default" w:ascii="Times New Roman" w:hAnsi="Times New Roman" w:eastAsia="宋体"/>
                      <w:sz w:val="21"/>
                      <w:vertAlign w:val="baseline"/>
                      <w:lang w:val="en-US" w:eastAsia="zh-CN"/>
                    </w:rPr>
                    <w:t>项目夹胶炉加热、施胶、密封胶固化过程产生的非甲烷总烃经集气罩收集+二级活性炭吸附装置处理后通过 15 米高排气筒（1#）高空排放。</w:t>
                  </w:r>
                </w:p>
              </w:tc>
            </w:tr>
            <w:tr w14:paraId="31BE4F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tcBorders>
                    <w:tl2br w:val="nil"/>
                    <w:tr2bl w:val="nil"/>
                  </w:tcBorders>
                  <w:vAlign w:val="center"/>
                </w:tcPr>
                <w:p w14:paraId="4FAB8582">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ascii="Times New Roman" w:hAnsi="Times New Roman" w:eastAsia="宋体"/>
                      <w:sz w:val="21"/>
                      <w:vertAlign w:val="baseline"/>
                      <w:lang w:val="en-US" w:eastAsia="zh-CN"/>
                    </w:rPr>
                    <w:t>水污染物</w:t>
                  </w:r>
                </w:p>
              </w:tc>
              <w:tc>
                <w:tcPr>
                  <w:tcW w:w="1833" w:type="dxa"/>
                  <w:tcBorders>
                    <w:tl2br w:val="nil"/>
                    <w:tr2bl w:val="nil"/>
                  </w:tcBorders>
                  <w:vAlign w:val="center"/>
                </w:tcPr>
                <w:p w14:paraId="5C16B8C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ascii="Times New Roman" w:hAnsi="Times New Roman" w:eastAsia="宋体"/>
                      <w:sz w:val="21"/>
                      <w:vertAlign w:val="baseline"/>
                      <w:lang w:val="en-US" w:eastAsia="zh-CN"/>
                    </w:rPr>
                    <w:t>生活污水</w:t>
                  </w:r>
                </w:p>
              </w:tc>
              <w:tc>
                <w:tcPr>
                  <w:tcW w:w="2139" w:type="dxa"/>
                  <w:tcBorders>
                    <w:tl2br w:val="nil"/>
                    <w:tr2bl w:val="nil"/>
                  </w:tcBorders>
                  <w:vAlign w:val="center"/>
                </w:tcPr>
                <w:p w14:paraId="62B042B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default" w:ascii="Times New Roman" w:hAnsi="Times New Roman" w:eastAsia="宋体"/>
                      <w:sz w:val="21"/>
                      <w:vertAlign w:val="baseline"/>
                      <w:lang w:val="en-US" w:eastAsia="zh-CN"/>
                    </w:rPr>
                    <w:t>生活污水经化粪池处理后接管排入涟水县污水处理厂处理</w:t>
                  </w:r>
                </w:p>
              </w:tc>
              <w:tc>
                <w:tcPr>
                  <w:tcW w:w="1987" w:type="dxa"/>
                  <w:tcBorders>
                    <w:tl2br w:val="nil"/>
                    <w:tr2bl w:val="nil"/>
                  </w:tcBorders>
                  <w:vAlign w:val="center"/>
                </w:tcPr>
                <w:p w14:paraId="239CF35F">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default" w:ascii="Times New Roman" w:hAnsi="Times New Roman" w:eastAsia="宋体"/>
                      <w:sz w:val="21"/>
                      <w:vertAlign w:val="baseline"/>
                      <w:lang w:val="en-US" w:eastAsia="zh-CN"/>
                    </w:rPr>
                    <w:t>生活污水经化粪池处理后接管排入涟水县污水处理厂处理</w:t>
                  </w:r>
                </w:p>
              </w:tc>
            </w:tr>
            <w:tr w14:paraId="4015E0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tcBorders>
                    <w:tl2br w:val="nil"/>
                    <w:tr2bl w:val="nil"/>
                  </w:tcBorders>
                  <w:vAlign w:val="center"/>
                </w:tcPr>
                <w:p w14:paraId="3E5198C2">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p>
              </w:tc>
              <w:tc>
                <w:tcPr>
                  <w:tcW w:w="1833" w:type="dxa"/>
                  <w:tcBorders>
                    <w:tl2br w:val="nil"/>
                    <w:tr2bl w:val="nil"/>
                  </w:tcBorders>
                  <w:vAlign w:val="center"/>
                </w:tcPr>
                <w:p w14:paraId="4AAA9F5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ascii="Times New Roman" w:hAnsi="Times New Roman" w:eastAsia="宋体"/>
                      <w:sz w:val="21"/>
                      <w:vertAlign w:val="baseline"/>
                      <w:lang w:val="en-US" w:eastAsia="zh-CN"/>
                    </w:rPr>
                    <w:t>生产废水</w:t>
                  </w:r>
                </w:p>
              </w:tc>
              <w:tc>
                <w:tcPr>
                  <w:tcW w:w="2139" w:type="dxa"/>
                  <w:tcBorders>
                    <w:tl2br w:val="nil"/>
                    <w:tr2bl w:val="nil"/>
                  </w:tcBorders>
                  <w:vAlign w:val="center"/>
                </w:tcPr>
                <w:p w14:paraId="29513E1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sz w:val="21"/>
                      <w:vertAlign w:val="baseline"/>
                      <w:lang w:val="en-US" w:eastAsia="zh-CN"/>
                    </w:rPr>
                    <w:t>原有</w:t>
                  </w:r>
                  <w:r>
                    <w:rPr>
                      <w:rFonts w:hint="default" w:ascii="Times New Roman" w:hAnsi="Times New Roman" w:eastAsia="宋体"/>
                      <w:sz w:val="21"/>
                      <w:vertAlign w:val="baseline"/>
                      <w:lang w:val="en-US" w:eastAsia="zh-CN"/>
                    </w:rPr>
                    <w:t>项目磨边废水、钻孔废水经沉淀池沉淀后，上层清水循环回用至生产线；清洗废水经清洗机自带的水箱沉淀后，上层清水循环回用至生产线</w:t>
                  </w:r>
                </w:p>
              </w:tc>
              <w:tc>
                <w:tcPr>
                  <w:tcW w:w="1987" w:type="dxa"/>
                  <w:tcBorders>
                    <w:tl2br w:val="nil"/>
                    <w:tr2bl w:val="nil"/>
                  </w:tcBorders>
                  <w:vAlign w:val="center"/>
                </w:tcPr>
                <w:p w14:paraId="25E99C9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sz w:val="21"/>
                      <w:vertAlign w:val="baseline"/>
                      <w:lang w:val="en-US" w:eastAsia="zh-CN"/>
                    </w:rPr>
                    <w:t>原有</w:t>
                  </w:r>
                  <w:r>
                    <w:rPr>
                      <w:rFonts w:hint="default" w:ascii="Times New Roman" w:hAnsi="Times New Roman" w:eastAsia="宋体"/>
                      <w:sz w:val="21"/>
                      <w:vertAlign w:val="baseline"/>
                      <w:lang w:val="en-US" w:eastAsia="zh-CN"/>
                    </w:rPr>
                    <w:t>项目磨边废水、钻孔废水经沉淀池沉淀后，上层清水循环回用至生产线；清洗废水经清洗机自带的水箱沉淀后，上层清水循环回用至生产线</w:t>
                  </w:r>
                </w:p>
              </w:tc>
            </w:tr>
            <w:tr w14:paraId="631BA5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vMerge w:val="restart"/>
                  <w:tcBorders>
                    <w:tl2br w:val="nil"/>
                    <w:tr2bl w:val="nil"/>
                  </w:tcBorders>
                  <w:vAlign w:val="center"/>
                </w:tcPr>
                <w:p w14:paraId="09ED7D6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ascii="Times New Roman" w:hAnsi="Times New Roman" w:eastAsia="宋体"/>
                      <w:sz w:val="21"/>
                      <w:vertAlign w:val="baseline"/>
                      <w:lang w:val="en-US" w:eastAsia="zh-CN"/>
                    </w:rPr>
                    <w:t>固体废物</w:t>
                  </w:r>
                </w:p>
              </w:tc>
              <w:tc>
                <w:tcPr>
                  <w:tcW w:w="1833" w:type="dxa"/>
                  <w:tcBorders>
                    <w:tl2br w:val="nil"/>
                    <w:tr2bl w:val="nil"/>
                  </w:tcBorders>
                  <w:vAlign w:val="center"/>
                </w:tcPr>
                <w:p w14:paraId="27E6620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ascii="Times New Roman" w:hAnsi="Times New Roman" w:eastAsia="宋体"/>
                      <w:sz w:val="21"/>
                      <w:vertAlign w:val="baseline"/>
                      <w:lang w:val="en-US" w:eastAsia="zh-CN"/>
                    </w:rPr>
                    <w:t>生活垃圾</w:t>
                  </w:r>
                </w:p>
              </w:tc>
              <w:tc>
                <w:tcPr>
                  <w:tcW w:w="2139" w:type="dxa"/>
                  <w:tcBorders>
                    <w:tl2br w:val="nil"/>
                    <w:tr2bl w:val="nil"/>
                  </w:tcBorders>
                  <w:vAlign w:val="center"/>
                </w:tcPr>
                <w:p w14:paraId="3CE47752">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ascii="Times New Roman" w:hAnsi="Times New Roman" w:eastAsia="宋体"/>
                      <w:sz w:val="21"/>
                      <w:vertAlign w:val="baseline"/>
                      <w:lang w:val="en-US" w:eastAsia="zh-CN"/>
                    </w:rPr>
                    <w:t>环卫部门清运</w:t>
                  </w:r>
                </w:p>
              </w:tc>
              <w:tc>
                <w:tcPr>
                  <w:tcW w:w="1987" w:type="dxa"/>
                  <w:tcBorders>
                    <w:tl2br w:val="nil"/>
                    <w:tr2bl w:val="nil"/>
                  </w:tcBorders>
                  <w:vAlign w:val="center"/>
                </w:tcPr>
                <w:p w14:paraId="4360498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ascii="Times New Roman" w:hAnsi="Times New Roman" w:eastAsia="宋体"/>
                      <w:sz w:val="21"/>
                      <w:vertAlign w:val="baseline"/>
                      <w:lang w:val="en-US" w:eastAsia="zh-CN"/>
                    </w:rPr>
                    <w:t>环卫部门清运</w:t>
                  </w:r>
                </w:p>
              </w:tc>
            </w:tr>
            <w:tr w14:paraId="1AC97B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vMerge w:val="continue"/>
                  <w:tcBorders>
                    <w:tl2br w:val="nil"/>
                    <w:tr2bl w:val="nil"/>
                  </w:tcBorders>
                  <w:vAlign w:val="center"/>
                </w:tcPr>
                <w:p w14:paraId="46E2734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p>
              </w:tc>
              <w:tc>
                <w:tcPr>
                  <w:tcW w:w="1833" w:type="dxa"/>
                  <w:tcBorders>
                    <w:tl2br w:val="nil"/>
                    <w:tr2bl w:val="nil"/>
                  </w:tcBorders>
                  <w:vAlign w:val="center"/>
                </w:tcPr>
                <w:p w14:paraId="2A5A0BE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ascii="Times New Roman" w:hAnsi="Times New Roman" w:eastAsia="宋体"/>
                      <w:sz w:val="21"/>
                      <w:vertAlign w:val="baseline"/>
                      <w:lang w:val="en-US" w:eastAsia="zh-CN"/>
                    </w:rPr>
                    <w:t>边角料、碎玻璃及粉末、废玻璃、不合格品</w:t>
                  </w:r>
                </w:p>
              </w:tc>
              <w:tc>
                <w:tcPr>
                  <w:tcW w:w="2139" w:type="dxa"/>
                  <w:tcBorders>
                    <w:tl2br w:val="nil"/>
                    <w:tr2bl w:val="nil"/>
                  </w:tcBorders>
                  <w:vAlign w:val="center"/>
                </w:tcPr>
                <w:p w14:paraId="76D92D5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ascii="Times New Roman" w:hAnsi="Times New Roman" w:eastAsia="宋体"/>
                      <w:sz w:val="21"/>
                      <w:vertAlign w:val="baseline"/>
                      <w:lang w:val="en-US" w:eastAsia="zh-CN"/>
                    </w:rPr>
                    <w:t>外售综合利用</w:t>
                  </w:r>
                </w:p>
              </w:tc>
              <w:tc>
                <w:tcPr>
                  <w:tcW w:w="1987" w:type="dxa"/>
                  <w:vMerge w:val="restart"/>
                  <w:tcBorders>
                    <w:tl2br w:val="nil"/>
                    <w:tr2bl w:val="nil"/>
                  </w:tcBorders>
                  <w:vAlign w:val="center"/>
                </w:tcPr>
                <w:p w14:paraId="0793A5E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ascii="Times New Roman" w:hAnsi="Times New Roman" w:eastAsia="宋体"/>
                      <w:sz w:val="21"/>
                      <w:vertAlign w:val="baseline"/>
                      <w:lang w:val="en-US" w:eastAsia="zh-CN"/>
                    </w:rPr>
                    <w:t>外售综合利用</w:t>
                  </w:r>
                </w:p>
              </w:tc>
            </w:tr>
            <w:tr w14:paraId="28D0C8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vMerge w:val="continue"/>
                  <w:tcBorders>
                    <w:tl2br w:val="nil"/>
                    <w:tr2bl w:val="nil"/>
                  </w:tcBorders>
                  <w:vAlign w:val="center"/>
                </w:tcPr>
                <w:p w14:paraId="796022B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p>
              </w:tc>
              <w:tc>
                <w:tcPr>
                  <w:tcW w:w="1833" w:type="dxa"/>
                  <w:tcBorders>
                    <w:tl2br w:val="nil"/>
                    <w:tr2bl w:val="nil"/>
                  </w:tcBorders>
                  <w:vAlign w:val="center"/>
                </w:tcPr>
                <w:p w14:paraId="4FAF41F9">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ascii="Times New Roman" w:hAnsi="Times New Roman" w:eastAsia="宋体"/>
                      <w:sz w:val="21"/>
                      <w:vertAlign w:val="baseline"/>
                      <w:lang w:val="en-US" w:eastAsia="zh-CN"/>
                    </w:rPr>
                    <w:t>废包装材料</w:t>
                  </w:r>
                </w:p>
              </w:tc>
              <w:tc>
                <w:tcPr>
                  <w:tcW w:w="2139" w:type="dxa"/>
                  <w:tcBorders>
                    <w:tl2br w:val="nil"/>
                    <w:tr2bl w:val="nil"/>
                  </w:tcBorders>
                  <w:vAlign w:val="center"/>
                </w:tcPr>
                <w:p w14:paraId="0E6C6DF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ascii="Times New Roman" w:hAnsi="Times New Roman" w:eastAsia="宋体"/>
                      <w:sz w:val="21"/>
                      <w:vertAlign w:val="baseline"/>
                      <w:lang w:val="en-US" w:eastAsia="zh-CN"/>
                    </w:rPr>
                    <w:t>委托有资质单位处置</w:t>
                  </w:r>
                </w:p>
              </w:tc>
              <w:tc>
                <w:tcPr>
                  <w:tcW w:w="1987" w:type="dxa"/>
                  <w:vMerge w:val="continue"/>
                  <w:tcBorders>
                    <w:tl2br w:val="nil"/>
                    <w:tr2bl w:val="nil"/>
                  </w:tcBorders>
                  <w:vAlign w:val="center"/>
                </w:tcPr>
                <w:p w14:paraId="5EE7BEE9">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p>
              </w:tc>
            </w:tr>
            <w:tr w14:paraId="216CCD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vMerge w:val="continue"/>
                  <w:tcBorders>
                    <w:tl2br w:val="nil"/>
                    <w:tr2bl w:val="nil"/>
                  </w:tcBorders>
                  <w:vAlign w:val="center"/>
                </w:tcPr>
                <w:p w14:paraId="13AEF90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p>
              </w:tc>
              <w:tc>
                <w:tcPr>
                  <w:tcW w:w="1833" w:type="dxa"/>
                  <w:tcBorders>
                    <w:tl2br w:val="nil"/>
                    <w:tr2bl w:val="nil"/>
                  </w:tcBorders>
                  <w:vAlign w:val="center"/>
                </w:tcPr>
                <w:p w14:paraId="3BF72CF9">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ascii="Times New Roman" w:hAnsi="Times New Roman" w:eastAsia="宋体"/>
                      <w:sz w:val="21"/>
                      <w:vertAlign w:val="baseline"/>
                      <w:lang w:val="en-US" w:eastAsia="zh-CN"/>
                    </w:rPr>
                    <w:t>废胶桶</w:t>
                  </w:r>
                </w:p>
              </w:tc>
              <w:tc>
                <w:tcPr>
                  <w:tcW w:w="2139" w:type="dxa"/>
                  <w:tcBorders>
                    <w:tl2br w:val="nil"/>
                    <w:tr2bl w:val="nil"/>
                  </w:tcBorders>
                  <w:vAlign w:val="center"/>
                </w:tcPr>
                <w:p w14:paraId="035DA0C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ascii="Times New Roman" w:hAnsi="Times New Roman" w:eastAsia="宋体"/>
                      <w:sz w:val="21"/>
                      <w:vertAlign w:val="baseline"/>
                      <w:lang w:val="en-US" w:eastAsia="zh-CN"/>
                    </w:rPr>
                    <w:t>委托有资质单位处置</w:t>
                  </w:r>
                </w:p>
              </w:tc>
              <w:tc>
                <w:tcPr>
                  <w:tcW w:w="1987" w:type="dxa"/>
                  <w:tcBorders>
                    <w:tl2br w:val="nil"/>
                    <w:tr2bl w:val="nil"/>
                  </w:tcBorders>
                  <w:vAlign w:val="center"/>
                </w:tcPr>
                <w:p w14:paraId="16122CA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ascii="Times New Roman" w:hAnsi="Times New Roman" w:eastAsia="宋体"/>
                      <w:sz w:val="21"/>
                      <w:vertAlign w:val="baseline"/>
                      <w:lang w:val="en-US" w:eastAsia="zh-CN"/>
                    </w:rPr>
                    <w:t>供应商回收</w:t>
                  </w:r>
                </w:p>
              </w:tc>
            </w:tr>
            <w:tr w14:paraId="795B7A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vMerge w:val="continue"/>
                  <w:tcBorders>
                    <w:tl2br w:val="nil"/>
                    <w:tr2bl w:val="nil"/>
                  </w:tcBorders>
                  <w:vAlign w:val="center"/>
                </w:tcPr>
                <w:p w14:paraId="7A0EBAB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p>
              </w:tc>
              <w:tc>
                <w:tcPr>
                  <w:tcW w:w="1833" w:type="dxa"/>
                  <w:tcBorders>
                    <w:tl2br w:val="nil"/>
                    <w:tr2bl w:val="nil"/>
                  </w:tcBorders>
                  <w:vAlign w:val="center"/>
                </w:tcPr>
                <w:p w14:paraId="183E2B1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ascii="Times New Roman" w:hAnsi="Times New Roman" w:eastAsia="宋体"/>
                      <w:sz w:val="21"/>
                      <w:vertAlign w:val="baseline"/>
                      <w:lang w:val="en-US" w:eastAsia="zh-CN"/>
                    </w:rPr>
                    <w:t>废硅酮胶包装袋</w:t>
                  </w:r>
                </w:p>
              </w:tc>
              <w:tc>
                <w:tcPr>
                  <w:tcW w:w="2139" w:type="dxa"/>
                  <w:tcBorders>
                    <w:tl2br w:val="nil"/>
                    <w:tr2bl w:val="nil"/>
                  </w:tcBorders>
                  <w:vAlign w:val="center"/>
                </w:tcPr>
                <w:p w14:paraId="588B1075">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ascii="Times New Roman" w:hAnsi="Times New Roman" w:eastAsia="宋体"/>
                      <w:sz w:val="21"/>
                      <w:vertAlign w:val="baseline"/>
                      <w:lang w:val="en-US" w:eastAsia="zh-CN"/>
                    </w:rPr>
                    <w:t>/</w:t>
                  </w:r>
                </w:p>
              </w:tc>
              <w:tc>
                <w:tcPr>
                  <w:tcW w:w="1987" w:type="dxa"/>
                  <w:vMerge w:val="restart"/>
                  <w:tcBorders>
                    <w:tl2br w:val="nil"/>
                    <w:tr2bl w:val="nil"/>
                  </w:tcBorders>
                  <w:vAlign w:val="center"/>
                </w:tcPr>
                <w:p w14:paraId="6388BAE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ascii="Times New Roman" w:hAnsi="Times New Roman" w:eastAsia="宋体"/>
                      <w:sz w:val="21"/>
                      <w:vertAlign w:val="baseline"/>
                      <w:lang w:val="en-US" w:eastAsia="zh-CN"/>
                    </w:rPr>
                    <w:t>委托有资质单位处置</w:t>
                  </w:r>
                </w:p>
              </w:tc>
            </w:tr>
            <w:tr w14:paraId="0F9466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vMerge w:val="continue"/>
                  <w:tcBorders>
                    <w:tl2br w:val="nil"/>
                    <w:tr2bl w:val="nil"/>
                  </w:tcBorders>
                  <w:vAlign w:val="center"/>
                </w:tcPr>
                <w:p w14:paraId="272A1DA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p>
              </w:tc>
              <w:tc>
                <w:tcPr>
                  <w:tcW w:w="1833" w:type="dxa"/>
                  <w:tcBorders>
                    <w:tl2br w:val="nil"/>
                    <w:tr2bl w:val="nil"/>
                  </w:tcBorders>
                  <w:vAlign w:val="center"/>
                </w:tcPr>
                <w:p w14:paraId="0987501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ascii="Times New Roman" w:hAnsi="Times New Roman" w:eastAsia="宋体"/>
                      <w:sz w:val="21"/>
                      <w:vertAlign w:val="baseline"/>
                      <w:lang w:val="en-US" w:eastAsia="zh-CN"/>
                    </w:rPr>
                    <w:t>废活性炭</w:t>
                  </w:r>
                </w:p>
              </w:tc>
              <w:tc>
                <w:tcPr>
                  <w:tcW w:w="2139" w:type="dxa"/>
                  <w:tcBorders>
                    <w:tl2br w:val="nil"/>
                    <w:tr2bl w:val="nil"/>
                  </w:tcBorders>
                  <w:vAlign w:val="center"/>
                </w:tcPr>
                <w:p w14:paraId="6CAE653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r>
                    <w:rPr>
                      <w:rFonts w:hint="eastAsia" w:ascii="Times New Roman" w:hAnsi="Times New Roman" w:eastAsia="宋体"/>
                      <w:sz w:val="21"/>
                      <w:vertAlign w:val="baseline"/>
                      <w:lang w:val="en-US" w:eastAsia="zh-CN"/>
                    </w:rPr>
                    <w:t>委托有资质单位处置</w:t>
                  </w:r>
                </w:p>
              </w:tc>
              <w:tc>
                <w:tcPr>
                  <w:tcW w:w="1987" w:type="dxa"/>
                  <w:vMerge w:val="continue"/>
                  <w:tcBorders>
                    <w:tl2br w:val="nil"/>
                    <w:tr2bl w:val="nil"/>
                  </w:tcBorders>
                  <w:vAlign w:val="center"/>
                </w:tcPr>
                <w:p w14:paraId="02D7549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sz w:val="21"/>
                      <w:vertAlign w:val="baseline"/>
                      <w:lang w:val="en-US" w:eastAsia="zh-CN"/>
                    </w:rPr>
                  </w:pPr>
                </w:p>
              </w:tc>
            </w:tr>
          </w:tbl>
          <w:p w14:paraId="44B1E65B">
            <w:pPr>
              <w:pStyle w:val="6"/>
              <w:numPr>
                <w:ilvl w:val="0"/>
                <w:numId w:val="6"/>
              </w:numPr>
              <w:ind w:left="0" w:leftChars="0" w:firstLine="480" w:firstLineChars="200"/>
              <w:rPr>
                <w:rFonts w:hint="eastAsia"/>
                <w:lang w:val="en-US" w:eastAsia="zh-CN"/>
              </w:rPr>
            </w:pPr>
            <w:r>
              <w:rPr>
                <w:rFonts w:hint="eastAsia"/>
                <w:lang w:val="en-US" w:eastAsia="zh-CN"/>
              </w:rPr>
              <w:t>原项目三同时验收结论</w:t>
            </w:r>
          </w:p>
          <w:p w14:paraId="0D57C363">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b w:val="0"/>
                <w:sz w:val="24"/>
                <w:lang w:val="en-US" w:eastAsia="zh-CN"/>
              </w:rPr>
            </w:pPr>
            <w:r>
              <w:rPr>
                <w:rFonts w:hint="eastAsia" w:ascii="Times New Roman" w:hAnsi="Times New Roman"/>
                <w:b w:val="0"/>
                <w:sz w:val="24"/>
                <w:lang w:val="en-US" w:eastAsia="zh-CN"/>
              </w:rPr>
              <w:t>原有项目三同时验收数据分析达标情况</w:t>
            </w:r>
          </w:p>
          <w:p w14:paraId="37FD806A">
            <w:pPr>
              <w:pStyle w:val="6"/>
              <w:ind w:left="0" w:leftChars="0" w:firstLine="0" w:firstLineChars="0"/>
              <w:rPr>
                <w:rFonts w:hint="eastAsia"/>
                <w:lang w:val="en-US" w:eastAsia="zh-CN"/>
              </w:rPr>
            </w:pPr>
          </w:p>
          <w:p w14:paraId="75AA50C6">
            <w:pPr>
              <w:pStyle w:val="6"/>
              <w:ind w:left="0" w:leftChars="0" w:firstLine="0" w:firstLineChars="0"/>
              <w:rPr>
                <w:rFonts w:hint="eastAsia"/>
                <w:lang w:val="en-US" w:eastAsia="zh-CN"/>
              </w:rPr>
            </w:pPr>
          </w:p>
          <w:p w14:paraId="4C51535E">
            <w:pPr>
              <w:pStyle w:val="6"/>
              <w:ind w:left="0" w:leftChars="0" w:firstLine="0" w:firstLineChars="0"/>
              <w:rPr>
                <w:rFonts w:hint="eastAsia"/>
                <w:lang w:val="en-US" w:eastAsia="zh-CN"/>
              </w:rPr>
            </w:pPr>
          </w:p>
          <w:p w14:paraId="7E4655AA">
            <w:pPr>
              <w:pStyle w:val="6"/>
              <w:ind w:left="0" w:leftChars="0" w:firstLine="0" w:firstLineChars="0"/>
              <w:rPr>
                <w:rFonts w:hint="eastAsia"/>
                <w:lang w:val="en-US" w:eastAsia="zh-CN"/>
              </w:rPr>
            </w:pPr>
          </w:p>
          <w:p w14:paraId="6E6EDA1D">
            <w:pPr>
              <w:pStyle w:val="6"/>
              <w:ind w:left="0" w:leftChars="0" w:firstLine="0" w:firstLineChars="0"/>
              <w:rPr>
                <w:rFonts w:hint="eastAsia"/>
                <w:lang w:val="en-US" w:eastAsia="zh-CN"/>
              </w:rPr>
            </w:pPr>
          </w:p>
          <w:p w14:paraId="2409CF33">
            <w:pPr>
              <w:pStyle w:val="6"/>
              <w:ind w:left="0" w:leftChars="0" w:firstLine="0" w:firstLineChars="0"/>
              <w:rPr>
                <w:rFonts w:hint="eastAsia"/>
                <w:lang w:val="en-US" w:eastAsia="zh-CN"/>
              </w:rPr>
            </w:pPr>
          </w:p>
          <w:p w14:paraId="096F87D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bCs/>
                <w:sz w:val="21"/>
                <w:lang w:val="en-US" w:eastAsia="zh-CN"/>
              </w:rPr>
            </w:pPr>
            <w:r>
              <w:rPr>
                <w:rFonts w:hint="eastAsia"/>
                <w:b/>
                <w:bCs/>
                <w:sz w:val="21"/>
                <w:lang w:val="en-US" w:eastAsia="zh-CN"/>
              </w:rPr>
              <w:t>表2-14  废水监测结果</w:t>
            </w:r>
          </w:p>
          <w:tbl>
            <w:tblPr>
              <w:tblStyle w:val="23"/>
              <w:tblW w:w="7945"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3"/>
              <w:gridCol w:w="993"/>
              <w:gridCol w:w="993"/>
              <w:gridCol w:w="993"/>
              <w:gridCol w:w="993"/>
              <w:gridCol w:w="993"/>
              <w:gridCol w:w="994"/>
            </w:tblGrid>
            <w:tr w14:paraId="74B643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tcBorders>
                    <w:tl2br w:val="nil"/>
                    <w:tr2bl w:val="nil"/>
                  </w:tcBorders>
                  <w:vAlign w:val="center"/>
                </w:tcPr>
                <w:p w14:paraId="401545D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val="0"/>
                      <w:bCs w:val="0"/>
                      <w:sz w:val="21"/>
                      <w:vertAlign w:val="baseline"/>
                      <w:lang w:val="en-US" w:eastAsia="zh-CN"/>
                    </w:rPr>
                  </w:pPr>
                  <w:r>
                    <w:rPr>
                      <w:rFonts w:hint="eastAsia"/>
                      <w:b w:val="0"/>
                      <w:bCs w:val="0"/>
                      <w:sz w:val="21"/>
                      <w:vertAlign w:val="baseline"/>
                      <w:lang w:val="en-US" w:eastAsia="zh-CN"/>
                    </w:rPr>
                    <w:t>监测点位</w:t>
                  </w:r>
                </w:p>
              </w:tc>
              <w:tc>
                <w:tcPr>
                  <w:tcW w:w="6952" w:type="dxa"/>
                  <w:gridSpan w:val="7"/>
                  <w:tcBorders>
                    <w:tl2br w:val="nil"/>
                    <w:tr2bl w:val="nil"/>
                  </w:tcBorders>
                  <w:vAlign w:val="center"/>
                </w:tcPr>
                <w:p w14:paraId="2E242B84">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val="0"/>
                      <w:bCs w:val="0"/>
                      <w:sz w:val="21"/>
                      <w:vertAlign w:val="baseline"/>
                      <w:lang w:val="en-US" w:eastAsia="zh-CN"/>
                    </w:rPr>
                  </w:pPr>
                  <w:r>
                    <w:rPr>
                      <w:rFonts w:hint="eastAsia"/>
                      <w:b w:val="0"/>
                      <w:bCs w:val="0"/>
                      <w:sz w:val="21"/>
                      <w:vertAlign w:val="baseline"/>
                      <w:lang w:val="en-US" w:eastAsia="zh-CN"/>
                    </w:rPr>
                    <w:t>污水排口</w:t>
                  </w:r>
                </w:p>
              </w:tc>
            </w:tr>
            <w:tr w14:paraId="07CC31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tcBorders>
                    <w:tl2br w:val="nil"/>
                    <w:tr2bl w:val="nil"/>
                  </w:tcBorders>
                  <w:vAlign w:val="center"/>
                </w:tcPr>
                <w:p w14:paraId="09E8F5E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val="0"/>
                      <w:bCs w:val="0"/>
                      <w:sz w:val="21"/>
                      <w:vertAlign w:val="baseline"/>
                      <w:lang w:val="en-US" w:eastAsia="zh-CN"/>
                    </w:rPr>
                  </w:pPr>
                  <w:r>
                    <w:rPr>
                      <w:rFonts w:hint="eastAsia"/>
                      <w:b w:val="0"/>
                      <w:bCs w:val="0"/>
                      <w:sz w:val="21"/>
                      <w:vertAlign w:val="baseline"/>
                      <w:lang w:val="en-US" w:eastAsia="zh-CN"/>
                    </w:rPr>
                    <w:t>日期</w:t>
                  </w:r>
                </w:p>
              </w:tc>
              <w:tc>
                <w:tcPr>
                  <w:tcW w:w="993" w:type="dxa"/>
                  <w:tcBorders>
                    <w:tl2br w:val="nil"/>
                    <w:tr2bl w:val="nil"/>
                  </w:tcBorders>
                  <w:vAlign w:val="center"/>
                </w:tcPr>
                <w:p w14:paraId="1161E9E9">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val="0"/>
                      <w:bCs w:val="0"/>
                      <w:sz w:val="21"/>
                      <w:vertAlign w:val="baseline"/>
                      <w:lang w:val="en-US" w:eastAsia="zh-CN"/>
                    </w:rPr>
                  </w:pPr>
                  <w:r>
                    <w:rPr>
                      <w:rFonts w:hint="eastAsia"/>
                      <w:b w:val="0"/>
                      <w:bCs w:val="0"/>
                      <w:sz w:val="21"/>
                      <w:vertAlign w:val="baseline"/>
                      <w:lang w:val="en-US" w:eastAsia="zh-CN"/>
                    </w:rPr>
                    <w:t>检测项目</w:t>
                  </w:r>
                </w:p>
              </w:tc>
              <w:tc>
                <w:tcPr>
                  <w:tcW w:w="993" w:type="dxa"/>
                  <w:tcBorders>
                    <w:tl2br w:val="nil"/>
                    <w:tr2bl w:val="nil"/>
                  </w:tcBorders>
                  <w:vAlign w:val="center"/>
                </w:tcPr>
                <w:p w14:paraId="5451362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val="0"/>
                      <w:bCs w:val="0"/>
                      <w:sz w:val="21"/>
                      <w:vertAlign w:val="baseline"/>
                      <w:lang w:val="en-US" w:eastAsia="zh-CN"/>
                    </w:rPr>
                  </w:pPr>
                  <w:r>
                    <w:rPr>
                      <w:rFonts w:hint="eastAsia"/>
                      <w:b w:val="0"/>
                      <w:bCs w:val="0"/>
                      <w:sz w:val="21"/>
                      <w:vertAlign w:val="baseline"/>
                      <w:lang w:val="en-US" w:eastAsia="zh-CN"/>
                    </w:rPr>
                    <w:t>单位</w:t>
                  </w:r>
                </w:p>
              </w:tc>
              <w:tc>
                <w:tcPr>
                  <w:tcW w:w="993" w:type="dxa"/>
                  <w:tcBorders>
                    <w:tl2br w:val="nil"/>
                    <w:tr2bl w:val="nil"/>
                  </w:tcBorders>
                  <w:vAlign w:val="center"/>
                </w:tcPr>
                <w:p w14:paraId="20DB936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val="0"/>
                      <w:bCs w:val="0"/>
                      <w:sz w:val="21"/>
                      <w:vertAlign w:val="baseline"/>
                      <w:lang w:val="en-US" w:eastAsia="zh-CN"/>
                    </w:rPr>
                  </w:pPr>
                  <w:r>
                    <w:rPr>
                      <w:rFonts w:hint="eastAsia"/>
                      <w:b w:val="0"/>
                      <w:bCs w:val="0"/>
                      <w:sz w:val="21"/>
                      <w:vertAlign w:val="baseline"/>
                      <w:lang w:val="en-US" w:eastAsia="zh-CN"/>
                    </w:rPr>
                    <w:t>第1次</w:t>
                  </w:r>
                </w:p>
              </w:tc>
              <w:tc>
                <w:tcPr>
                  <w:tcW w:w="993" w:type="dxa"/>
                  <w:tcBorders>
                    <w:tl2br w:val="nil"/>
                    <w:tr2bl w:val="nil"/>
                  </w:tcBorders>
                  <w:vAlign w:val="center"/>
                </w:tcPr>
                <w:p w14:paraId="015970E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val="0"/>
                      <w:bCs w:val="0"/>
                      <w:sz w:val="21"/>
                      <w:vertAlign w:val="baseline"/>
                      <w:lang w:val="en-US" w:eastAsia="zh-CN"/>
                    </w:rPr>
                  </w:pPr>
                  <w:r>
                    <w:rPr>
                      <w:rFonts w:hint="eastAsia"/>
                      <w:b w:val="0"/>
                      <w:bCs w:val="0"/>
                      <w:sz w:val="21"/>
                      <w:vertAlign w:val="baseline"/>
                      <w:lang w:val="en-US" w:eastAsia="zh-CN"/>
                    </w:rPr>
                    <w:t>第2次</w:t>
                  </w:r>
                </w:p>
              </w:tc>
              <w:tc>
                <w:tcPr>
                  <w:tcW w:w="993" w:type="dxa"/>
                  <w:tcBorders>
                    <w:tl2br w:val="nil"/>
                    <w:tr2bl w:val="nil"/>
                  </w:tcBorders>
                  <w:vAlign w:val="center"/>
                </w:tcPr>
                <w:p w14:paraId="52972984">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val="0"/>
                      <w:bCs w:val="0"/>
                      <w:sz w:val="21"/>
                      <w:vertAlign w:val="baseline"/>
                      <w:lang w:val="en-US" w:eastAsia="zh-CN"/>
                    </w:rPr>
                  </w:pPr>
                  <w:r>
                    <w:rPr>
                      <w:rFonts w:hint="eastAsia"/>
                      <w:b w:val="0"/>
                      <w:bCs w:val="0"/>
                      <w:sz w:val="21"/>
                      <w:vertAlign w:val="baseline"/>
                      <w:lang w:val="en-US" w:eastAsia="zh-CN"/>
                    </w:rPr>
                    <w:t>第3次</w:t>
                  </w:r>
                </w:p>
              </w:tc>
              <w:tc>
                <w:tcPr>
                  <w:tcW w:w="993" w:type="dxa"/>
                  <w:tcBorders>
                    <w:tl2br w:val="nil"/>
                    <w:tr2bl w:val="nil"/>
                  </w:tcBorders>
                  <w:vAlign w:val="center"/>
                </w:tcPr>
                <w:p w14:paraId="231F277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val="0"/>
                      <w:bCs w:val="0"/>
                      <w:sz w:val="21"/>
                      <w:vertAlign w:val="baseline"/>
                      <w:lang w:val="en-US" w:eastAsia="zh-CN"/>
                    </w:rPr>
                  </w:pPr>
                  <w:r>
                    <w:rPr>
                      <w:rFonts w:hint="eastAsia"/>
                      <w:b w:val="0"/>
                      <w:bCs w:val="0"/>
                      <w:sz w:val="21"/>
                      <w:vertAlign w:val="baseline"/>
                      <w:lang w:val="en-US" w:eastAsia="zh-CN"/>
                    </w:rPr>
                    <w:t>日均值</w:t>
                  </w:r>
                </w:p>
              </w:tc>
              <w:tc>
                <w:tcPr>
                  <w:tcW w:w="994" w:type="dxa"/>
                  <w:tcBorders>
                    <w:tl2br w:val="nil"/>
                    <w:tr2bl w:val="nil"/>
                  </w:tcBorders>
                  <w:vAlign w:val="center"/>
                </w:tcPr>
                <w:p w14:paraId="2CE4379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val="0"/>
                      <w:bCs w:val="0"/>
                      <w:sz w:val="21"/>
                      <w:vertAlign w:val="baseline"/>
                      <w:lang w:val="en-US" w:eastAsia="zh-CN"/>
                    </w:rPr>
                  </w:pPr>
                  <w:r>
                    <w:rPr>
                      <w:rFonts w:hint="eastAsia"/>
                      <w:b w:val="0"/>
                      <w:bCs w:val="0"/>
                      <w:sz w:val="21"/>
                      <w:vertAlign w:val="baseline"/>
                      <w:lang w:val="en-US" w:eastAsia="zh-CN"/>
                    </w:rPr>
                    <w:t>评价标准</w:t>
                  </w:r>
                </w:p>
              </w:tc>
            </w:tr>
            <w:tr w14:paraId="5AD4FC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restart"/>
                  <w:tcBorders>
                    <w:tl2br w:val="nil"/>
                    <w:tr2bl w:val="nil"/>
                  </w:tcBorders>
                  <w:vAlign w:val="center"/>
                </w:tcPr>
                <w:p w14:paraId="1A01455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2022年11月26日</w:t>
                  </w:r>
                </w:p>
              </w:tc>
              <w:tc>
                <w:tcPr>
                  <w:tcW w:w="993" w:type="dxa"/>
                  <w:tcBorders>
                    <w:tl2br w:val="nil"/>
                    <w:tr2bl w:val="nil"/>
                  </w:tcBorders>
                  <w:vAlign w:val="center"/>
                </w:tcPr>
                <w:p w14:paraId="6389229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pH值</w:t>
                  </w:r>
                </w:p>
              </w:tc>
              <w:tc>
                <w:tcPr>
                  <w:tcW w:w="993" w:type="dxa"/>
                  <w:tcBorders>
                    <w:tl2br w:val="nil"/>
                    <w:tr2bl w:val="nil"/>
                  </w:tcBorders>
                  <w:vAlign w:val="center"/>
                </w:tcPr>
                <w:p w14:paraId="203C23F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无量纲</w:t>
                  </w:r>
                </w:p>
              </w:tc>
              <w:tc>
                <w:tcPr>
                  <w:tcW w:w="993" w:type="dxa"/>
                  <w:tcBorders>
                    <w:tl2br w:val="nil"/>
                    <w:tr2bl w:val="nil"/>
                  </w:tcBorders>
                  <w:vAlign w:val="center"/>
                </w:tcPr>
                <w:p w14:paraId="0333BC2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7.4</w:t>
                  </w:r>
                </w:p>
              </w:tc>
              <w:tc>
                <w:tcPr>
                  <w:tcW w:w="993" w:type="dxa"/>
                  <w:tcBorders>
                    <w:tl2br w:val="nil"/>
                    <w:tr2bl w:val="nil"/>
                  </w:tcBorders>
                  <w:vAlign w:val="center"/>
                </w:tcPr>
                <w:p w14:paraId="10502CD4">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7.4</w:t>
                  </w:r>
                </w:p>
              </w:tc>
              <w:tc>
                <w:tcPr>
                  <w:tcW w:w="993" w:type="dxa"/>
                  <w:tcBorders>
                    <w:tl2br w:val="nil"/>
                    <w:tr2bl w:val="nil"/>
                  </w:tcBorders>
                  <w:vAlign w:val="center"/>
                </w:tcPr>
                <w:p w14:paraId="28C4D2D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7.4</w:t>
                  </w:r>
                </w:p>
              </w:tc>
              <w:tc>
                <w:tcPr>
                  <w:tcW w:w="993" w:type="dxa"/>
                  <w:tcBorders>
                    <w:tl2br w:val="nil"/>
                    <w:tr2bl w:val="nil"/>
                  </w:tcBorders>
                  <w:vAlign w:val="center"/>
                </w:tcPr>
                <w:p w14:paraId="0A5E872F">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w:t>
                  </w:r>
                </w:p>
              </w:tc>
              <w:tc>
                <w:tcPr>
                  <w:tcW w:w="994" w:type="dxa"/>
                  <w:tcBorders>
                    <w:tl2br w:val="nil"/>
                    <w:tr2bl w:val="nil"/>
                  </w:tcBorders>
                  <w:vAlign w:val="center"/>
                </w:tcPr>
                <w:p w14:paraId="6EF8959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6-9</w:t>
                  </w:r>
                </w:p>
              </w:tc>
            </w:tr>
            <w:tr w14:paraId="6A295B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14:paraId="7D1D252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993" w:type="dxa"/>
                  <w:tcBorders>
                    <w:tl2br w:val="nil"/>
                    <w:tr2bl w:val="nil"/>
                  </w:tcBorders>
                  <w:vAlign w:val="center"/>
                </w:tcPr>
                <w:p w14:paraId="7D6B3C2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化学需氧量</w:t>
                  </w:r>
                </w:p>
              </w:tc>
              <w:tc>
                <w:tcPr>
                  <w:tcW w:w="993" w:type="dxa"/>
                  <w:tcBorders>
                    <w:tl2br w:val="nil"/>
                    <w:tr2bl w:val="nil"/>
                  </w:tcBorders>
                  <w:vAlign w:val="center"/>
                </w:tcPr>
                <w:p w14:paraId="4D7E5C1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mg/L</w:t>
                  </w:r>
                </w:p>
              </w:tc>
              <w:tc>
                <w:tcPr>
                  <w:tcW w:w="993" w:type="dxa"/>
                  <w:tcBorders>
                    <w:tl2br w:val="nil"/>
                    <w:tr2bl w:val="nil"/>
                  </w:tcBorders>
                  <w:vAlign w:val="center"/>
                </w:tcPr>
                <w:p w14:paraId="4133B224">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134</w:t>
                  </w:r>
                </w:p>
              </w:tc>
              <w:tc>
                <w:tcPr>
                  <w:tcW w:w="993" w:type="dxa"/>
                  <w:tcBorders>
                    <w:tl2br w:val="nil"/>
                    <w:tr2bl w:val="nil"/>
                  </w:tcBorders>
                  <w:vAlign w:val="center"/>
                </w:tcPr>
                <w:p w14:paraId="439EA3B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179</w:t>
                  </w:r>
                </w:p>
              </w:tc>
              <w:tc>
                <w:tcPr>
                  <w:tcW w:w="993" w:type="dxa"/>
                  <w:tcBorders>
                    <w:tl2br w:val="nil"/>
                    <w:tr2bl w:val="nil"/>
                  </w:tcBorders>
                  <w:vAlign w:val="center"/>
                </w:tcPr>
                <w:p w14:paraId="56DF985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206</w:t>
                  </w:r>
                </w:p>
              </w:tc>
              <w:tc>
                <w:tcPr>
                  <w:tcW w:w="993" w:type="dxa"/>
                  <w:tcBorders>
                    <w:tl2br w:val="nil"/>
                    <w:tr2bl w:val="nil"/>
                  </w:tcBorders>
                  <w:vAlign w:val="center"/>
                </w:tcPr>
                <w:p w14:paraId="5CF6235F">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173</w:t>
                  </w:r>
                </w:p>
              </w:tc>
              <w:tc>
                <w:tcPr>
                  <w:tcW w:w="994" w:type="dxa"/>
                  <w:tcBorders>
                    <w:tl2br w:val="nil"/>
                    <w:tr2bl w:val="nil"/>
                  </w:tcBorders>
                  <w:vAlign w:val="center"/>
                </w:tcPr>
                <w:p w14:paraId="2AE116B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320</w:t>
                  </w:r>
                </w:p>
              </w:tc>
            </w:tr>
            <w:tr w14:paraId="2C4A8B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14:paraId="0CC9167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993" w:type="dxa"/>
                  <w:tcBorders>
                    <w:tl2br w:val="nil"/>
                    <w:tr2bl w:val="nil"/>
                  </w:tcBorders>
                  <w:vAlign w:val="center"/>
                </w:tcPr>
                <w:p w14:paraId="68E4A23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悬浮物</w:t>
                  </w:r>
                </w:p>
              </w:tc>
              <w:tc>
                <w:tcPr>
                  <w:tcW w:w="993" w:type="dxa"/>
                  <w:tcBorders>
                    <w:tl2br w:val="nil"/>
                    <w:tr2bl w:val="nil"/>
                  </w:tcBorders>
                  <w:vAlign w:val="center"/>
                </w:tcPr>
                <w:p w14:paraId="74290BC8">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mg/L</w:t>
                  </w:r>
                </w:p>
              </w:tc>
              <w:tc>
                <w:tcPr>
                  <w:tcW w:w="993" w:type="dxa"/>
                  <w:tcBorders>
                    <w:tl2br w:val="nil"/>
                    <w:tr2bl w:val="nil"/>
                  </w:tcBorders>
                  <w:vAlign w:val="center"/>
                </w:tcPr>
                <w:p w14:paraId="099392E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122</w:t>
                  </w:r>
                </w:p>
              </w:tc>
              <w:tc>
                <w:tcPr>
                  <w:tcW w:w="993" w:type="dxa"/>
                  <w:tcBorders>
                    <w:tl2br w:val="nil"/>
                    <w:tr2bl w:val="nil"/>
                  </w:tcBorders>
                  <w:vAlign w:val="center"/>
                </w:tcPr>
                <w:p w14:paraId="6BD6E82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140</w:t>
                  </w:r>
                </w:p>
              </w:tc>
              <w:tc>
                <w:tcPr>
                  <w:tcW w:w="993" w:type="dxa"/>
                  <w:tcBorders>
                    <w:tl2br w:val="nil"/>
                    <w:tr2bl w:val="nil"/>
                  </w:tcBorders>
                  <w:vAlign w:val="center"/>
                </w:tcPr>
                <w:p w14:paraId="3569FEA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135</w:t>
                  </w:r>
                </w:p>
              </w:tc>
              <w:tc>
                <w:tcPr>
                  <w:tcW w:w="993" w:type="dxa"/>
                  <w:tcBorders>
                    <w:tl2br w:val="nil"/>
                    <w:tr2bl w:val="nil"/>
                  </w:tcBorders>
                  <w:vAlign w:val="center"/>
                </w:tcPr>
                <w:p w14:paraId="2743404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132.33</w:t>
                  </w:r>
                </w:p>
              </w:tc>
              <w:tc>
                <w:tcPr>
                  <w:tcW w:w="994" w:type="dxa"/>
                  <w:tcBorders>
                    <w:tl2br w:val="nil"/>
                    <w:tr2bl w:val="nil"/>
                  </w:tcBorders>
                  <w:vAlign w:val="center"/>
                </w:tcPr>
                <w:p w14:paraId="0708911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200</w:t>
                  </w:r>
                </w:p>
              </w:tc>
            </w:tr>
            <w:tr w14:paraId="29DE75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14:paraId="384719B5">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993" w:type="dxa"/>
                  <w:tcBorders>
                    <w:tl2br w:val="nil"/>
                    <w:tr2bl w:val="nil"/>
                  </w:tcBorders>
                  <w:vAlign w:val="center"/>
                </w:tcPr>
                <w:p w14:paraId="0899F339">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氨氮</w:t>
                  </w:r>
                </w:p>
              </w:tc>
              <w:tc>
                <w:tcPr>
                  <w:tcW w:w="993" w:type="dxa"/>
                  <w:tcBorders>
                    <w:tl2br w:val="nil"/>
                    <w:tr2bl w:val="nil"/>
                  </w:tcBorders>
                  <w:vAlign w:val="center"/>
                </w:tcPr>
                <w:p w14:paraId="0BDAE9C5">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mg/L</w:t>
                  </w:r>
                </w:p>
              </w:tc>
              <w:tc>
                <w:tcPr>
                  <w:tcW w:w="993" w:type="dxa"/>
                  <w:tcBorders>
                    <w:tl2br w:val="nil"/>
                    <w:tr2bl w:val="nil"/>
                  </w:tcBorders>
                  <w:vAlign w:val="center"/>
                </w:tcPr>
                <w:p w14:paraId="074A018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20.2</w:t>
                  </w:r>
                </w:p>
              </w:tc>
              <w:tc>
                <w:tcPr>
                  <w:tcW w:w="993" w:type="dxa"/>
                  <w:tcBorders>
                    <w:tl2br w:val="nil"/>
                    <w:tr2bl w:val="nil"/>
                  </w:tcBorders>
                  <w:vAlign w:val="center"/>
                </w:tcPr>
                <w:p w14:paraId="4841248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23.5</w:t>
                  </w:r>
                </w:p>
              </w:tc>
              <w:tc>
                <w:tcPr>
                  <w:tcW w:w="993" w:type="dxa"/>
                  <w:tcBorders>
                    <w:tl2br w:val="nil"/>
                    <w:tr2bl w:val="nil"/>
                  </w:tcBorders>
                  <w:vAlign w:val="center"/>
                </w:tcPr>
                <w:p w14:paraId="256514E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21.6</w:t>
                  </w:r>
                </w:p>
              </w:tc>
              <w:tc>
                <w:tcPr>
                  <w:tcW w:w="993" w:type="dxa"/>
                  <w:tcBorders>
                    <w:tl2br w:val="nil"/>
                    <w:tr2bl w:val="nil"/>
                  </w:tcBorders>
                  <w:vAlign w:val="center"/>
                </w:tcPr>
                <w:p w14:paraId="76EBD00F">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21.77</w:t>
                  </w:r>
                </w:p>
              </w:tc>
              <w:tc>
                <w:tcPr>
                  <w:tcW w:w="994" w:type="dxa"/>
                  <w:tcBorders>
                    <w:tl2br w:val="nil"/>
                    <w:tr2bl w:val="nil"/>
                  </w:tcBorders>
                  <w:vAlign w:val="center"/>
                </w:tcPr>
                <w:p w14:paraId="3051A84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30</w:t>
                  </w:r>
                </w:p>
              </w:tc>
            </w:tr>
            <w:tr w14:paraId="7040D2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14:paraId="76C95F5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993" w:type="dxa"/>
                  <w:tcBorders>
                    <w:tl2br w:val="nil"/>
                    <w:tr2bl w:val="nil"/>
                  </w:tcBorders>
                  <w:vAlign w:val="center"/>
                </w:tcPr>
                <w:p w14:paraId="0AC9712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总磷</w:t>
                  </w:r>
                </w:p>
              </w:tc>
              <w:tc>
                <w:tcPr>
                  <w:tcW w:w="993" w:type="dxa"/>
                  <w:tcBorders>
                    <w:tl2br w:val="nil"/>
                    <w:tr2bl w:val="nil"/>
                  </w:tcBorders>
                  <w:vAlign w:val="center"/>
                </w:tcPr>
                <w:p w14:paraId="0D759FFA">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mg/L</w:t>
                  </w:r>
                </w:p>
              </w:tc>
              <w:tc>
                <w:tcPr>
                  <w:tcW w:w="993" w:type="dxa"/>
                  <w:tcBorders>
                    <w:tl2br w:val="nil"/>
                    <w:tr2bl w:val="nil"/>
                  </w:tcBorders>
                  <w:vAlign w:val="center"/>
                </w:tcPr>
                <w:p w14:paraId="0F0A2022">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3.45</w:t>
                  </w:r>
                </w:p>
              </w:tc>
              <w:tc>
                <w:tcPr>
                  <w:tcW w:w="993" w:type="dxa"/>
                  <w:tcBorders>
                    <w:tl2br w:val="nil"/>
                    <w:tr2bl w:val="nil"/>
                  </w:tcBorders>
                  <w:vAlign w:val="center"/>
                </w:tcPr>
                <w:p w14:paraId="62A36DA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3.82</w:t>
                  </w:r>
                </w:p>
              </w:tc>
              <w:tc>
                <w:tcPr>
                  <w:tcW w:w="993" w:type="dxa"/>
                  <w:tcBorders>
                    <w:tl2br w:val="nil"/>
                    <w:tr2bl w:val="nil"/>
                  </w:tcBorders>
                  <w:vAlign w:val="center"/>
                </w:tcPr>
                <w:p w14:paraId="51CAC4B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3.70</w:t>
                  </w:r>
                </w:p>
              </w:tc>
              <w:tc>
                <w:tcPr>
                  <w:tcW w:w="993" w:type="dxa"/>
                  <w:tcBorders>
                    <w:tl2br w:val="nil"/>
                    <w:tr2bl w:val="nil"/>
                  </w:tcBorders>
                  <w:vAlign w:val="center"/>
                </w:tcPr>
                <w:p w14:paraId="4A53D94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3.66</w:t>
                  </w:r>
                </w:p>
              </w:tc>
              <w:tc>
                <w:tcPr>
                  <w:tcW w:w="994" w:type="dxa"/>
                  <w:tcBorders>
                    <w:tl2br w:val="nil"/>
                    <w:tr2bl w:val="nil"/>
                  </w:tcBorders>
                  <w:vAlign w:val="center"/>
                </w:tcPr>
                <w:p w14:paraId="5F86119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5</w:t>
                  </w:r>
                </w:p>
              </w:tc>
            </w:tr>
            <w:tr w14:paraId="3C983F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tcBorders>
                    <w:tl2br w:val="nil"/>
                    <w:tr2bl w:val="nil"/>
                  </w:tcBorders>
                  <w:vAlign w:val="center"/>
                </w:tcPr>
                <w:p w14:paraId="4093F33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监测点位</w:t>
                  </w:r>
                </w:p>
              </w:tc>
              <w:tc>
                <w:tcPr>
                  <w:tcW w:w="6952" w:type="dxa"/>
                  <w:gridSpan w:val="7"/>
                  <w:tcBorders>
                    <w:tl2br w:val="nil"/>
                    <w:tr2bl w:val="nil"/>
                  </w:tcBorders>
                  <w:vAlign w:val="center"/>
                </w:tcPr>
                <w:p w14:paraId="5C2DA96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污水排口</w:t>
                  </w:r>
                </w:p>
              </w:tc>
            </w:tr>
            <w:tr w14:paraId="1ABE33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tcBorders>
                    <w:tl2br w:val="nil"/>
                    <w:tr2bl w:val="nil"/>
                  </w:tcBorders>
                  <w:vAlign w:val="center"/>
                </w:tcPr>
                <w:p w14:paraId="2A2FE732">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日期</w:t>
                  </w:r>
                </w:p>
              </w:tc>
              <w:tc>
                <w:tcPr>
                  <w:tcW w:w="993" w:type="dxa"/>
                  <w:tcBorders>
                    <w:tl2br w:val="nil"/>
                    <w:tr2bl w:val="nil"/>
                  </w:tcBorders>
                  <w:vAlign w:val="center"/>
                </w:tcPr>
                <w:p w14:paraId="61BAF10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检测项目</w:t>
                  </w:r>
                </w:p>
              </w:tc>
              <w:tc>
                <w:tcPr>
                  <w:tcW w:w="993" w:type="dxa"/>
                  <w:tcBorders>
                    <w:tl2br w:val="nil"/>
                    <w:tr2bl w:val="nil"/>
                  </w:tcBorders>
                  <w:vAlign w:val="center"/>
                </w:tcPr>
                <w:p w14:paraId="066D008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单位</w:t>
                  </w:r>
                </w:p>
              </w:tc>
              <w:tc>
                <w:tcPr>
                  <w:tcW w:w="993" w:type="dxa"/>
                  <w:tcBorders>
                    <w:tl2br w:val="nil"/>
                    <w:tr2bl w:val="nil"/>
                  </w:tcBorders>
                  <w:vAlign w:val="center"/>
                </w:tcPr>
                <w:p w14:paraId="0041B70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第1次</w:t>
                  </w:r>
                </w:p>
              </w:tc>
              <w:tc>
                <w:tcPr>
                  <w:tcW w:w="993" w:type="dxa"/>
                  <w:tcBorders>
                    <w:tl2br w:val="nil"/>
                    <w:tr2bl w:val="nil"/>
                  </w:tcBorders>
                  <w:vAlign w:val="center"/>
                </w:tcPr>
                <w:p w14:paraId="3A7CC38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第2次</w:t>
                  </w:r>
                </w:p>
              </w:tc>
              <w:tc>
                <w:tcPr>
                  <w:tcW w:w="993" w:type="dxa"/>
                  <w:tcBorders>
                    <w:tl2br w:val="nil"/>
                    <w:tr2bl w:val="nil"/>
                  </w:tcBorders>
                  <w:vAlign w:val="center"/>
                </w:tcPr>
                <w:p w14:paraId="0B0F0B6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第3次</w:t>
                  </w:r>
                </w:p>
              </w:tc>
              <w:tc>
                <w:tcPr>
                  <w:tcW w:w="993" w:type="dxa"/>
                  <w:tcBorders>
                    <w:tl2br w:val="nil"/>
                    <w:tr2bl w:val="nil"/>
                  </w:tcBorders>
                  <w:vAlign w:val="center"/>
                </w:tcPr>
                <w:p w14:paraId="1CA2B46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日均值</w:t>
                  </w:r>
                </w:p>
              </w:tc>
              <w:tc>
                <w:tcPr>
                  <w:tcW w:w="994" w:type="dxa"/>
                  <w:tcBorders>
                    <w:tl2br w:val="nil"/>
                    <w:tr2bl w:val="nil"/>
                  </w:tcBorders>
                  <w:vAlign w:val="center"/>
                </w:tcPr>
                <w:p w14:paraId="7651E6A9">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评价标准</w:t>
                  </w:r>
                </w:p>
              </w:tc>
            </w:tr>
            <w:tr w14:paraId="7E7736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restart"/>
                  <w:tcBorders>
                    <w:tl2br w:val="nil"/>
                    <w:tr2bl w:val="nil"/>
                  </w:tcBorders>
                  <w:vAlign w:val="center"/>
                </w:tcPr>
                <w:p w14:paraId="57E766F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2022年11月27日</w:t>
                  </w:r>
                </w:p>
              </w:tc>
              <w:tc>
                <w:tcPr>
                  <w:tcW w:w="993" w:type="dxa"/>
                  <w:tcBorders>
                    <w:tl2br w:val="nil"/>
                    <w:tr2bl w:val="nil"/>
                  </w:tcBorders>
                  <w:vAlign w:val="center"/>
                </w:tcPr>
                <w:p w14:paraId="51675C3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pH值</w:t>
                  </w:r>
                </w:p>
              </w:tc>
              <w:tc>
                <w:tcPr>
                  <w:tcW w:w="993" w:type="dxa"/>
                  <w:tcBorders>
                    <w:tl2br w:val="nil"/>
                    <w:tr2bl w:val="nil"/>
                  </w:tcBorders>
                  <w:vAlign w:val="center"/>
                </w:tcPr>
                <w:p w14:paraId="3A2A326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无量纲</w:t>
                  </w:r>
                </w:p>
              </w:tc>
              <w:tc>
                <w:tcPr>
                  <w:tcW w:w="993" w:type="dxa"/>
                  <w:tcBorders>
                    <w:tl2br w:val="nil"/>
                    <w:tr2bl w:val="nil"/>
                  </w:tcBorders>
                  <w:vAlign w:val="center"/>
                </w:tcPr>
                <w:p w14:paraId="0A25A17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7.4</w:t>
                  </w:r>
                </w:p>
              </w:tc>
              <w:tc>
                <w:tcPr>
                  <w:tcW w:w="993" w:type="dxa"/>
                  <w:tcBorders>
                    <w:tl2br w:val="nil"/>
                    <w:tr2bl w:val="nil"/>
                  </w:tcBorders>
                  <w:vAlign w:val="center"/>
                </w:tcPr>
                <w:p w14:paraId="73CD88B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7.5</w:t>
                  </w:r>
                </w:p>
              </w:tc>
              <w:tc>
                <w:tcPr>
                  <w:tcW w:w="993" w:type="dxa"/>
                  <w:tcBorders>
                    <w:tl2br w:val="nil"/>
                    <w:tr2bl w:val="nil"/>
                  </w:tcBorders>
                  <w:vAlign w:val="center"/>
                </w:tcPr>
                <w:p w14:paraId="6573B27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7.5</w:t>
                  </w:r>
                </w:p>
              </w:tc>
              <w:tc>
                <w:tcPr>
                  <w:tcW w:w="993" w:type="dxa"/>
                  <w:tcBorders>
                    <w:tl2br w:val="nil"/>
                    <w:tr2bl w:val="nil"/>
                  </w:tcBorders>
                  <w:vAlign w:val="center"/>
                </w:tcPr>
                <w:p w14:paraId="2F8E2C7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w:t>
                  </w:r>
                </w:p>
              </w:tc>
              <w:tc>
                <w:tcPr>
                  <w:tcW w:w="994" w:type="dxa"/>
                  <w:tcBorders>
                    <w:tl2br w:val="nil"/>
                    <w:tr2bl w:val="nil"/>
                  </w:tcBorders>
                  <w:vAlign w:val="center"/>
                </w:tcPr>
                <w:p w14:paraId="571B20C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6-9</w:t>
                  </w:r>
                </w:p>
              </w:tc>
            </w:tr>
            <w:tr w14:paraId="1F41D5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14:paraId="492AB74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993" w:type="dxa"/>
                  <w:tcBorders>
                    <w:tl2br w:val="nil"/>
                    <w:tr2bl w:val="nil"/>
                  </w:tcBorders>
                  <w:vAlign w:val="center"/>
                </w:tcPr>
                <w:p w14:paraId="686F992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化学需氧量</w:t>
                  </w:r>
                </w:p>
              </w:tc>
              <w:tc>
                <w:tcPr>
                  <w:tcW w:w="993" w:type="dxa"/>
                  <w:tcBorders>
                    <w:tl2br w:val="nil"/>
                    <w:tr2bl w:val="nil"/>
                  </w:tcBorders>
                  <w:vAlign w:val="center"/>
                </w:tcPr>
                <w:p w14:paraId="3453F384">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mg/L</w:t>
                  </w:r>
                </w:p>
              </w:tc>
              <w:tc>
                <w:tcPr>
                  <w:tcW w:w="993" w:type="dxa"/>
                  <w:tcBorders>
                    <w:tl2br w:val="nil"/>
                    <w:tr2bl w:val="nil"/>
                  </w:tcBorders>
                  <w:vAlign w:val="center"/>
                </w:tcPr>
                <w:p w14:paraId="64004BBF">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198</w:t>
                  </w:r>
                </w:p>
              </w:tc>
              <w:tc>
                <w:tcPr>
                  <w:tcW w:w="993" w:type="dxa"/>
                  <w:tcBorders>
                    <w:tl2br w:val="nil"/>
                    <w:tr2bl w:val="nil"/>
                  </w:tcBorders>
                  <w:vAlign w:val="center"/>
                </w:tcPr>
                <w:p w14:paraId="599FCD74">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216</w:t>
                  </w:r>
                </w:p>
              </w:tc>
              <w:tc>
                <w:tcPr>
                  <w:tcW w:w="993" w:type="dxa"/>
                  <w:tcBorders>
                    <w:tl2br w:val="nil"/>
                    <w:tr2bl w:val="nil"/>
                  </w:tcBorders>
                  <w:vAlign w:val="center"/>
                </w:tcPr>
                <w:p w14:paraId="0C0A635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205</w:t>
                  </w:r>
                </w:p>
              </w:tc>
              <w:tc>
                <w:tcPr>
                  <w:tcW w:w="993" w:type="dxa"/>
                  <w:tcBorders>
                    <w:tl2br w:val="nil"/>
                    <w:tr2bl w:val="nil"/>
                  </w:tcBorders>
                  <w:vAlign w:val="center"/>
                </w:tcPr>
                <w:p w14:paraId="261B8C5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206.33</w:t>
                  </w:r>
                </w:p>
              </w:tc>
              <w:tc>
                <w:tcPr>
                  <w:tcW w:w="994" w:type="dxa"/>
                  <w:tcBorders>
                    <w:tl2br w:val="nil"/>
                    <w:tr2bl w:val="nil"/>
                  </w:tcBorders>
                  <w:vAlign w:val="center"/>
                </w:tcPr>
                <w:p w14:paraId="5ED2FB2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320</w:t>
                  </w:r>
                </w:p>
              </w:tc>
            </w:tr>
            <w:tr w14:paraId="0868B7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14:paraId="71B2810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993" w:type="dxa"/>
                  <w:tcBorders>
                    <w:tl2br w:val="nil"/>
                    <w:tr2bl w:val="nil"/>
                  </w:tcBorders>
                  <w:vAlign w:val="center"/>
                </w:tcPr>
                <w:p w14:paraId="486AE80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悬浮物</w:t>
                  </w:r>
                </w:p>
              </w:tc>
              <w:tc>
                <w:tcPr>
                  <w:tcW w:w="993" w:type="dxa"/>
                  <w:tcBorders>
                    <w:tl2br w:val="nil"/>
                    <w:tr2bl w:val="nil"/>
                  </w:tcBorders>
                  <w:vAlign w:val="center"/>
                </w:tcPr>
                <w:p w14:paraId="6433C803">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mg/L</w:t>
                  </w:r>
                </w:p>
              </w:tc>
              <w:tc>
                <w:tcPr>
                  <w:tcW w:w="993" w:type="dxa"/>
                  <w:tcBorders>
                    <w:tl2br w:val="nil"/>
                    <w:tr2bl w:val="nil"/>
                  </w:tcBorders>
                  <w:vAlign w:val="center"/>
                </w:tcPr>
                <w:p w14:paraId="7D3C001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107</w:t>
                  </w:r>
                </w:p>
              </w:tc>
              <w:tc>
                <w:tcPr>
                  <w:tcW w:w="993" w:type="dxa"/>
                  <w:tcBorders>
                    <w:tl2br w:val="nil"/>
                    <w:tr2bl w:val="nil"/>
                  </w:tcBorders>
                  <w:vAlign w:val="center"/>
                </w:tcPr>
                <w:p w14:paraId="76ED2D7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132</w:t>
                  </w:r>
                </w:p>
              </w:tc>
              <w:tc>
                <w:tcPr>
                  <w:tcW w:w="993" w:type="dxa"/>
                  <w:tcBorders>
                    <w:tl2br w:val="nil"/>
                    <w:tr2bl w:val="nil"/>
                  </w:tcBorders>
                  <w:vAlign w:val="center"/>
                </w:tcPr>
                <w:p w14:paraId="7F012CA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124</w:t>
                  </w:r>
                </w:p>
              </w:tc>
              <w:tc>
                <w:tcPr>
                  <w:tcW w:w="993" w:type="dxa"/>
                  <w:tcBorders>
                    <w:tl2br w:val="nil"/>
                    <w:tr2bl w:val="nil"/>
                  </w:tcBorders>
                  <w:vAlign w:val="center"/>
                </w:tcPr>
                <w:p w14:paraId="45C72E2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121</w:t>
                  </w:r>
                </w:p>
              </w:tc>
              <w:tc>
                <w:tcPr>
                  <w:tcW w:w="994" w:type="dxa"/>
                  <w:tcBorders>
                    <w:tl2br w:val="nil"/>
                    <w:tr2bl w:val="nil"/>
                  </w:tcBorders>
                  <w:vAlign w:val="center"/>
                </w:tcPr>
                <w:p w14:paraId="652DAE5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200</w:t>
                  </w:r>
                </w:p>
              </w:tc>
            </w:tr>
            <w:tr w14:paraId="180A92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14:paraId="6030E96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993" w:type="dxa"/>
                  <w:tcBorders>
                    <w:tl2br w:val="nil"/>
                    <w:tr2bl w:val="nil"/>
                  </w:tcBorders>
                  <w:vAlign w:val="center"/>
                </w:tcPr>
                <w:p w14:paraId="0AB348B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氨氮</w:t>
                  </w:r>
                </w:p>
              </w:tc>
              <w:tc>
                <w:tcPr>
                  <w:tcW w:w="993" w:type="dxa"/>
                  <w:tcBorders>
                    <w:tl2br w:val="nil"/>
                    <w:tr2bl w:val="nil"/>
                  </w:tcBorders>
                  <w:vAlign w:val="center"/>
                </w:tcPr>
                <w:p w14:paraId="6DB625C4">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mg/L</w:t>
                  </w:r>
                </w:p>
              </w:tc>
              <w:tc>
                <w:tcPr>
                  <w:tcW w:w="993" w:type="dxa"/>
                  <w:tcBorders>
                    <w:tl2br w:val="nil"/>
                    <w:tr2bl w:val="nil"/>
                  </w:tcBorders>
                  <w:vAlign w:val="center"/>
                </w:tcPr>
                <w:p w14:paraId="2EC4ADB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21.1</w:t>
                  </w:r>
                </w:p>
              </w:tc>
              <w:tc>
                <w:tcPr>
                  <w:tcW w:w="993" w:type="dxa"/>
                  <w:tcBorders>
                    <w:tl2br w:val="nil"/>
                    <w:tr2bl w:val="nil"/>
                  </w:tcBorders>
                  <w:vAlign w:val="center"/>
                </w:tcPr>
                <w:p w14:paraId="22C29065">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23.2</w:t>
                  </w:r>
                </w:p>
              </w:tc>
              <w:tc>
                <w:tcPr>
                  <w:tcW w:w="993" w:type="dxa"/>
                  <w:tcBorders>
                    <w:tl2br w:val="nil"/>
                    <w:tr2bl w:val="nil"/>
                  </w:tcBorders>
                  <w:vAlign w:val="center"/>
                </w:tcPr>
                <w:p w14:paraId="00FBA6C4">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21.0</w:t>
                  </w:r>
                </w:p>
              </w:tc>
              <w:tc>
                <w:tcPr>
                  <w:tcW w:w="993" w:type="dxa"/>
                  <w:tcBorders>
                    <w:tl2br w:val="nil"/>
                    <w:tr2bl w:val="nil"/>
                  </w:tcBorders>
                  <w:vAlign w:val="center"/>
                </w:tcPr>
                <w:p w14:paraId="4ABCE2F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21.77</w:t>
                  </w:r>
                </w:p>
              </w:tc>
              <w:tc>
                <w:tcPr>
                  <w:tcW w:w="994" w:type="dxa"/>
                  <w:tcBorders>
                    <w:tl2br w:val="nil"/>
                    <w:tr2bl w:val="nil"/>
                  </w:tcBorders>
                  <w:vAlign w:val="center"/>
                </w:tcPr>
                <w:p w14:paraId="4B93EA3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30</w:t>
                  </w:r>
                </w:p>
              </w:tc>
            </w:tr>
            <w:tr w14:paraId="202DCE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14:paraId="2B1123F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993" w:type="dxa"/>
                  <w:tcBorders>
                    <w:tl2br w:val="nil"/>
                    <w:tr2bl w:val="nil"/>
                  </w:tcBorders>
                  <w:vAlign w:val="center"/>
                </w:tcPr>
                <w:p w14:paraId="11BE740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总磷</w:t>
                  </w:r>
                </w:p>
              </w:tc>
              <w:tc>
                <w:tcPr>
                  <w:tcW w:w="993" w:type="dxa"/>
                  <w:tcBorders>
                    <w:tl2br w:val="nil"/>
                    <w:tr2bl w:val="nil"/>
                  </w:tcBorders>
                  <w:vAlign w:val="center"/>
                </w:tcPr>
                <w:p w14:paraId="761FBE4B">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mg/L</w:t>
                  </w:r>
                </w:p>
              </w:tc>
              <w:tc>
                <w:tcPr>
                  <w:tcW w:w="993" w:type="dxa"/>
                  <w:tcBorders>
                    <w:tl2br w:val="nil"/>
                    <w:tr2bl w:val="nil"/>
                  </w:tcBorders>
                  <w:vAlign w:val="center"/>
                </w:tcPr>
                <w:p w14:paraId="45D058D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3.55</w:t>
                  </w:r>
                </w:p>
              </w:tc>
              <w:tc>
                <w:tcPr>
                  <w:tcW w:w="993" w:type="dxa"/>
                  <w:tcBorders>
                    <w:tl2br w:val="nil"/>
                    <w:tr2bl w:val="nil"/>
                  </w:tcBorders>
                  <w:vAlign w:val="center"/>
                </w:tcPr>
                <w:p w14:paraId="7A6A5B4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3.34</w:t>
                  </w:r>
                </w:p>
              </w:tc>
              <w:tc>
                <w:tcPr>
                  <w:tcW w:w="993" w:type="dxa"/>
                  <w:tcBorders>
                    <w:tl2br w:val="nil"/>
                    <w:tr2bl w:val="nil"/>
                  </w:tcBorders>
                  <w:vAlign w:val="center"/>
                </w:tcPr>
                <w:p w14:paraId="35B9EC4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3.85</w:t>
                  </w:r>
                </w:p>
              </w:tc>
              <w:tc>
                <w:tcPr>
                  <w:tcW w:w="993" w:type="dxa"/>
                  <w:tcBorders>
                    <w:tl2br w:val="nil"/>
                    <w:tr2bl w:val="nil"/>
                  </w:tcBorders>
                  <w:vAlign w:val="center"/>
                </w:tcPr>
                <w:p w14:paraId="4CDF4CE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3.58</w:t>
                  </w:r>
                </w:p>
              </w:tc>
              <w:tc>
                <w:tcPr>
                  <w:tcW w:w="994" w:type="dxa"/>
                  <w:tcBorders>
                    <w:tl2br w:val="nil"/>
                    <w:tr2bl w:val="nil"/>
                  </w:tcBorders>
                  <w:vAlign w:val="center"/>
                </w:tcPr>
                <w:p w14:paraId="2819B084">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5</w:t>
                  </w:r>
                </w:p>
              </w:tc>
            </w:tr>
          </w:tbl>
          <w:p w14:paraId="14BB77A4">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p>
          <w:p w14:paraId="1A63F97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r>
              <w:rPr>
                <w:rFonts w:hint="eastAsia"/>
                <w:b/>
                <w:bCs/>
                <w:sz w:val="21"/>
                <w:lang w:val="en-US" w:eastAsia="zh-CN"/>
              </w:rPr>
              <w:t>表2-15  有组织废气监测数据</w:t>
            </w:r>
          </w:p>
          <w:tbl>
            <w:tblPr>
              <w:tblStyle w:val="23"/>
              <w:tblW w:w="7945"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4"/>
              <w:gridCol w:w="735"/>
              <w:gridCol w:w="705"/>
              <w:gridCol w:w="1275"/>
              <w:gridCol w:w="1140"/>
              <w:gridCol w:w="1320"/>
              <w:gridCol w:w="1170"/>
              <w:gridCol w:w="946"/>
            </w:tblGrid>
            <w:tr w14:paraId="65FF32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45" w:type="dxa"/>
                  <w:gridSpan w:val="8"/>
                  <w:tcBorders>
                    <w:tl2br w:val="nil"/>
                    <w:tr2bl w:val="nil"/>
                  </w:tcBorders>
                  <w:vAlign w:val="center"/>
                </w:tcPr>
                <w:p w14:paraId="370E5F22">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bCs w:val="0"/>
                      <w:sz w:val="21"/>
                      <w:vertAlign w:val="baseline"/>
                      <w:lang w:val="en-US" w:eastAsia="zh-CN"/>
                    </w:rPr>
                  </w:pPr>
                  <w:r>
                    <w:rPr>
                      <w:rFonts w:hint="eastAsia" w:ascii="Times New Roman" w:hAnsi="Times New Roman" w:eastAsia="宋体"/>
                      <w:b w:val="0"/>
                      <w:bCs w:val="0"/>
                      <w:sz w:val="21"/>
                      <w:vertAlign w:val="baseline"/>
                      <w:lang w:val="en-US" w:eastAsia="zh-CN"/>
                    </w:rPr>
                    <w:t>有机废气处理设施监测结果</w:t>
                  </w:r>
                </w:p>
              </w:tc>
            </w:tr>
            <w:tr w14:paraId="36F62F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4" w:type="dxa"/>
                  <w:tcBorders>
                    <w:tl2br w:val="nil"/>
                    <w:tr2bl w:val="nil"/>
                  </w:tcBorders>
                  <w:vAlign w:val="center"/>
                </w:tcPr>
                <w:p w14:paraId="612659D8">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bCs w:val="0"/>
                      <w:sz w:val="21"/>
                      <w:vertAlign w:val="baseline"/>
                      <w:lang w:val="en-US" w:eastAsia="zh-CN"/>
                    </w:rPr>
                  </w:pPr>
                  <w:r>
                    <w:rPr>
                      <w:rFonts w:hint="eastAsia" w:ascii="Times New Roman" w:hAnsi="Times New Roman" w:eastAsia="宋体"/>
                      <w:b w:val="0"/>
                      <w:bCs w:val="0"/>
                      <w:sz w:val="21"/>
                      <w:vertAlign w:val="baseline"/>
                      <w:lang w:val="en-US" w:eastAsia="zh-CN"/>
                    </w:rPr>
                    <w:t>监测因子</w:t>
                  </w:r>
                </w:p>
              </w:tc>
              <w:tc>
                <w:tcPr>
                  <w:tcW w:w="735" w:type="dxa"/>
                  <w:tcBorders>
                    <w:tl2br w:val="nil"/>
                    <w:tr2bl w:val="nil"/>
                  </w:tcBorders>
                  <w:vAlign w:val="center"/>
                </w:tcPr>
                <w:p w14:paraId="0AE42588">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bCs w:val="0"/>
                      <w:sz w:val="21"/>
                      <w:vertAlign w:val="baseline"/>
                      <w:lang w:val="en-US" w:eastAsia="zh-CN"/>
                    </w:rPr>
                  </w:pPr>
                  <w:r>
                    <w:rPr>
                      <w:rFonts w:hint="eastAsia" w:ascii="Times New Roman" w:hAnsi="Times New Roman" w:eastAsia="宋体"/>
                      <w:b w:val="0"/>
                      <w:bCs w:val="0"/>
                      <w:sz w:val="21"/>
                      <w:vertAlign w:val="baseline"/>
                      <w:lang w:val="en-US" w:eastAsia="zh-CN"/>
                    </w:rPr>
                    <w:t>日期</w:t>
                  </w:r>
                </w:p>
              </w:tc>
              <w:tc>
                <w:tcPr>
                  <w:tcW w:w="705" w:type="dxa"/>
                  <w:tcBorders>
                    <w:tl2br w:val="nil"/>
                    <w:tr2bl w:val="nil"/>
                  </w:tcBorders>
                  <w:vAlign w:val="center"/>
                </w:tcPr>
                <w:p w14:paraId="3A55E273">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bCs w:val="0"/>
                      <w:sz w:val="21"/>
                      <w:vertAlign w:val="baseline"/>
                      <w:lang w:val="en-US" w:eastAsia="zh-CN"/>
                    </w:rPr>
                  </w:pPr>
                  <w:r>
                    <w:rPr>
                      <w:rFonts w:hint="eastAsia" w:ascii="Times New Roman" w:hAnsi="Times New Roman" w:eastAsia="宋体"/>
                      <w:b w:val="0"/>
                      <w:bCs w:val="0"/>
                      <w:sz w:val="21"/>
                      <w:vertAlign w:val="baseline"/>
                      <w:lang w:val="en-US" w:eastAsia="zh-CN"/>
                    </w:rPr>
                    <w:t>监测点位</w:t>
                  </w:r>
                </w:p>
              </w:tc>
              <w:tc>
                <w:tcPr>
                  <w:tcW w:w="1275" w:type="dxa"/>
                  <w:tcBorders>
                    <w:tl2br w:val="nil"/>
                    <w:tr2bl w:val="nil"/>
                  </w:tcBorders>
                  <w:vAlign w:val="center"/>
                </w:tcPr>
                <w:p w14:paraId="2CA9F408">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bCs w:val="0"/>
                      <w:sz w:val="21"/>
                      <w:vertAlign w:val="baseline"/>
                      <w:lang w:val="en-US" w:eastAsia="zh-CN"/>
                    </w:rPr>
                  </w:pPr>
                  <w:r>
                    <w:rPr>
                      <w:rFonts w:hint="eastAsia" w:ascii="Times New Roman" w:hAnsi="Times New Roman" w:eastAsia="宋体"/>
                      <w:b w:val="0"/>
                      <w:bCs w:val="0"/>
                      <w:sz w:val="21"/>
                      <w:vertAlign w:val="baseline"/>
                      <w:lang w:val="en-US" w:eastAsia="zh-CN"/>
                    </w:rPr>
                    <w:t>测试项目</w:t>
                  </w:r>
                </w:p>
              </w:tc>
              <w:tc>
                <w:tcPr>
                  <w:tcW w:w="1140" w:type="dxa"/>
                  <w:tcBorders>
                    <w:tl2br w:val="nil"/>
                    <w:tr2bl w:val="nil"/>
                  </w:tcBorders>
                  <w:vAlign w:val="center"/>
                </w:tcPr>
                <w:p w14:paraId="463A359E">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bCs w:val="0"/>
                      <w:sz w:val="21"/>
                      <w:vertAlign w:val="baseline"/>
                      <w:lang w:val="en-US" w:eastAsia="zh-CN"/>
                    </w:rPr>
                  </w:pPr>
                  <w:r>
                    <w:rPr>
                      <w:rFonts w:hint="eastAsia" w:ascii="Times New Roman" w:hAnsi="Times New Roman" w:eastAsia="宋体"/>
                      <w:b w:val="0"/>
                      <w:bCs w:val="0"/>
                      <w:sz w:val="21"/>
                      <w:vertAlign w:val="baseline"/>
                      <w:lang w:val="en-US" w:eastAsia="zh-CN"/>
                    </w:rPr>
                    <w:t>第一次</w:t>
                  </w:r>
                </w:p>
              </w:tc>
              <w:tc>
                <w:tcPr>
                  <w:tcW w:w="1320" w:type="dxa"/>
                  <w:tcBorders>
                    <w:tl2br w:val="nil"/>
                    <w:tr2bl w:val="nil"/>
                  </w:tcBorders>
                  <w:vAlign w:val="center"/>
                </w:tcPr>
                <w:p w14:paraId="189044ED">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bCs w:val="0"/>
                      <w:sz w:val="21"/>
                      <w:vertAlign w:val="baseline"/>
                      <w:lang w:val="en-US" w:eastAsia="zh-CN"/>
                    </w:rPr>
                  </w:pPr>
                  <w:r>
                    <w:rPr>
                      <w:rFonts w:hint="eastAsia" w:ascii="Times New Roman" w:hAnsi="Times New Roman" w:eastAsia="宋体"/>
                      <w:b w:val="0"/>
                      <w:bCs w:val="0"/>
                      <w:sz w:val="21"/>
                      <w:vertAlign w:val="baseline"/>
                      <w:lang w:val="en-US" w:eastAsia="zh-CN"/>
                    </w:rPr>
                    <w:t>第二次</w:t>
                  </w:r>
                </w:p>
              </w:tc>
              <w:tc>
                <w:tcPr>
                  <w:tcW w:w="1170" w:type="dxa"/>
                  <w:tcBorders>
                    <w:tl2br w:val="nil"/>
                    <w:tr2bl w:val="nil"/>
                  </w:tcBorders>
                  <w:vAlign w:val="center"/>
                </w:tcPr>
                <w:p w14:paraId="41A9EF13">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bCs w:val="0"/>
                      <w:sz w:val="21"/>
                      <w:vertAlign w:val="baseline"/>
                      <w:lang w:val="en-US" w:eastAsia="zh-CN"/>
                    </w:rPr>
                  </w:pPr>
                  <w:r>
                    <w:rPr>
                      <w:rFonts w:hint="eastAsia" w:ascii="Times New Roman" w:hAnsi="Times New Roman" w:eastAsia="宋体"/>
                      <w:b w:val="0"/>
                      <w:bCs w:val="0"/>
                      <w:sz w:val="21"/>
                      <w:vertAlign w:val="baseline"/>
                      <w:lang w:val="en-US" w:eastAsia="zh-CN"/>
                    </w:rPr>
                    <w:t>第三次</w:t>
                  </w:r>
                </w:p>
              </w:tc>
              <w:tc>
                <w:tcPr>
                  <w:tcW w:w="946" w:type="dxa"/>
                  <w:tcBorders>
                    <w:tl2br w:val="nil"/>
                    <w:tr2bl w:val="nil"/>
                  </w:tcBorders>
                  <w:vAlign w:val="center"/>
                </w:tcPr>
                <w:p w14:paraId="6F2FC1E2">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bCs w:val="0"/>
                      <w:sz w:val="21"/>
                      <w:vertAlign w:val="baseline"/>
                      <w:lang w:val="en-US" w:eastAsia="zh-CN"/>
                    </w:rPr>
                  </w:pPr>
                  <w:r>
                    <w:rPr>
                      <w:rFonts w:hint="eastAsia" w:ascii="Times New Roman" w:hAnsi="Times New Roman" w:eastAsia="宋体"/>
                      <w:b w:val="0"/>
                      <w:bCs w:val="0"/>
                      <w:sz w:val="21"/>
                      <w:vertAlign w:val="baseline"/>
                      <w:lang w:val="en-US" w:eastAsia="zh-CN"/>
                    </w:rPr>
                    <w:t>标准值</w:t>
                  </w:r>
                </w:p>
              </w:tc>
            </w:tr>
            <w:tr w14:paraId="1C576A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4" w:type="dxa"/>
                  <w:vMerge w:val="restart"/>
                  <w:tcBorders>
                    <w:tl2br w:val="nil"/>
                    <w:tr2bl w:val="nil"/>
                  </w:tcBorders>
                  <w:vAlign w:val="center"/>
                </w:tcPr>
                <w:p w14:paraId="03D2EEAF">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非甲烷总烃</w:t>
                  </w:r>
                </w:p>
              </w:tc>
              <w:tc>
                <w:tcPr>
                  <w:tcW w:w="735" w:type="dxa"/>
                  <w:vMerge w:val="restart"/>
                  <w:tcBorders>
                    <w:tl2br w:val="nil"/>
                    <w:tr2bl w:val="nil"/>
                  </w:tcBorders>
                  <w:vAlign w:val="center"/>
                </w:tcPr>
                <w:p w14:paraId="0C0ACAEA">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2022年11月26日</w:t>
                  </w:r>
                </w:p>
              </w:tc>
              <w:tc>
                <w:tcPr>
                  <w:tcW w:w="705" w:type="dxa"/>
                  <w:vMerge w:val="restart"/>
                  <w:tcBorders>
                    <w:tl2br w:val="nil"/>
                    <w:tr2bl w:val="nil"/>
                  </w:tcBorders>
                  <w:vAlign w:val="center"/>
                </w:tcPr>
                <w:p w14:paraId="50EFC857">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废气进口</w:t>
                  </w:r>
                </w:p>
              </w:tc>
              <w:tc>
                <w:tcPr>
                  <w:tcW w:w="1275" w:type="dxa"/>
                  <w:tcBorders>
                    <w:tl2br w:val="nil"/>
                    <w:tr2bl w:val="nil"/>
                  </w:tcBorders>
                  <w:vAlign w:val="center"/>
                </w:tcPr>
                <w:p w14:paraId="46A8D15E">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排放浓度mg/m</w:t>
                  </w:r>
                  <w:r>
                    <w:rPr>
                      <w:rFonts w:hint="eastAsia" w:ascii="Times New Roman" w:hAnsi="Times New Roman" w:eastAsia="宋体"/>
                      <w:b w:val="0"/>
                      <w:sz w:val="21"/>
                      <w:vertAlign w:val="superscript"/>
                      <w:lang w:val="en-US" w:eastAsia="zh-CN"/>
                    </w:rPr>
                    <w:t>3</w:t>
                  </w:r>
                </w:p>
              </w:tc>
              <w:tc>
                <w:tcPr>
                  <w:tcW w:w="1140" w:type="dxa"/>
                  <w:tcBorders>
                    <w:tl2br w:val="nil"/>
                    <w:tr2bl w:val="nil"/>
                  </w:tcBorders>
                  <w:vAlign w:val="center"/>
                </w:tcPr>
                <w:p w14:paraId="44E27B61">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27.3</w:t>
                  </w:r>
                </w:p>
              </w:tc>
              <w:tc>
                <w:tcPr>
                  <w:tcW w:w="1320" w:type="dxa"/>
                  <w:tcBorders>
                    <w:tl2br w:val="nil"/>
                    <w:tr2bl w:val="nil"/>
                  </w:tcBorders>
                  <w:vAlign w:val="center"/>
                </w:tcPr>
                <w:p w14:paraId="22877242">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27.0</w:t>
                  </w:r>
                </w:p>
              </w:tc>
              <w:tc>
                <w:tcPr>
                  <w:tcW w:w="1170" w:type="dxa"/>
                  <w:tcBorders>
                    <w:tl2br w:val="nil"/>
                    <w:tr2bl w:val="nil"/>
                  </w:tcBorders>
                  <w:vAlign w:val="center"/>
                </w:tcPr>
                <w:p w14:paraId="6017D546">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25.6</w:t>
                  </w:r>
                </w:p>
              </w:tc>
              <w:tc>
                <w:tcPr>
                  <w:tcW w:w="946" w:type="dxa"/>
                  <w:tcBorders>
                    <w:tl2br w:val="nil"/>
                    <w:tr2bl w:val="nil"/>
                  </w:tcBorders>
                  <w:vAlign w:val="center"/>
                </w:tcPr>
                <w:p w14:paraId="3EA06D4D">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w:t>
                  </w:r>
                </w:p>
              </w:tc>
            </w:tr>
            <w:tr w14:paraId="5476FF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4" w:type="dxa"/>
                  <w:vMerge w:val="continue"/>
                  <w:tcBorders>
                    <w:tl2br w:val="nil"/>
                    <w:tr2bl w:val="nil"/>
                  </w:tcBorders>
                  <w:vAlign w:val="center"/>
                </w:tcPr>
                <w:p w14:paraId="203C308A">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p>
              </w:tc>
              <w:tc>
                <w:tcPr>
                  <w:tcW w:w="735" w:type="dxa"/>
                  <w:vMerge w:val="continue"/>
                  <w:tcBorders>
                    <w:tl2br w:val="nil"/>
                    <w:tr2bl w:val="nil"/>
                  </w:tcBorders>
                  <w:vAlign w:val="center"/>
                </w:tcPr>
                <w:p w14:paraId="446F29FD">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p>
              </w:tc>
              <w:tc>
                <w:tcPr>
                  <w:tcW w:w="705" w:type="dxa"/>
                  <w:vMerge w:val="continue"/>
                  <w:tcBorders>
                    <w:tl2br w:val="nil"/>
                    <w:tr2bl w:val="nil"/>
                  </w:tcBorders>
                  <w:vAlign w:val="center"/>
                </w:tcPr>
                <w:p w14:paraId="34F396FC">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p>
              </w:tc>
              <w:tc>
                <w:tcPr>
                  <w:tcW w:w="1275" w:type="dxa"/>
                  <w:tcBorders>
                    <w:tl2br w:val="nil"/>
                    <w:tr2bl w:val="nil"/>
                  </w:tcBorders>
                  <w:vAlign w:val="center"/>
                </w:tcPr>
                <w:p w14:paraId="768AFAA6">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排放速率kg/h</w:t>
                  </w:r>
                </w:p>
              </w:tc>
              <w:tc>
                <w:tcPr>
                  <w:tcW w:w="1140" w:type="dxa"/>
                  <w:tcBorders>
                    <w:tl2br w:val="nil"/>
                    <w:tr2bl w:val="nil"/>
                  </w:tcBorders>
                  <w:vAlign w:val="center"/>
                </w:tcPr>
                <w:p w14:paraId="68F051DA">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0.163</w:t>
                  </w:r>
                </w:p>
              </w:tc>
              <w:tc>
                <w:tcPr>
                  <w:tcW w:w="1320" w:type="dxa"/>
                  <w:tcBorders>
                    <w:tl2br w:val="nil"/>
                    <w:tr2bl w:val="nil"/>
                  </w:tcBorders>
                  <w:vAlign w:val="center"/>
                </w:tcPr>
                <w:p w14:paraId="715B4045">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0.158</w:t>
                  </w:r>
                </w:p>
              </w:tc>
              <w:tc>
                <w:tcPr>
                  <w:tcW w:w="1170" w:type="dxa"/>
                  <w:tcBorders>
                    <w:tl2br w:val="nil"/>
                    <w:tr2bl w:val="nil"/>
                  </w:tcBorders>
                  <w:vAlign w:val="center"/>
                </w:tcPr>
                <w:p w14:paraId="50A2073C">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0.151</w:t>
                  </w:r>
                </w:p>
              </w:tc>
              <w:tc>
                <w:tcPr>
                  <w:tcW w:w="946" w:type="dxa"/>
                  <w:tcBorders>
                    <w:tl2br w:val="nil"/>
                    <w:tr2bl w:val="nil"/>
                  </w:tcBorders>
                  <w:vAlign w:val="center"/>
                </w:tcPr>
                <w:p w14:paraId="4A458EA3">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w:t>
                  </w:r>
                </w:p>
              </w:tc>
            </w:tr>
            <w:tr w14:paraId="0CCDA4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4" w:type="dxa"/>
                  <w:vMerge w:val="continue"/>
                  <w:tcBorders>
                    <w:tl2br w:val="nil"/>
                    <w:tr2bl w:val="nil"/>
                  </w:tcBorders>
                  <w:vAlign w:val="center"/>
                </w:tcPr>
                <w:p w14:paraId="16E6B952">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p>
              </w:tc>
              <w:tc>
                <w:tcPr>
                  <w:tcW w:w="735" w:type="dxa"/>
                  <w:vMerge w:val="continue"/>
                  <w:tcBorders>
                    <w:tl2br w:val="nil"/>
                    <w:tr2bl w:val="nil"/>
                  </w:tcBorders>
                  <w:vAlign w:val="center"/>
                </w:tcPr>
                <w:p w14:paraId="44FEE5C9">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p>
              </w:tc>
              <w:tc>
                <w:tcPr>
                  <w:tcW w:w="705" w:type="dxa"/>
                  <w:vMerge w:val="restart"/>
                  <w:tcBorders>
                    <w:tl2br w:val="nil"/>
                    <w:tr2bl w:val="nil"/>
                  </w:tcBorders>
                  <w:vAlign w:val="center"/>
                </w:tcPr>
                <w:p w14:paraId="2D4699FA">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废气出口</w:t>
                  </w:r>
                </w:p>
              </w:tc>
              <w:tc>
                <w:tcPr>
                  <w:tcW w:w="1275" w:type="dxa"/>
                  <w:tcBorders>
                    <w:tl2br w:val="nil"/>
                    <w:tr2bl w:val="nil"/>
                  </w:tcBorders>
                  <w:vAlign w:val="center"/>
                </w:tcPr>
                <w:p w14:paraId="3BAF4730">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排放浓度mg/m</w:t>
                  </w:r>
                  <w:r>
                    <w:rPr>
                      <w:rFonts w:hint="eastAsia" w:ascii="Times New Roman" w:hAnsi="Times New Roman" w:eastAsia="宋体"/>
                      <w:b w:val="0"/>
                      <w:sz w:val="21"/>
                      <w:vertAlign w:val="superscript"/>
                      <w:lang w:val="en-US" w:eastAsia="zh-CN"/>
                    </w:rPr>
                    <w:t>3</w:t>
                  </w:r>
                </w:p>
              </w:tc>
              <w:tc>
                <w:tcPr>
                  <w:tcW w:w="1140" w:type="dxa"/>
                  <w:tcBorders>
                    <w:tl2br w:val="nil"/>
                    <w:tr2bl w:val="nil"/>
                  </w:tcBorders>
                  <w:vAlign w:val="center"/>
                </w:tcPr>
                <w:p w14:paraId="57443E32">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1.36</w:t>
                  </w:r>
                </w:p>
              </w:tc>
              <w:tc>
                <w:tcPr>
                  <w:tcW w:w="1320" w:type="dxa"/>
                  <w:tcBorders>
                    <w:tl2br w:val="nil"/>
                    <w:tr2bl w:val="nil"/>
                  </w:tcBorders>
                  <w:vAlign w:val="center"/>
                </w:tcPr>
                <w:p w14:paraId="20DE8631">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1.54</w:t>
                  </w:r>
                </w:p>
              </w:tc>
              <w:tc>
                <w:tcPr>
                  <w:tcW w:w="1170" w:type="dxa"/>
                  <w:tcBorders>
                    <w:tl2br w:val="nil"/>
                    <w:tr2bl w:val="nil"/>
                  </w:tcBorders>
                  <w:vAlign w:val="center"/>
                </w:tcPr>
                <w:p w14:paraId="482BA3E2">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1.35</w:t>
                  </w:r>
                </w:p>
              </w:tc>
              <w:tc>
                <w:tcPr>
                  <w:tcW w:w="946" w:type="dxa"/>
                  <w:tcBorders>
                    <w:tl2br w:val="nil"/>
                    <w:tr2bl w:val="nil"/>
                  </w:tcBorders>
                  <w:vAlign w:val="center"/>
                </w:tcPr>
                <w:p w14:paraId="019223EF">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60</w:t>
                  </w:r>
                </w:p>
              </w:tc>
            </w:tr>
            <w:tr w14:paraId="2DE8CB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4" w:type="dxa"/>
                  <w:vMerge w:val="continue"/>
                  <w:tcBorders>
                    <w:tl2br w:val="nil"/>
                    <w:tr2bl w:val="nil"/>
                  </w:tcBorders>
                  <w:vAlign w:val="center"/>
                </w:tcPr>
                <w:p w14:paraId="3A132352">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p>
              </w:tc>
              <w:tc>
                <w:tcPr>
                  <w:tcW w:w="735" w:type="dxa"/>
                  <w:vMerge w:val="continue"/>
                  <w:tcBorders>
                    <w:tl2br w:val="nil"/>
                    <w:tr2bl w:val="nil"/>
                  </w:tcBorders>
                  <w:vAlign w:val="center"/>
                </w:tcPr>
                <w:p w14:paraId="3EA93E16">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p>
              </w:tc>
              <w:tc>
                <w:tcPr>
                  <w:tcW w:w="705" w:type="dxa"/>
                  <w:vMerge w:val="continue"/>
                  <w:tcBorders>
                    <w:tl2br w:val="nil"/>
                    <w:tr2bl w:val="nil"/>
                  </w:tcBorders>
                  <w:vAlign w:val="center"/>
                </w:tcPr>
                <w:p w14:paraId="431A42FE">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p>
              </w:tc>
              <w:tc>
                <w:tcPr>
                  <w:tcW w:w="1275" w:type="dxa"/>
                  <w:tcBorders>
                    <w:tl2br w:val="nil"/>
                    <w:tr2bl w:val="nil"/>
                  </w:tcBorders>
                  <w:vAlign w:val="center"/>
                </w:tcPr>
                <w:p w14:paraId="49D60A98">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排放速率kg/h</w:t>
                  </w:r>
                </w:p>
              </w:tc>
              <w:tc>
                <w:tcPr>
                  <w:tcW w:w="1140" w:type="dxa"/>
                  <w:tcBorders>
                    <w:tl2br w:val="nil"/>
                    <w:tr2bl w:val="nil"/>
                  </w:tcBorders>
                  <w:vAlign w:val="center"/>
                </w:tcPr>
                <w:p w14:paraId="52A2616D">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8.09</w:t>
                  </w:r>
                  <w:r>
                    <w:rPr>
                      <w:rFonts w:hint="eastAsia" w:ascii="Times New Roman" w:hAnsi="Times New Roman"/>
                      <w:b w:val="0"/>
                      <w:sz w:val="21"/>
                      <w:vertAlign w:val="baseline"/>
                      <w:lang w:val="en-US" w:eastAsia="zh-CN"/>
                    </w:rPr>
                    <w:t>×10</w:t>
                  </w:r>
                  <w:r>
                    <w:rPr>
                      <w:rFonts w:hint="eastAsia" w:ascii="Times New Roman" w:hAnsi="Times New Roman"/>
                      <w:b w:val="0"/>
                      <w:sz w:val="21"/>
                      <w:vertAlign w:val="superscript"/>
                      <w:lang w:val="en-US" w:eastAsia="zh-CN"/>
                    </w:rPr>
                    <w:t>-3</w:t>
                  </w:r>
                </w:p>
              </w:tc>
              <w:tc>
                <w:tcPr>
                  <w:tcW w:w="1320" w:type="dxa"/>
                  <w:tcBorders>
                    <w:tl2br w:val="nil"/>
                    <w:tr2bl w:val="nil"/>
                  </w:tcBorders>
                  <w:vAlign w:val="center"/>
                </w:tcPr>
                <w:p w14:paraId="7ED1B5AD">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9.26</w:t>
                  </w:r>
                  <w:r>
                    <w:rPr>
                      <w:rFonts w:hint="eastAsia" w:ascii="Times New Roman" w:hAnsi="Times New Roman"/>
                      <w:b w:val="0"/>
                      <w:sz w:val="21"/>
                      <w:vertAlign w:val="baseline"/>
                      <w:lang w:val="en-US" w:eastAsia="zh-CN"/>
                    </w:rPr>
                    <w:t>×10</w:t>
                  </w:r>
                  <w:r>
                    <w:rPr>
                      <w:rFonts w:hint="eastAsia" w:ascii="Times New Roman" w:hAnsi="Times New Roman"/>
                      <w:b w:val="0"/>
                      <w:sz w:val="21"/>
                      <w:vertAlign w:val="superscript"/>
                      <w:lang w:val="en-US" w:eastAsia="zh-CN"/>
                    </w:rPr>
                    <w:t>-3</w:t>
                  </w:r>
                </w:p>
              </w:tc>
              <w:tc>
                <w:tcPr>
                  <w:tcW w:w="1170" w:type="dxa"/>
                  <w:tcBorders>
                    <w:tl2br w:val="nil"/>
                    <w:tr2bl w:val="nil"/>
                  </w:tcBorders>
                  <w:vAlign w:val="center"/>
                </w:tcPr>
                <w:p w14:paraId="3F410BB1">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8.05</w:t>
                  </w:r>
                  <w:r>
                    <w:rPr>
                      <w:rFonts w:hint="eastAsia" w:ascii="Times New Roman" w:hAnsi="Times New Roman"/>
                      <w:b w:val="0"/>
                      <w:sz w:val="21"/>
                      <w:vertAlign w:val="baseline"/>
                      <w:lang w:val="en-US" w:eastAsia="zh-CN"/>
                    </w:rPr>
                    <w:t>×10</w:t>
                  </w:r>
                  <w:r>
                    <w:rPr>
                      <w:rFonts w:hint="eastAsia" w:ascii="Times New Roman" w:hAnsi="Times New Roman"/>
                      <w:b w:val="0"/>
                      <w:sz w:val="21"/>
                      <w:vertAlign w:val="superscript"/>
                      <w:lang w:val="en-US" w:eastAsia="zh-CN"/>
                    </w:rPr>
                    <w:t>-3</w:t>
                  </w:r>
                </w:p>
              </w:tc>
              <w:tc>
                <w:tcPr>
                  <w:tcW w:w="946" w:type="dxa"/>
                  <w:tcBorders>
                    <w:tl2br w:val="nil"/>
                    <w:tr2bl w:val="nil"/>
                  </w:tcBorders>
                  <w:vAlign w:val="center"/>
                </w:tcPr>
                <w:p w14:paraId="2F329626">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3</w:t>
                  </w:r>
                </w:p>
              </w:tc>
            </w:tr>
            <w:tr w14:paraId="1ED2CA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4" w:type="dxa"/>
                  <w:vMerge w:val="continue"/>
                  <w:tcBorders>
                    <w:tl2br w:val="nil"/>
                    <w:tr2bl w:val="nil"/>
                  </w:tcBorders>
                  <w:vAlign w:val="center"/>
                </w:tcPr>
                <w:p w14:paraId="183EDA1D">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p>
              </w:tc>
              <w:tc>
                <w:tcPr>
                  <w:tcW w:w="735" w:type="dxa"/>
                  <w:vMerge w:val="restart"/>
                  <w:tcBorders>
                    <w:tl2br w:val="nil"/>
                    <w:tr2bl w:val="nil"/>
                  </w:tcBorders>
                  <w:vAlign w:val="center"/>
                </w:tcPr>
                <w:p w14:paraId="6638AB0F">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b w:val="0"/>
                      <w:sz w:val="21"/>
                      <w:vertAlign w:val="baseline"/>
                      <w:lang w:val="en-US" w:eastAsia="zh-CN"/>
                    </w:rPr>
                    <w:t>2022年11月27日</w:t>
                  </w:r>
                </w:p>
              </w:tc>
              <w:tc>
                <w:tcPr>
                  <w:tcW w:w="705" w:type="dxa"/>
                  <w:vMerge w:val="restart"/>
                  <w:tcBorders>
                    <w:tl2br w:val="nil"/>
                    <w:tr2bl w:val="nil"/>
                  </w:tcBorders>
                  <w:vAlign w:val="center"/>
                </w:tcPr>
                <w:p w14:paraId="7B4F6EC2">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废气进口</w:t>
                  </w:r>
                </w:p>
              </w:tc>
              <w:tc>
                <w:tcPr>
                  <w:tcW w:w="1275" w:type="dxa"/>
                  <w:tcBorders>
                    <w:tl2br w:val="nil"/>
                    <w:tr2bl w:val="nil"/>
                  </w:tcBorders>
                  <w:vAlign w:val="center"/>
                </w:tcPr>
                <w:p w14:paraId="4D44FF33">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排放浓度mg/m</w:t>
                  </w:r>
                  <w:r>
                    <w:rPr>
                      <w:rFonts w:hint="eastAsia" w:ascii="Times New Roman" w:hAnsi="Times New Roman" w:eastAsia="宋体"/>
                      <w:b w:val="0"/>
                      <w:sz w:val="21"/>
                      <w:vertAlign w:val="superscript"/>
                      <w:lang w:val="en-US" w:eastAsia="zh-CN"/>
                    </w:rPr>
                    <w:t>3</w:t>
                  </w:r>
                </w:p>
              </w:tc>
              <w:tc>
                <w:tcPr>
                  <w:tcW w:w="1140" w:type="dxa"/>
                  <w:tcBorders>
                    <w:tl2br w:val="nil"/>
                    <w:tr2bl w:val="nil"/>
                  </w:tcBorders>
                  <w:vAlign w:val="center"/>
                </w:tcPr>
                <w:p w14:paraId="2FBED28B">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25.4</w:t>
                  </w:r>
                </w:p>
              </w:tc>
              <w:tc>
                <w:tcPr>
                  <w:tcW w:w="1320" w:type="dxa"/>
                  <w:tcBorders>
                    <w:tl2br w:val="nil"/>
                    <w:tr2bl w:val="nil"/>
                  </w:tcBorders>
                  <w:vAlign w:val="center"/>
                </w:tcPr>
                <w:p w14:paraId="5299BF32">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26.6</w:t>
                  </w:r>
                </w:p>
              </w:tc>
              <w:tc>
                <w:tcPr>
                  <w:tcW w:w="1170" w:type="dxa"/>
                  <w:tcBorders>
                    <w:tl2br w:val="nil"/>
                    <w:tr2bl w:val="nil"/>
                  </w:tcBorders>
                  <w:vAlign w:val="center"/>
                </w:tcPr>
                <w:p w14:paraId="56D8020F">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25.2</w:t>
                  </w:r>
                </w:p>
              </w:tc>
              <w:tc>
                <w:tcPr>
                  <w:tcW w:w="946" w:type="dxa"/>
                  <w:tcBorders>
                    <w:tl2br w:val="nil"/>
                    <w:tr2bl w:val="nil"/>
                  </w:tcBorders>
                  <w:vAlign w:val="center"/>
                </w:tcPr>
                <w:p w14:paraId="274B6544">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w:t>
                  </w:r>
                </w:p>
              </w:tc>
            </w:tr>
            <w:tr w14:paraId="6BE19C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4" w:type="dxa"/>
                  <w:vMerge w:val="continue"/>
                  <w:tcBorders>
                    <w:tl2br w:val="nil"/>
                    <w:tr2bl w:val="nil"/>
                  </w:tcBorders>
                  <w:vAlign w:val="center"/>
                </w:tcPr>
                <w:p w14:paraId="69A1182F">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p>
              </w:tc>
              <w:tc>
                <w:tcPr>
                  <w:tcW w:w="735" w:type="dxa"/>
                  <w:vMerge w:val="continue"/>
                  <w:tcBorders>
                    <w:tl2br w:val="nil"/>
                    <w:tr2bl w:val="nil"/>
                  </w:tcBorders>
                  <w:vAlign w:val="center"/>
                </w:tcPr>
                <w:p w14:paraId="427E1545">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p>
              </w:tc>
              <w:tc>
                <w:tcPr>
                  <w:tcW w:w="705" w:type="dxa"/>
                  <w:vMerge w:val="continue"/>
                  <w:tcBorders>
                    <w:tl2br w:val="nil"/>
                    <w:tr2bl w:val="nil"/>
                  </w:tcBorders>
                  <w:vAlign w:val="center"/>
                </w:tcPr>
                <w:p w14:paraId="1AC8BB71">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p>
              </w:tc>
              <w:tc>
                <w:tcPr>
                  <w:tcW w:w="1275" w:type="dxa"/>
                  <w:tcBorders>
                    <w:tl2br w:val="nil"/>
                    <w:tr2bl w:val="nil"/>
                  </w:tcBorders>
                  <w:vAlign w:val="center"/>
                </w:tcPr>
                <w:p w14:paraId="23C48723">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排放速率kg/h</w:t>
                  </w:r>
                </w:p>
              </w:tc>
              <w:tc>
                <w:tcPr>
                  <w:tcW w:w="1140" w:type="dxa"/>
                  <w:tcBorders>
                    <w:tl2br w:val="nil"/>
                    <w:tr2bl w:val="nil"/>
                  </w:tcBorders>
                  <w:vAlign w:val="center"/>
                </w:tcPr>
                <w:p w14:paraId="4643F66A">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0.148</w:t>
                  </w:r>
                </w:p>
              </w:tc>
              <w:tc>
                <w:tcPr>
                  <w:tcW w:w="1320" w:type="dxa"/>
                  <w:tcBorders>
                    <w:tl2br w:val="nil"/>
                    <w:tr2bl w:val="nil"/>
                  </w:tcBorders>
                  <w:vAlign w:val="center"/>
                </w:tcPr>
                <w:p w14:paraId="46A7FC09">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0.156</w:t>
                  </w:r>
                </w:p>
              </w:tc>
              <w:tc>
                <w:tcPr>
                  <w:tcW w:w="1170" w:type="dxa"/>
                  <w:tcBorders>
                    <w:tl2br w:val="nil"/>
                    <w:tr2bl w:val="nil"/>
                  </w:tcBorders>
                  <w:vAlign w:val="center"/>
                </w:tcPr>
                <w:p w14:paraId="32C1EEC7">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0.147</w:t>
                  </w:r>
                </w:p>
              </w:tc>
              <w:tc>
                <w:tcPr>
                  <w:tcW w:w="946" w:type="dxa"/>
                  <w:tcBorders>
                    <w:tl2br w:val="nil"/>
                    <w:tr2bl w:val="nil"/>
                  </w:tcBorders>
                  <w:vAlign w:val="center"/>
                </w:tcPr>
                <w:p w14:paraId="361296D2">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w:t>
                  </w:r>
                </w:p>
              </w:tc>
            </w:tr>
            <w:tr w14:paraId="3B31D7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4" w:type="dxa"/>
                  <w:vMerge w:val="continue"/>
                  <w:tcBorders>
                    <w:tl2br w:val="nil"/>
                    <w:tr2bl w:val="nil"/>
                  </w:tcBorders>
                  <w:vAlign w:val="center"/>
                </w:tcPr>
                <w:p w14:paraId="5F71E080">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p>
              </w:tc>
              <w:tc>
                <w:tcPr>
                  <w:tcW w:w="735" w:type="dxa"/>
                  <w:vMerge w:val="continue"/>
                  <w:tcBorders>
                    <w:tl2br w:val="nil"/>
                    <w:tr2bl w:val="nil"/>
                  </w:tcBorders>
                  <w:vAlign w:val="center"/>
                </w:tcPr>
                <w:p w14:paraId="1C8C2972">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p>
              </w:tc>
              <w:tc>
                <w:tcPr>
                  <w:tcW w:w="705" w:type="dxa"/>
                  <w:vMerge w:val="restart"/>
                  <w:tcBorders>
                    <w:tl2br w:val="nil"/>
                    <w:tr2bl w:val="nil"/>
                  </w:tcBorders>
                  <w:vAlign w:val="center"/>
                </w:tcPr>
                <w:p w14:paraId="7C195571">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废气出口</w:t>
                  </w:r>
                </w:p>
              </w:tc>
              <w:tc>
                <w:tcPr>
                  <w:tcW w:w="1275" w:type="dxa"/>
                  <w:tcBorders>
                    <w:tl2br w:val="nil"/>
                    <w:tr2bl w:val="nil"/>
                  </w:tcBorders>
                  <w:vAlign w:val="center"/>
                </w:tcPr>
                <w:p w14:paraId="51E039B1">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排放浓度mg/m</w:t>
                  </w:r>
                  <w:r>
                    <w:rPr>
                      <w:rFonts w:hint="eastAsia" w:ascii="Times New Roman" w:hAnsi="Times New Roman" w:eastAsia="宋体"/>
                      <w:b w:val="0"/>
                      <w:sz w:val="21"/>
                      <w:vertAlign w:val="superscript"/>
                      <w:lang w:val="en-US" w:eastAsia="zh-CN"/>
                    </w:rPr>
                    <w:t>3</w:t>
                  </w:r>
                </w:p>
              </w:tc>
              <w:tc>
                <w:tcPr>
                  <w:tcW w:w="1140" w:type="dxa"/>
                  <w:tcBorders>
                    <w:tl2br w:val="nil"/>
                    <w:tr2bl w:val="nil"/>
                  </w:tcBorders>
                  <w:vAlign w:val="center"/>
                </w:tcPr>
                <w:p w14:paraId="108D77FF">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1.45</w:t>
                  </w:r>
                </w:p>
              </w:tc>
              <w:tc>
                <w:tcPr>
                  <w:tcW w:w="1320" w:type="dxa"/>
                  <w:tcBorders>
                    <w:tl2br w:val="nil"/>
                    <w:tr2bl w:val="nil"/>
                  </w:tcBorders>
                  <w:vAlign w:val="center"/>
                </w:tcPr>
                <w:p w14:paraId="4D8DADA9">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1.55</w:t>
                  </w:r>
                </w:p>
              </w:tc>
              <w:tc>
                <w:tcPr>
                  <w:tcW w:w="1170" w:type="dxa"/>
                  <w:tcBorders>
                    <w:tl2br w:val="nil"/>
                    <w:tr2bl w:val="nil"/>
                  </w:tcBorders>
                  <w:vAlign w:val="center"/>
                </w:tcPr>
                <w:p w14:paraId="5F01B9DC">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1.40</w:t>
                  </w:r>
                </w:p>
              </w:tc>
              <w:tc>
                <w:tcPr>
                  <w:tcW w:w="946" w:type="dxa"/>
                  <w:tcBorders>
                    <w:tl2br w:val="nil"/>
                    <w:tr2bl w:val="nil"/>
                  </w:tcBorders>
                  <w:vAlign w:val="center"/>
                </w:tcPr>
                <w:p w14:paraId="178ED31F">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60</w:t>
                  </w:r>
                </w:p>
              </w:tc>
            </w:tr>
            <w:tr w14:paraId="5D2AD6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4" w:type="dxa"/>
                  <w:vMerge w:val="continue"/>
                  <w:tcBorders>
                    <w:tl2br w:val="nil"/>
                    <w:tr2bl w:val="nil"/>
                  </w:tcBorders>
                  <w:vAlign w:val="center"/>
                </w:tcPr>
                <w:p w14:paraId="32DDB39A">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p>
              </w:tc>
              <w:tc>
                <w:tcPr>
                  <w:tcW w:w="735" w:type="dxa"/>
                  <w:vMerge w:val="continue"/>
                  <w:tcBorders>
                    <w:tl2br w:val="nil"/>
                    <w:tr2bl w:val="nil"/>
                  </w:tcBorders>
                  <w:vAlign w:val="center"/>
                </w:tcPr>
                <w:p w14:paraId="0B999445">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p>
              </w:tc>
              <w:tc>
                <w:tcPr>
                  <w:tcW w:w="705" w:type="dxa"/>
                  <w:vMerge w:val="continue"/>
                  <w:tcBorders>
                    <w:tl2br w:val="nil"/>
                    <w:tr2bl w:val="nil"/>
                  </w:tcBorders>
                  <w:vAlign w:val="center"/>
                </w:tcPr>
                <w:p w14:paraId="56F826D9">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p>
              </w:tc>
              <w:tc>
                <w:tcPr>
                  <w:tcW w:w="1275" w:type="dxa"/>
                  <w:tcBorders>
                    <w:tl2br w:val="nil"/>
                    <w:tr2bl w:val="nil"/>
                  </w:tcBorders>
                  <w:vAlign w:val="center"/>
                </w:tcPr>
                <w:p w14:paraId="37EC177A">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排放速率kg/h</w:t>
                  </w:r>
                </w:p>
              </w:tc>
              <w:tc>
                <w:tcPr>
                  <w:tcW w:w="1140" w:type="dxa"/>
                  <w:tcBorders>
                    <w:tl2br w:val="nil"/>
                    <w:tr2bl w:val="nil"/>
                  </w:tcBorders>
                  <w:vAlign w:val="center"/>
                </w:tcPr>
                <w:p w14:paraId="345DA89C">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8.</w:t>
                  </w:r>
                  <w:r>
                    <w:rPr>
                      <w:rFonts w:hint="eastAsia" w:ascii="Times New Roman" w:hAnsi="Times New Roman"/>
                      <w:b w:val="0"/>
                      <w:sz w:val="21"/>
                      <w:vertAlign w:val="baseline"/>
                      <w:lang w:val="en-US" w:eastAsia="zh-CN"/>
                    </w:rPr>
                    <w:t>66×10</w:t>
                  </w:r>
                  <w:r>
                    <w:rPr>
                      <w:rFonts w:hint="eastAsia" w:ascii="Times New Roman" w:hAnsi="Times New Roman"/>
                      <w:b w:val="0"/>
                      <w:sz w:val="21"/>
                      <w:vertAlign w:val="superscript"/>
                      <w:lang w:val="en-US" w:eastAsia="zh-CN"/>
                    </w:rPr>
                    <w:t>-3</w:t>
                  </w:r>
                </w:p>
              </w:tc>
              <w:tc>
                <w:tcPr>
                  <w:tcW w:w="1320" w:type="dxa"/>
                  <w:tcBorders>
                    <w:tl2br w:val="nil"/>
                    <w:tr2bl w:val="nil"/>
                  </w:tcBorders>
                  <w:vAlign w:val="center"/>
                </w:tcPr>
                <w:p w14:paraId="41BEF04A">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9.</w:t>
                  </w:r>
                  <w:r>
                    <w:rPr>
                      <w:rFonts w:hint="eastAsia" w:ascii="Times New Roman" w:hAnsi="Times New Roman"/>
                      <w:b w:val="0"/>
                      <w:sz w:val="21"/>
                      <w:vertAlign w:val="baseline"/>
                      <w:lang w:val="en-US" w:eastAsia="zh-CN"/>
                    </w:rPr>
                    <w:t>34×10</w:t>
                  </w:r>
                  <w:r>
                    <w:rPr>
                      <w:rFonts w:hint="eastAsia" w:ascii="Times New Roman" w:hAnsi="Times New Roman"/>
                      <w:b w:val="0"/>
                      <w:sz w:val="21"/>
                      <w:vertAlign w:val="superscript"/>
                      <w:lang w:val="en-US" w:eastAsia="zh-CN"/>
                    </w:rPr>
                    <w:t>-3</w:t>
                  </w:r>
                </w:p>
              </w:tc>
              <w:tc>
                <w:tcPr>
                  <w:tcW w:w="1170" w:type="dxa"/>
                  <w:tcBorders>
                    <w:tl2br w:val="nil"/>
                    <w:tr2bl w:val="nil"/>
                  </w:tcBorders>
                  <w:vAlign w:val="center"/>
                </w:tcPr>
                <w:p w14:paraId="38A5991D">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8.</w:t>
                  </w:r>
                  <w:r>
                    <w:rPr>
                      <w:rFonts w:hint="eastAsia" w:ascii="Times New Roman" w:hAnsi="Times New Roman"/>
                      <w:b w:val="0"/>
                      <w:sz w:val="21"/>
                      <w:vertAlign w:val="baseline"/>
                      <w:lang w:val="en-US" w:eastAsia="zh-CN"/>
                    </w:rPr>
                    <w:t>36×10</w:t>
                  </w:r>
                  <w:r>
                    <w:rPr>
                      <w:rFonts w:hint="eastAsia" w:ascii="Times New Roman" w:hAnsi="Times New Roman"/>
                      <w:b w:val="0"/>
                      <w:sz w:val="21"/>
                      <w:vertAlign w:val="superscript"/>
                      <w:lang w:val="en-US" w:eastAsia="zh-CN"/>
                    </w:rPr>
                    <w:t>-3</w:t>
                  </w:r>
                </w:p>
              </w:tc>
              <w:tc>
                <w:tcPr>
                  <w:tcW w:w="946" w:type="dxa"/>
                  <w:tcBorders>
                    <w:tl2br w:val="nil"/>
                    <w:tr2bl w:val="nil"/>
                  </w:tcBorders>
                  <w:vAlign w:val="center"/>
                </w:tcPr>
                <w:p w14:paraId="6399BF40">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b w:val="0"/>
                      <w:sz w:val="21"/>
                      <w:vertAlign w:val="baseline"/>
                      <w:lang w:val="en-US" w:eastAsia="zh-CN"/>
                    </w:rPr>
                  </w:pPr>
                  <w:r>
                    <w:rPr>
                      <w:rFonts w:hint="eastAsia" w:ascii="Times New Roman" w:hAnsi="Times New Roman" w:eastAsia="宋体"/>
                      <w:b w:val="0"/>
                      <w:sz w:val="21"/>
                      <w:vertAlign w:val="baseline"/>
                      <w:lang w:val="en-US" w:eastAsia="zh-CN"/>
                    </w:rPr>
                    <w:t>3</w:t>
                  </w:r>
                </w:p>
              </w:tc>
            </w:tr>
          </w:tbl>
          <w:p w14:paraId="6614D3AF">
            <w:pPr>
              <w:pStyle w:val="6"/>
              <w:ind w:left="0" w:leftChars="0" w:firstLine="0" w:firstLineChars="0"/>
              <w:rPr>
                <w:rFonts w:hint="eastAsia"/>
                <w:lang w:val="en-US" w:eastAsia="zh-CN"/>
              </w:rPr>
            </w:pPr>
          </w:p>
          <w:p w14:paraId="74F9E56E">
            <w:pPr>
              <w:pStyle w:val="6"/>
              <w:ind w:left="0" w:leftChars="0" w:firstLine="0" w:firstLineChars="0"/>
              <w:rPr>
                <w:rFonts w:hint="eastAsia"/>
                <w:lang w:val="en-US" w:eastAsia="zh-CN"/>
              </w:rPr>
            </w:pPr>
          </w:p>
          <w:p w14:paraId="4D3220A2">
            <w:pPr>
              <w:pStyle w:val="6"/>
              <w:ind w:left="0" w:leftChars="0" w:firstLine="0" w:firstLineChars="0"/>
              <w:rPr>
                <w:rFonts w:hint="eastAsia"/>
                <w:lang w:val="en-US" w:eastAsia="zh-CN"/>
              </w:rPr>
            </w:pPr>
          </w:p>
          <w:p w14:paraId="3E30DD23">
            <w:pPr>
              <w:pStyle w:val="6"/>
              <w:ind w:left="0" w:leftChars="0" w:firstLine="0" w:firstLineChars="0"/>
              <w:rPr>
                <w:rFonts w:hint="eastAsia"/>
                <w:lang w:val="en-US" w:eastAsia="zh-CN"/>
              </w:rPr>
            </w:pPr>
          </w:p>
          <w:p w14:paraId="4CF807F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r>
              <w:rPr>
                <w:rFonts w:hint="eastAsia"/>
                <w:b/>
                <w:bCs/>
                <w:sz w:val="21"/>
                <w:lang w:val="en-US" w:eastAsia="zh-CN"/>
              </w:rPr>
              <w:t>表2-16  无组织废气监测数据</w:t>
            </w:r>
          </w:p>
          <w:tbl>
            <w:tblPr>
              <w:tblStyle w:val="23"/>
              <w:tblW w:w="7945"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3"/>
              <w:gridCol w:w="993"/>
              <w:gridCol w:w="993"/>
              <w:gridCol w:w="993"/>
              <w:gridCol w:w="993"/>
              <w:gridCol w:w="993"/>
              <w:gridCol w:w="994"/>
            </w:tblGrid>
            <w:tr w14:paraId="0D6E36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restart"/>
                  <w:tcBorders>
                    <w:tl2br w:val="nil"/>
                    <w:tr2bl w:val="nil"/>
                  </w:tcBorders>
                  <w:vAlign w:val="center"/>
                </w:tcPr>
                <w:p w14:paraId="5887D1A4">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监测日期</w:t>
                  </w:r>
                </w:p>
              </w:tc>
              <w:tc>
                <w:tcPr>
                  <w:tcW w:w="993" w:type="dxa"/>
                  <w:vMerge w:val="restart"/>
                  <w:tcBorders>
                    <w:tl2br w:val="nil"/>
                    <w:tr2bl w:val="nil"/>
                  </w:tcBorders>
                  <w:vAlign w:val="center"/>
                </w:tcPr>
                <w:p w14:paraId="31428D75">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监测项目</w:t>
                  </w:r>
                </w:p>
              </w:tc>
              <w:tc>
                <w:tcPr>
                  <w:tcW w:w="993" w:type="dxa"/>
                  <w:vMerge w:val="restart"/>
                  <w:tcBorders>
                    <w:tl2br w:val="nil"/>
                    <w:tr2bl w:val="nil"/>
                  </w:tcBorders>
                  <w:vAlign w:val="center"/>
                </w:tcPr>
                <w:p w14:paraId="0D41E2A1">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采样频次</w:t>
                  </w:r>
                </w:p>
              </w:tc>
              <w:tc>
                <w:tcPr>
                  <w:tcW w:w="4966" w:type="dxa"/>
                  <w:gridSpan w:val="5"/>
                  <w:tcBorders>
                    <w:tl2br w:val="nil"/>
                    <w:tr2bl w:val="nil"/>
                  </w:tcBorders>
                  <w:vAlign w:val="center"/>
                </w:tcPr>
                <w:p w14:paraId="113BAF18">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监测结果单位：mg/m</w:t>
                  </w:r>
                  <w:r>
                    <w:rPr>
                      <w:rFonts w:hint="eastAsia" w:ascii="Times New Roman" w:hAnsi="Times New Roman"/>
                      <w:b w:val="0"/>
                      <w:bCs w:val="0"/>
                      <w:sz w:val="21"/>
                      <w:vertAlign w:val="superscript"/>
                      <w:lang w:val="en-US" w:eastAsia="zh-CN"/>
                    </w:rPr>
                    <w:t>3</w:t>
                  </w:r>
                </w:p>
              </w:tc>
            </w:tr>
            <w:tr w14:paraId="0C7CB7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14:paraId="1E668250">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bCs w:val="0"/>
                      <w:sz w:val="21"/>
                      <w:vertAlign w:val="baseline"/>
                      <w:lang w:val="en-US" w:eastAsia="zh-CN"/>
                    </w:rPr>
                  </w:pPr>
                </w:p>
              </w:tc>
              <w:tc>
                <w:tcPr>
                  <w:tcW w:w="993" w:type="dxa"/>
                  <w:vMerge w:val="continue"/>
                  <w:tcBorders>
                    <w:tl2br w:val="nil"/>
                    <w:tr2bl w:val="nil"/>
                  </w:tcBorders>
                  <w:vAlign w:val="center"/>
                </w:tcPr>
                <w:p w14:paraId="0537CECF">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bCs w:val="0"/>
                      <w:sz w:val="21"/>
                      <w:vertAlign w:val="baseline"/>
                      <w:lang w:val="en-US" w:eastAsia="zh-CN"/>
                    </w:rPr>
                  </w:pPr>
                </w:p>
              </w:tc>
              <w:tc>
                <w:tcPr>
                  <w:tcW w:w="993" w:type="dxa"/>
                  <w:vMerge w:val="continue"/>
                  <w:tcBorders>
                    <w:tl2br w:val="nil"/>
                    <w:tr2bl w:val="nil"/>
                  </w:tcBorders>
                  <w:vAlign w:val="center"/>
                </w:tcPr>
                <w:p w14:paraId="1049AF46">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bCs w:val="0"/>
                      <w:sz w:val="21"/>
                      <w:vertAlign w:val="baseline"/>
                      <w:lang w:val="en-US" w:eastAsia="zh-CN"/>
                    </w:rPr>
                  </w:pPr>
                </w:p>
              </w:tc>
              <w:tc>
                <w:tcPr>
                  <w:tcW w:w="3972" w:type="dxa"/>
                  <w:gridSpan w:val="4"/>
                  <w:tcBorders>
                    <w:tl2br w:val="nil"/>
                    <w:tr2bl w:val="nil"/>
                  </w:tcBorders>
                  <w:vAlign w:val="center"/>
                </w:tcPr>
                <w:p w14:paraId="1931DE8D">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厂界</w:t>
                  </w:r>
                </w:p>
              </w:tc>
              <w:tc>
                <w:tcPr>
                  <w:tcW w:w="994" w:type="dxa"/>
                  <w:vMerge w:val="restart"/>
                  <w:tcBorders>
                    <w:tl2br w:val="nil"/>
                    <w:tr2bl w:val="nil"/>
                  </w:tcBorders>
                  <w:vAlign w:val="center"/>
                </w:tcPr>
                <w:p w14:paraId="19BEA929">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厂区内5#</w:t>
                  </w:r>
                </w:p>
              </w:tc>
            </w:tr>
            <w:tr w14:paraId="395E9F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14:paraId="02924027">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p>
              </w:tc>
              <w:tc>
                <w:tcPr>
                  <w:tcW w:w="993" w:type="dxa"/>
                  <w:vMerge w:val="continue"/>
                  <w:tcBorders>
                    <w:tl2br w:val="nil"/>
                    <w:tr2bl w:val="nil"/>
                  </w:tcBorders>
                  <w:vAlign w:val="center"/>
                </w:tcPr>
                <w:p w14:paraId="1EDB9E06">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p>
              </w:tc>
              <w:tc>
                <w:tcPr>
                  <w:tcW w:w="993" w:type="dxa"/>
                  <w:vMerge w:val="continue"/>
                  <w:tcBorders>
                    <w:tl2br w:val="nil"/>
                    <w:tr2bl w:val="nil"/>
                  </w:tcBorders>
                  <w:vAlign w:val="center"/>
                </w:tcPr>
                <w:p w14:paraId="167F7239">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p>
              </w:tc>
              <w:tc>
                <w:tcPr>
                  <w:tcW w:w="993" w:type="dxa"/>
                  <w:tcBorders>
                    <w:tl2br w:val="nil"/>
                    <w:tr2bl w:val="nil"/>
                  </w:tcBorders>
                  <w:vAlign w:val="center"/>
                </w:tcPr>
                <w:p w14:paraId="1A5557B6">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上风向1#</w:t>
                  </w:r>
                </w:p>
              </w:tc>
              <w:tc>
                <w:tcPr>
                  <w:tcW w:w="993" w:type="dxa"/>
                  <w:tcBorders>
                    <w:tl2br w:val="nil"/>
                    <w:tr2bl w:val="nil"/>
                  </w:tcBorders>
                  <w:vAlign w:val="center"/>
                </w:tcPr>
                <w:p w14:paraId="371DE8AF">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下风向2#</w:t>
                  </w:r>
                </w:p>
              </w:tc>
              <w:tc>
                <w:tcPr>
                  <w:tcW w:w="993" w:type="dxa"/>
                  <w:tcBorders>
                    <w:tl2br w:val="nil"/>
                    <w:tr2bl w:val="nil"/>
                  </w:tcBorders>
                  <w:vAlign w:val="center"/>
                </w:tcPr>
                <w:p w14:paraId="50804050">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下风向3#</w:t>
                  </w:r>
                </w:p>
              </w:tc>
              <w:tc>
                <w:tcPr>
                  <w:tcW w:w="993" w:type="dxa"/>
                  <w:tcBorders>
                    <w:tl2br w:val="nil"/>
                    <w:tr2bl w:val="nil"/>
                  </w:tcBorders>
                  <w:vAlign w:val="center"/>
                </w:tcPr>
                <w:p w14:paraId="32892916">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bCs w:val="0"/>
                      <w:sz w:val="21"/>
                      <w:vertAlign w:val="baseline"/>
                      <w:lang w:val="en-US" w:eastAsia="zh-CN"/>
                    </w:rPr>
                  </w:pPr>
                  <w:r>
                    <w:rPr>
                      <w:rFonts w:hint="eastAsia" w:ascii="Times New Roman" w:hAnsi="Times New Roman"/>
                      <w:b w:val="0"/>
                      <w:bCs w:val="0"/>
                      <w:sz w:val="21"/>
                      <w:vertAlign w:val="baseline"/>
                      <w:lang w:val="en-US" w:eastAsia="zh-CN"/>
                    </w:rPr>
                    <w:t>下风向4#</w:t>
                  </w:r>
                </w:p>
              </w:tc>
              <w:tc>
                <w:tcPr>
                  <w:tcW w:w="994" w:type="dxa"/>
                  <w:vMerge w:val="continue"/>
                  <w:tcBorders>
                    <w:tl2br w:val="nil"/>
                    <w:tr2bl w:val="nil"/>
                  </w:tcBorders>
                  <w:vAlign w:val="center"/>
                </w:tcPr>
                <w:p w14:paraId="53536E88">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p>
              </w:tc>
            </w:tr>
            <w:tr w14:paraId="5DE535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restart"/>
                  <w:tcBorders>
                    <w:tl2br w:val="nil"/>
                    <w:tr2bl w:val="nil"/>
                  </w:tcBorders>
                  <w:vAlign w:val="center"/>
                </w:tcPr>
                <w:p w14:paraId="1D6A554E">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eastAsia="宋体"/>
                      <w:b w:val="0"/>
                      <w:sz w:val="21"/>
                      <w:vertAlign w:val="baseline"/>
                      <w:lang w:val="en-US" w:eastAsia="zh-CN"/>
                    </w:rPr>
                    <w:t>2022年11月26日</w:t>
                  </w:r>
                </w:p>
              </w:tc>
              <w:tc>
                <w:tcPr>
                  <w:tcW w:w="993" w:type="dxa"/>
                  <w:vMerge w:val="restart"/>
                  <w:tcBorders>
                    <w:tl2br w:val="nil"/>
                    <w:tr2bl w:val="nil"/>
                  </w:tcBorders>
                  <w:vAlign w:val="center"/>
                </w:tcPr>
                <w:p w14:paraId="18FCE5DA">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非甲烷总烃</w:t>
                  </w:r>
                </w:p>
              </w:tc>
              <w:tc>
                <w:tcPr>
                  <w:tcW w:w="993" w:type="dxa"/>
                  <w:tcBorders>
                    <w:tl2br w:val="nil"/>
                    <w:tr2bl w:val="nil"/>
                  </w:tcBorders>
                  <w:vAlign w:val="center"/>
                </w:tcPr>
                <w:p w14:paraId="6FC872C0">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第一次</w:t>
                  </w:r>
                </w:p>
              </w:tc>
              <w:tc>
                <w:tcPr>
                  <w:tcW w:w="993" w:type="dxa"/>
                  <w:tcBorders>
                    <w:tl2br w:val="nil"/>
                    <w:tr2bl w:val="nil"/>
                  </w:tcBorders>
                  <w:vAlign w:val="center"/>
                </w:tcPr>
                <w:p w14:paraId="24A016A9">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0.68</w:t>
                  </w:r>
                </w:p>
              </w:tc>
              <w:tc>
                <w:tcPr>
                  <w:tcW w:w="993" w:type="dxa"/>
                  <w:tcBorders>
                    <w:tl2br w:val="nil"/>
                    <w:tr2bl w:val="nil"/>
                  </w:tcBorders>
                  <w:vAlign w:val="center"/>
                </w:tcPr>
                <w:p w14:paraId="76400A69">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0.86</w:t>
                  </w:r>
                </w:p>
              </w:tc>
              <w:tc>
                <w:tcPr>
                  <w:tcW w:w="993" w:type="dxa"/>
                  <w:tcBorders>
                    <w:tl2br w:val="nil"/>
                    <w:tr2bl w:val="nil"/>
                  </w:tcBorders>
                  <w:vAlign w:val="center"/>
                </w:tcPr>
                <w:p w14:paraId="3390565F">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0.70</w:t>
                  </w:r>
                </w:p>
              </w:tc>
              <w:tc>
                <w:tcPr>
                  <w:tcW w:w="993" w:type="dxa"/>
                  <w:tcBorders>
                    <w:tl2br w:val="nil"/>
                    <w:tr2bl w:val="nil"/>
                  </w:tcBorders>
                  <w:vAlign w:val="center"/>
                </w:tcPr>
                <w:p w14:paraId="2BB2A4EA">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0.86</w:t>
                  </w:r>
                </w:p>
              </w:tc>
              <w:tc>
                <w:tcPr>
                  <w:tcW w:w="994" w:type="dxa"/>
                  <w:tcBorders>
                    <w:tl2br w:val="nil"/>
                    <w:tr2bl w:val="nil"/>
                  </w:tcBorders>
                  <w:vAlign w:val="center"/>
                </w:tcPr>
                <w:p w14:paraId="3F565E0D">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0.95</w:t>
                  </w:r>
                </w:p>
              </w:tc>
            </w:tr>
            <w:tr w14:paraId="1F3DC2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14:paraId="0811A50D">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p>
              </w:tc>
              <w:tc>
                <w:tcPr>
                  <w:tcW w:w="993" w:type="dxa"/>
                  <w:vMerge w:val="continue"/>
                  <w:tcBorders>
                    <w:tl2br w:val="nil"/>
                    <w:tr2bl w:val="nil"/>
                  </w:tcBorders>
                  <w:vAlign w:val="center"/>
                </w:tcPr>
                <w:p w14:paraId="76EAAA40">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p>
              </w:tc>
              <w:tc>
                <w:tcPr>
                  <w:tcW w:w="993" w:type="dxa"/>
                  <w:tcBorders>
                    <w:tl2br w:val="nil"/>
                    <w:tr2bl w:val="nil"/>
                  </w:tcBorders>
                  <w:vAlign w:val="center"/>
                </w:tcPr>
                <w:p w14:paraId="56528E91">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第二次</w:t>
                  </w:r>
                </w:p>
              </w:tc>
              <w:tc>
                <w:tcPr>
                  <w:tcW w:w="993" w:type="dxa"/>
                  <w:tcBorders>
                    <w:tl2br w:val="nil"/>
                    <w:tr2bl w:val="nil"/>
                  </w:tcBorders>
                  <w:vAlign w:val="center"/>
                </w:tcPr>
                <w:p w14:paraId="46CD011B">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0.57</w:t>
                  </w:r>
                </w:p>
              </w:tc>
              <w:tc>
                <w:tcPr>
                  <w:tcW w:w="993" w:type="dxa"/>
                  <w:tcBorders>
                    <w:tl2br w:val="nil"/>
                    <w:tr2bl w:val="nil"/>
                  </w:tcBorders>
                  <w:vAlign w:val="center"/>
                </w:tcPr>
                <w:p w14:paraId="69060D51">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0.92</w:t>
                  </w:r>
                </w:p>
              </w:tc>
              <w:tc>
                <w:tcPr>
                  <w:tcW w:w="993" w:type="dxa"/>
                  <w:tcBorders>
                    <w:tl2br w:val="nil"/>
                    <w:tr2bl w:val="nil"/>
                  </w:tcBorders>
                  <w:vAlign w:val="center"/>
                </w:tcPr>
                <w:p w14:paraId="7855B1D2">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0.76</w:t>
                  </w:r>
                </w:p>
              </w:tc>
              <w:tc>
                <w:tcPr>
                  <w:tcW w:w="993" w:type="dxa"/>
                  <w:tcBorders>
                    <w:tl2br w:val="nil"/>
                    <w:tr2bl w:val="nil"/>
                  </w:tcBorders>
                  <w:vAlign w:val="center"/>
                </w:tcPr>
                <w:p w14:paraId="7AABB640">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0.81</w:t>
                  </w:r>
                </w:p>
              </w:tc>
              <w:tc>
                <w:tcPr>
                  <w:tcW w:w="994" w:type="dxa"/>
                  <w:tcBorders>
                    <w:tl2br w:val="nil"/>
                    <w:tr2bl w:val="nil"/>
                  </w:tcBorders>
                  <w:vAlign w:val="center"/>
                </w:tcPr>
                <w:p w14:paraId="058B39CC">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0.93</w:t>
                  </w:r>
                </w:p>
              </w:tc>
            </w:tr>
            <w:tr w14:paraId="305BC2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14:paraId="67EE868B">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p>
              </w:tc>
              <w:tc>
                <w:tcPr>
                  <w:tcW w:w="993" w:type="dxa"/>
                  <w:vMerge w:val="continue"/>
                  <w:tcBorders>
                    <w:tl2br w:val="nil"/>
                    <w:tr2bl w:val="nil"/>
                  </w:tcBorders>
                  <w:vAlign w:val="center"/>
                </w:tcPr>
                <w:p w14:paraId="74B99B85">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p>
              </w:tc>
              <w:tc>
                <w:tcPr>
                  <w:tcW w:w="993" w:type="dxa"/>
                  <w:tcBorders>
                    <w:tl2br w:val="nil"/>
                    <w:tr2bl w:val="nil"/>
                  </w:tcBorders>
                  <w:vAlign w:val="center"/>
                </w:tcPr>
                <w:p w14:paraId="6403DCA0">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第三次</w:t>
                  </w:r>
                </w:p>
              </w:tc>
              <w:tc>
                <w:tcPr>
                  <w:tcW w:w="993" w:type="dxa"/>
                  <w:tcBorders>
                    <w:tl2br w:val="nil"/>
                    <w:tr2bl w:val="nil"/>
                  </w:tcBorders>
                  <w:vAlign w:val="center"/>
                </w:tcPr>
                <w:p w14:paraId="50511025">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0.66</w:t>
                  </w:r>
                </w:p>
              </w:tc>
              <w:tc>
                <w:tcPr>
                  <w:tcW w:w="993" w:type="dxa"/>
                  <w:tcBorders>
                    <w:tl2br w:val="nil"/>
                    <w:tr2bl w:val="nil"/>
                  </w:tcBorders>
                  <w:vAlign w:val="center"/>
                </w:tcPr>
                <w:p w14:paraId="6ADCE819">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0.90</w:t>
                  </w:r>
                </w:p>
              </w:tc>
              <w:tc>
                <w:tcPr>
                  <w:tcW w:w="993" w:type="dxa"/>
                  <w:tcBorders>
                    <w:tl2br w:val="nil"/>
                    <w:tr2bl w:val="nil"/>
                  </w:tcBorders>
                  <w:vAlign w:val="center"/>
                </w:tcPr>
                <w:p w14:paraId="25A90126">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0.74</w:t>
                  </w:r>
                </w:p>
              </w:tc>
              <w:tc>
                <w:tcPr>
                  <w:tcW w:w="993" w:type="dxa"/>
                  <w:tcBorders>
                    <w:tl2br w:val="nil"/>
                    <w:tr2bl w:val="nil"/>
                  </w:tcBorders>
                  <w:vAlign w:val="center"/>
                </w:tcPr>
                <w:p w14:paraId="5EC2FC8A">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0.85</w:t>
                  </w:r>
                </w:p>
              </w:tc>
              <w:tc>
                <w:tcPr>
                  <w:tcW w:w="994" w:type="dxa"/>
                  <w:tcBorders>
                    <w:tl2br w:val="nil"/>
                    <w:tr2bl w:val="nil"/>
                  </w:tcBorders>
                  <w:vAlign w:val="center"/>
                </w:tcPr>
                <w:p w14:paraId="153EDED4">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0.94</w:t>
                  </w:r>
                </w:p>
              </w:tc>
            </w:tr>
            <w:tr w14:paraId="5F4466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14:paraId="01D8E3DF">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p>
              </w:tc>
              <w:tc>
                <w:tcPr>
                  <w:tcW w:w="993" w:type="dxa"/>
                  <w:vMerge w:val="continue"/>
                  <w:tcBorders>
                    <w:tl2br w:val="nil"/>
                    <w:tr2bl w:val="nil"/>
                  </w:tcBorders>
                  <w:vAlign w:val="center"/>
                </w:tcPr>
                <w:p w14:paraId="48E37DCF">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p>
              </w:tc>
              <w:tc>
                <w:tcPr>
                  <w:tcW w:w="993" w:type="dxa"/>
                  <w:tcBorders>
                    <w:tl2br w:val="nil"/>
                    <w:tr2bl w:val="nil"/>
                  </w:tcBorders>
                  <w:vAlign w:val="center"/>
                </w:tcPr>
                <w:p w14:paraId="5335C18A">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监控点浓度最高值</w:t>
                  </w:r>
                </w:p>
              </w:tc>
              <w:tc>
                <w:tcPr>
                  <w:tcW w:w="3972" w:type="dxa"/>
                  <w:gridSpan w:val="4"/>
                  <w:tcBorders>
                    <w:tl2br w:val="nil"/>
                    <w:tr2bl w:val="nil"/>
                  </w:tcBorders>
                  <w:vAlign w:val="center"/>
                </w:tcPr>
                <w:p w14:paraId="27551939">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0.92</w:t>
                  </w:r>
                </w:p>
              </w:tc>
              <w:tc>
                <w:tcPr>
                  <w:tcW w:w="994" w:type="dxa"/>
                  <w:tcBorders>
                    <w:tl2br w:val="nil"/>
                    <w:tr2bl w:val="nil"/>
                  </w:tcBorders>
                  <w:vAlign w:val="center"/>
                </w:tcPr>
                <w:p w14:paraId="5004421E">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0.95</w:t>
                  </w:r>
                </w:p>
              </w:tc>
            </w:tr>
            <w:tr w14:paraId="111FF4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14:paraId="52F7330D">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p>
              </w:tc>
              <w:tc>
                <w:tcPr>
                  <w:tcW w:w="993" w:type="dxa"/>
                  <w:vMerge w:val="continue"/>
                  <w:tcBorders>
                    <w:tl2br w:val="nil"/>
                    <w:tr2bl w:val="nil"/>
                  </w:tcBorders>
                  <w:vAlign w:val="center"/>
                </w:tcPr>
                <w:p w14:paraId="50068223">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p>
              </w:tc>
              <w:tc>
                <w:tcPr>
                  <w:tcW w:w="993" w:type="dxa"/>
                  <w:tcBorders>
                    <w:tl2br w:val="nil"/>
                    <w:tr2bl w:val="nil"/>
                  </w:tcBorders>
                  <w:vAlign w:val="center"/>
                </w:tcPr>
                <w:p w14:paraId="6E0476D0">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监控点浓度限值</w:t>
                  </w:r>
                </w:p>
              </w:tc>
              <w:tc>
                <w:tcPr>
                  <w:tcW w:w="3972" w:type="dxa"/>
                  <w:gridSpan w:val="4"/>
                  <w:tcBorders>
                    <w:tl2br w:val="nil"/>
                    <w:tr2bl w:val="nil"/>
                  </w:tcBorders>
                  <w:vAlign w:val="center"/>
                </w:tcPr>
                <w:p w14:paraId="214AB9CB">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4</w:t>
                  </w:r>
                </w:p>
              </w:tc>
              <w:tc>
                <w:tcPr>
                  <w:tcW w:w="994" w:type="dxa"/>
                  <w:tcBorders>
                    <w:tl2br w:val="nil"/>
                    <w:tr2bl w:val="nil"/>
                  </w:tcBorders>
                  <w:vAlign w:val="center"/>
                </w:tcPr>
                <w:p w14:paraId="416A8C54">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6</w:t>
                  </w:r>
                </w:p>
              </w:tc>
            </w:tr>
            <w:tr w14:paraId="4DE398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restart"/>
                  <w:tcBorders>
                    <w:tl2br w:val="nil"/>
                    <w:tr2bl w:val="nil"/>
                  </w:tcBorders>
                  <w:vAlign w:val="center"/>
                </w:tcPr>
                <w:p w14:paraId="676494D1">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2022年11月27日</w:t>
                  </w:r>
                </w:p>
              </w:tc>
              <w:tc>
                <w:tcPr>
                  <w:tcW w:w="993" w:type="dxa"/>
                  <w:vMerge w:val="restart"/>
                  <w:tcBorders>
                    <w:tl2br w:val="nil"/>
                    <w:tr2bl w:val="nil"/>
                  </w:tcBorders>
                  <w:vAlign w:val="center"/>
                </w:tcPr>
                <w:p w14:paraId="41B526E1">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非甲烷总烃</w:t>
                  </w:r>
                </w:p>
              </w:tc>
              <w:tc>
                <w:tcPr>
                  <w:tcW w:w="993" w:type="dxa"/>
                  <w:tcBorders>
                    <w:tl2br w:val="nil"/>
                    <w:tr2bl w:val="nil"/>
                  </w:tcBorders>
                  <w:vAlign w:val="center"/>
                </w:tcPr>
                <w:p w14:paraId="2ECDDE1C">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第一次</w:t>
                  </w:r>
                </w:p>
              </w:tc>
              <w:tc>
                <w:tcPr>
                  <w:tcW w:w="993" w:type="dxa"/>
                  <w:tcBorders>
                    <w:tl2br w:val="nil"/>
                    <w:tr2bl w:val="nil"/>
                  </w:tcBorders>
                  <w:vAlign w:val="center"/>
                </w:tcPr>
                <w:p w14:paraId="28798FAE">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0.80</w:t>
                  </w:r>
                </w:p>
              </w:tc>
              <w:tc>
                <w:tcPr>
                  <w:tcW w:w="993" w:type="dxa"/>
                  <w:tcBorders>
                    <w:tl2br w:val="nil"/>
                    <w:tr2bl w:val="nil"/>
                  </w:tcBorders>
                  <w:vAlign w:val="center"/>
                </w:tcPr>
                <w:p w14:paraId="009F5712">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1.22</w:t>
                  </w:r>
                </w:p>
              </w:tc>
              <w:tc>
                <w:tcPr>
                  <w:tcW w:w="993" w:type="dxa"/>
                  <w:tcBorders>
                    <w:tl2br w:val="nil"/>
                    <w:tr2bl w:val="nil"/>
                  </w:tcBorders>
                  <w:vAlign w:val="center"/>
                </w:tcPr>
                <w:p w14:paraId="55379073">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1.15</w:t>
                  </w:r>
                </w:p>
              </w:tc>
              <w:tc>
                <w:tcPr>
                  <w:tcW w:w="993" w:type="dxa"/>
                  <w:tcBorders>
                    <w:tl2br w:val="nil"/>
                    <w:tr2bl w:val="nil"/>
                  </w:tcBorders>
                  <w:vAlign w:val="center"/>
                </w:tcPr>
                <w:p w14:paraId="1AA8A7E2">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1.26</w:t>
                  </w:r>
                </w:p>
              </w:tc>
              <w:tc>
                <w:tcPr>
                  <w:tcW w:w="994" w:type="dxa"/>
                  <w:tcBorders>
                    <w:tl2br w:val="nil"/>
                    <w:tr2bl w:val="nil"/>
                  </w:tcBorders>
                  <w:vAlign w:val="center"/>
                </w:tcPr>
                <w:p w14:paraId="505CE727">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1.28</w:t>
                  </w:r>
                </w:p>
              </w:tc>
            </w:tr>
            <w:tr w14:paraId="7E1D5D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14:paraId="4411C847">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p>
              </w:tc>
              <w:tc>
                <w:tcPr>
                  <w:tcW w:w="993" w:type="dxa"/>
                  <w:vMerge w:val="continue"/>
                  <w:tcBorders>
                    <w:tl2br w:val="nil"/>
                    <w:tr2bl w:val="nil"/>
                  </w:tcBorders>
                  <w:vAlign w:val="center"/>
                </w:tcPr>
                <w:p w14:paraId="5B80E16B">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p>
              </w:tc>
              <w:tc>
                <w:tcPr>
                  <w:tcW w:w="993" w:type="dxa"/>
                  <w:tcBorders>
                    <w:tl2br w:val="nil"/>
                    <w:tr2bl w:val="nil"/>
                  </w:tcBorders>
                  <w:vAlign w:val="center"/>
                </w:tcPr>
                <w:p w14:paraId="1B6ADB04">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第二次</w:t>
                  </w:r>
                </w:p>
              </w:tc>
              <w:tc>
                <w:tcPr>
                  <w:tcW w:w="993" w:type="dxa"/>
                  <w:tcBorders>
                    <w:tl2br w:val="nil"/>
                    <w:tr2bl w:val="nil"/>
                  </w:tcBorders>
                  <w:vAlign w:val="center"/>
                </w:tcPr>
                <w:p w14:paraId="3DD4A8F5">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1.13</w:t>
                  </w:r>
                </w:p>
              </w:tc>
              <w:tc>
                <w:tcPr>
                  <w:tcW w:w="993" w:type="dxa"/>
                  <w:tcBorders>
                    <w:tl2br w:val="nil"/>
                    <w:tr2bl w:val="nil"/>
                  </w:tcBorders>
                  <w:vAlign w:val="center"/>
                </w:tcPr>
                <w:p w14:paraId="0ED9964B">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1.22</w:t>
                  </w:r>
                </w:p>
              </w:tc>
              <w:tc>
                <w:tcPr>
                  <w:tcW w:w="993" w:type="dxa"/>
                  <w:tcBorders>
                    <w:tl2br w:val="nil"/>
                    <w:tr2bl w:val="nil"/>
                  </w:tcBorders>
                  <w:vAlign w:val="center"/>
                </w:tcPr>
                <w:p w14:paraId="237AE910">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1.17</w:t>
                  </w:r>
                </w:p>
              </w:tc>
              <w:tc>
                <w:tcPr>
                  <w:tcW w:w="993" w:type="dxa"/>
                  <w:tcBorders>
                    <w:tl2br w:val="nil"/>
                    <w:tr2bl w:val="nil"/>
                  </w:tcBorders>
                  <w:vAlign w:val="center"/>
                </w:tcPr>
                <w:p w14:paraId="2DADDC9A">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1.14</w:t>
                  </w:r>
                </w:p>
              </w:tc>
              <w:tc>
                <w:tcPr>
                  <w:tcW w:w="994" w:type="dxa"/>
                  <w:tcBorders>
                    <w:tl2br w:val="nil"/>
                    <w:tr2bl w:val="nil"/>
                  </w:tcBorders>
                  <w:vAlign w:val="center"/>
                </w:tcPr>
                <w:p w14:paraId="2E8B80B9">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1.30</w:t>
                  </w:r>
                </w:p>
              </w:tc>
            </w:tr>
            <w:tr w14:paraId="76E7B6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14:paraId="422A10EA">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p>
              </w:tc>
              <w:tc>
                <w:tcPr>
                  <w:tcW w:w="993" w:type="dxa"/>
                  <w:vMerge w:val="continue"/>
                  <w:tcBorders>
                    <w:tl2br w:val="nil"/>
                    <w:tr2bl w:val="nil"/>
                  </w:tcBorders>
                  <w:vAlign w:val="center"/>
                </w:tcPr>
                <w:p w14:paraId="23CFD3C4">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p>
              </w:tc>
              <w:tc>
                <w:tcPr>
                  <w:tcW w:w="993" w:type="dxa"/>
                  <w:tcBorders>
                    <w:tl2br w:val="nil"/>
                    <w:tr2bl w:val="nil"/>
                  </w:tcBorders>
                  <w:vAlign w:val="center"/>
                </w:tcPr>
                <w:p w14:paraId="5C134CC7">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第三次</w:t>
                  </w:r>
                </w:p>
              </w:tc>
              <w:tc>
                <w:tcPr>
                  <w:tcW w:w="993" w:type="dxa"/>
                  <w:tcBorders>
                    <w:tl2br w:val="nil"/>
                    <w:tr2bl w:val="nil"/>
                  </w:tcBorders>
                  <w:vAlign w:val="center"/>
                </w:tcPr>
                <w:p w14:paraId="4B33DC3B">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1.12</w:t>
                  </w:r>
                </w:p>
              </w:tc>
              <w:tc>
                <w:tcPr>
                  <w:tcW w:w="993" w:type="dxa"/>
                  <w:tcBorders>
                    <w:tl2br w:val="nil"/>
                    <w:tr2bl w:val="nil"/>
                  </w:tcBorders>
                  <w:vAlign w:val="center"/>
                </w:tcPr>
                <w:p w14:paraId="6DCA71BE">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1.20</w:t>
                  </w:r>
                </w:p>
              </w:tc>
              <w:tc>
                <w:tcPr>
                  <w:tcW w:w="993" w:type="dxa"/>
                  <w:tcBorders>
                    <w:tl2br w:val="nil"/>
                    <w:tr2bl w:val="nil"/>
                  </w:tcBorders>
                  <w:vAlign w:val="center"/>
                </w:tcPr>
                <w:p w14:paraId="1F08154E">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1.14</w:t>
                  </w:r>
                </w:p>
              </w:tc>
              <w:tc>
                <w:tcPr>
                  <w:tcW w:w="993" w:type="dxa"/>
                  <w:tcBorders>
                    <w:tl2br w:val="nil"/>
                    <w:tr2bl w:val="nil"/>
                  </w:tcBorders>
                  <w:vAlign w:val="center"/>
                </w:tcPr>
                <w:p w14:paraId="14AFA0F8">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1.18</w:t>
                  </w:r>
                </w:p>
              </w:tc>
              <w:tc>
                <w:tcPr>
                  <w:tcW w:w="994" w:type="dxa"/>
                  <w:tcBorders>
                    <w:tl2br w:val="nil"/>
                    <w:tr2bl w:val="nil"/>
                  </w:tcBorders>
                  <w:vAlign w:val="center"/>
                </w:tcPr>
                <w:p w14:paraId="09F28313">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1.29</w:t>
                  </w:r>
                </w:p>
              </w:tc>
            </w:tr>
            <w:tr w14:paraId="4F9268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14:paraId="38FFB1F1">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p>
              </w:tc>
              <w:tc>
                <w:tcPr>
                  <w:tcW w:w="993" w:type="dxa"/>
                  <w:vMerge w:val="continue"/>
                  <w:tcBorders>
                    <w:tl2br w:val="nil"/>
                    <w:tr2bl w:val="nil"/>
                  </w:tcBorders>
                  <w:vAlign w:val="center"/>
                </w:tcPr>
                <w:p w14:paraId="4CC2EA26">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p>
              </w:tc>
              <w:tc>
                <w:tcPr>
                  <w:tcW w:w="993" w:type="dxa"/>
                  <w:tcBorders>
                    <w:tl2br w:val="nil"/>
                    <w:tr2bl w:val="nil"/>
                  </w:tcBorders>
                  <w:vAlign w:val="center"/>
                </w:tcPr>
                <w:p w14:paraId="58AB784F">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监控点浓度最高值</w:t>
                  </w:r>
                </w:p>
              </w:tc>
              <w:tc>
                <w:tcPr>
                  <w:tcW w:w="3972" w:type="dxa"/>
                  <w:gridSpan w:val="4"/>
                  <w:tcBorders>
                    <w:tl2br w:val="nil"/>
                    <w:tr2bl w:val="nil"/>
                  </w:tcBorders>
                  <w:vAlign w:val="center"/>
                </w:tcPr>
                <w:p w14:paraId="5FA5F8D1">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1.26</w:t>
                  </w:r>
                </w:p>
              </w:tc>
              <w:tc>
                <w:tcPr>
                  <w:tcW w:w="994" w:type="dxa"/>
                  <w:tcBorders>
                    <w:tl2br w:val="nil"/>
                    <w:tr2bl w:val="nil"/>
                  </w:tcBorders>
                  <w:vAlign w:val="center"/>
                </w:tcPr>
                <w:p w14:paraId="34FB1564">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1.30</w:t>
                  </w:r>
                </w:p>
              </w:tc>
            </w:tr>
            <w:tr w14:paraId="6C21C2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l2br w:val="nil"/>
                    <w:tr2bl w:val="nil"/>
                  </w:tcBorders>
                  <w:vAlign w:val="center"/>
                </w:tcPr>
                <w:p w14:paraId="679A1E47">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p>
              </w:tc>
              <w:tc>
                <w:tcPr>
                  <w:tcW w:w="993" w:type="dxa"/>
                  <w:vMerge w:val="continue"/>
                  <w:tcBorders>
                    <w:tl2br w:val="nil"/>
                    <w:tr2bl w:val="nil"/>
                  </w:tcBorders>
                  <w:vAlign w:val="center"/>
                </w:tcPr>
                <w:p w14:paraId="47A1DF03">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p>
              </w:tc>
              <w:tc>
                <w:tcPr>
                  <w:tcW w:w="993" w:type="dxa"/>
                  <w:tcBorders>
                    <w:tl2br w:val="nil"/>
                    <w:tr2bl w:val="nil"/>
                  </w:tcBorders>
                  <w:vAlign w:val="center"/>
                </w:tcPr>
                <w:p w14:paraId="2EC7EF69">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监控点浓度限值</w:t>
                  </w:r>
                </w:p>
              </w:tc>
              <w:tc>
                <w:tcPr>
                  <w:tcW w:w="3972" w:type="dxa"/>
                  <w:gridSpan w:val="4"/>
                  <w:tcBorders>
                    <w:tl2br w:val="nil"/>
                    <w:tr2bl w:val="nil"/>
                  </w:tcBorders>
                  <w:vAlign w:val="center"/>
                </w:tcPr>
                <w:p w14:paraId="182336C0">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4</w:t>
                  </w:r>
                </w:p>
              </w:tc>
              <w:tc>
                <w:tcPr>
                  <w:tcW w:w="994" w:type="dxa"/>
                  <w:tcBorders>
                    <w:tl2br w:val="nil"/>
                    <w:tr2bl w:val="nil"/>
                  </w:tcBorders>
                  <w:vAlign w:val="center"/>
                </w:tcPr>
                <w:p w14:paraId="4CEB5E78">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b w:val="0"/>
                      <w:sz w:val="21"/>
                      <w:vertAlign w:val="baseline"/>
                      <w:lang w:val="en-US" w:eastAsia="zh-CN"/>
                    </w:rPr>
                  </w:pPr>
                  <w:r>
                    <w:rPr>
                      <w:rFonts w:hint="eastAsia" w:ascii="Times New Roman" w:hAnsi="Times New Roman"/>
                      <w:b w:val="0"/>
                      <w:sz w:val="21"/>
                      <w:vertAlign w:val="baseline"/>
                      <w:lang w:val="en-US" w:eastAsia="zh-CN"/>
                    </w:rPr>
                    <w:t>6</w:t>
                  </w:r>
                </w:p>
              </w:tc>
            </w:tr>
          </w:tbl>
          <w:p w14:paraId="0FEA8F8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b/>
                <w:bCs/>
                <w:sz w:val="21"/>
                <w:lang w:val="en-US" w:eastAsia="zh-CN"/>
              </w:rPr>
            </w:pPr>
            <w:r>
              <w:rPr>
                <w:rFonts w:hint="eastAsia"/>
                <w:b/>
                <w:bCs/>
                <w:sz w:val="21"/>
                <w:lang w:val="en-US" w:eastAsia="zh-CN"/>
              </w:rPr>
              <w:t>表2-17  噪声监测结果</w:t>
            </w:r>
          </w:p>
          <w:tbl>
            <w:tblPr>
              <w:tblStyle w:val="23"/>
              <w:tblW w:w="7945"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324"/>
              <w:gridCol w:w="1324"/>
              <w:gridCol w:w="1324"/>
              <w:gridCol w:w="1324"/>
              <w:gridCol w:w="1325"/>
            </w:tblGrid>
            <w:tr w14:paraId="0059CC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4" w:type="dxa"/>
                  <w:tcBorders>
                    <w:tl2br w:val="nil"/>
                    <w:tr2bl w:val="nil"/>
                  </w:tcBorders>
                  <w:vAlign w:val="center"/>
                </w:tcPr>
                <w:p w14:paraId="67E2670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val="0"/>
                      <w:bCs w:val="0"/>
                      <w:sz w:val="21"/>
                      <w:vertAlign w:val="baseline"/>
                      <w:lang w:val="en-US" w:eastAsia="zh-CN"/>
                    </w:rPr>
                  </w:pPr>
                  <w:r>
                    <w:rPr>
                      <w:rFonts w:hint="eastAsia"/>
                      <w:b w:val="0"/>
                      <w:bCs w:val="0"/>
                      <w:sz w:val="21"/>
                      <w:vertAlign w:val="baseline"/>
                      <w:lang w:val="en-US" w:eastAsia="zh-CN"/>
                    </w:rPr>
                    <w:t>序号</w:t>
                  </w:r>
                </w:p>
              </w:tc>
              <w:tc>
                <w:tcPr>
                  <w:tcW w:w="1324" w:type="dxa"/>
                  <w:tcBorders>
                    <w:tl2br w:val="nil"/>
                    <w:tr2bl w:val="nil"/>
                  </w:tcBorders>
                  <w:vAlign w:val="center"/>
                </w:tcPr>
                <w:p w14:paraId="09C334D9">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val="0"/>
                      <w:bCs w:val="0"/>
                      <w:sz w:val="21"/>
                      <w:vertAlign w:val="baseline"/>
                      <w:lang w:val="en-US" w:eastAsia="zh-CN"/>
                    </w:rPr>
                  </w:pPr>
                  <w:r>
                    <w:rPr>
                      <w:rFonts w:hint="eastAsia"/>
                      <w:b w:val="0"/>
                      <w:bCs w:val="0"/>
                      <w:sz w:val="21"/>
                      <w:vertAlign w:val="baseline"/>
                      <w:lang w:val="en-US" w:eastAsia="zh-CN"/>
                    </w:rPr>
                    <w:t>监测点位</w:t>
                  </w:r>
                </w:p>
              </w:tc>
              <w:tc>
                <w:tcPr>
                  <w:tcW w:w="1324" w:type="dxa"/>
                  <w:tcBorders>
                    <w:tl2br w:val="nil"/>
                    <w:tr2bl w:val="nil"/>
                  </w:tcBorders>
                  <w:vAlign w:val="center"/>
                </w:tcPr>
                <w:p w14:paraId="3104FDE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val="0"/>
                      <w:bCs w:val="0"/>
                      <w:sz w:val="21"/>
                      <w:vertAlign w:val="baseline"/>
                      <w:lang w:val="en-US" w:eastAsia="zh-CN"/>
                    </w:rPr>
                  </w:pPr>
                  <w:r>
                    <w:rPr>
                      <w:rFonts w:hint="eastAsia"/>
                      <w:b w:val="0"/>
                      <w:bCs w:val="0"/>
                      <w:sz w:val="21"/>
                      <w:vertAlign w:val="baseline"/>
                      <w:lang w:val="en-US" w:eastAsia="zh-CN"/>
                    </w:rPr>
                    <w:t>监测日期</w:t>
                  </w:r>
                </w:p>
              </w:tc>
              <w:tc>
                <w:tcPr>
                  <w:tcW w:w="1324" w:type="dxa"/>
                  <w:tcBorders>
                    <w:tl2br w:val="nil"/>
                    <w:tr2bl w:val="nil"/>
                  </w:tcBorders>
                  <w:vAlign w:val="center"/>
                </w:tcPr>
                <w:p w14:paraId="3F8C9E9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val="0"/>
                      <w:bCs w:val="0"/>
                      <w:sz w:val="21"/>
                      <w:vertAlign w:val="baseline"/>
                      <w:lang w:val="en-US" w:eastAsia="zh-CN"/>
                    </w:rPr>
                  </w:pPr>
                  <w:r>
                    <w:rPr>
                      <w:rFonts w:hint="eastAsia"/>
                      <w:b w:val="0"/>
                      <w:bCs w:val="0"/>
                      <w:sz w:val="21"/>
                      <w:vertAlign w:val="baseline"/>
                      <w:lang w:val="en-US" w:eastAsia="zh-CN"/>
                    </w:rPr>
                    <w:t>时段</w:t>
                  </w:r>
                </w:p>
              </w:tc>
              <w:tc>
                <w:tcPr>
                  <w:tcW w:w="1324" w:type="dxa"/>
                  <w:tcBorders>
                    <w:tl2br w:val="nil"/>
                    <w:tr2bl w:val="nil"/>
                  </w:tcBorders>
                  <w:vAlign w:val="center"/>
                </w:tcPr>
                <w:p w14:paraId="5BCA7FEF">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val="0"/>
                      <w:bCs w:val="0"/>
                      <w:sz w:val="21"/>
                      <w:vertAlign w:val="baseline"/>
                      <w:lang w:val="en-US" w:eastAsia="zh-CN"/>
                    </w:rPr>
                  </w:pPr>
                  <w:r>
                    <w:rPr>
                      <w:rFonts w:hint="eastAsia"/>
                      <w:b w:val="0"/>
                      <w:bCs w:val="0"/>
                      <w:sz w:val="21"/>
                      <w:vertAlign w:val="baseline"/>
                      <w:lang w:val="en-US" w:eastAsia="zh-CN"/>
                    </w:rPr>
                    <w:t>声级值dB（A）</w:t>
                  </w:r>
                </w:p>
              </w:tc>
              <w:tc>
                <w:tcPr>
                  <w:tcW w:w="1325" w:type="dxa"/>
                  <w:tcBorders>
                    <w:tl2br w:val="nil"/>
                    <w:tr2bl w:val="nil"/>
                  </w:tcBorders>
                  <w:vAlign w:val="center"/>
                </w:tcPr>
                <w:p w14:paraId="3A5D845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b w:val="0"/>
                      <w:bCs w:val="0"/>
                      <w:sz w:val="21"/>
                      <w:vertAlign w:val="baseline"/>
                      <w:lang w:val="en-US" w:eastAsia="zh-CN"/>
                    </w:rPr>
                  </w:pPr>
                  <w:r>
                    <w:rPr>
                      <w:rFonts w:hint="eastAsia"/>
                      <w:b w:val="0"/>
                      <w:bCs w:val="0"/>
                      <w:sz w:val="21"/>
                      <w:vertAlign w:val="baseline"/>
                      <w:lang w:val="en-US" w:eastAsia="zh-CN"/>
                    </w:rPr>
                    <w:t>标准值dB（A）</w:t>
                  </w:r>
                </w:p>
              </w:tc>
            </w:tr>
            <w:tr w14:paraId="580FC9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4" w:type="dxa"/>
                  <w:vMerge w:val="restart"/>
                  <w:tcBorders>
                    <w:tl2br w:val="nil"/>
                    <w:tr2bl w:val="nil"/>
                  </w:tcBorders>
                  <w:vAlign w:val="center"/>
                </w:tcPr>
                <w:p w14:paraId="5CF5358D">
                  <w:pPr>
                    <w:pStyle w:val="6"/>
                    <w:keepNext w:val="0"/>
                    <w:keepLines w:val="0"/>
                    <w:pageBreakBefore w:val="0"/>
                    <w:widowControl w:val="0"/>
                    <w:numPr>
                      <w:ilvl w:val="0"/>
                      <w:numId w:val="10"/>
                    </w:numPr>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vMerge w:val="restart"/>
                  <w:tcBorders>
                    <w:tl2br w:val="nil"/>
                    <w:tr2bl w:val="nil"/>
                  </w:tcBorders>
                  <w:vAlign w:val="center"/>
                </w:tcPr>
                <w:p w14:paraId="614A033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厂界东N1</w:t>
                  </w:r>
                </w:p>
              </w:tc>
              <w:tc>
                <w:tcPr>
                  <w:tcW w:w="1324" w:type="dxa"/>
                  <w:vMerge w:val="restart"/>
                  <w:tcBorders>
                    <w:tl2br w:val="nil"/>
                    <w:tr2bl w:val="nil"/>
                  </w:tcBorders>
                  <w:vAlign w:val="center"/>
                </w:tcPr>
                <w:p w14:paraId="31B7413B">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sz w:val="21"/>
                      <w:vertAlign w:val="baseline"/>
                      <w:lang w:val="en-US" w:eastAsia="zh-CN"/>
                    </w:rPr>
                  </w:pPr>
                  <w:r>
                    <w:rPr>
                      <w:rFonts w:hint="eastAsia" w:ascii="Times New Roman" w:hAnsi="Times New Roman" w:eastAsia="宋体"/>
                      <w:b w:val="0"/>
                      <w:sz w:val="21"/>
                      <w:vertAlign w:val="baseline"/>
                      <w:lang w:val="en-US" w:eastAsia="zh-CN"/>
                    </w:rPr>
                    <w:t>2022年11月26日</w:t>
                  </w:r>
                </w:p>
              </w:tc>
              <w:tc>
                <w:tcPr>
                  <w:tcW w:w="1324" w:type="dxa"/>
                  <w:tcBorders>
                    <w:tl2br w:val="nil"/>
                    <w:tr2bl w:val="nil"/>
                  </w:tcBorders>
                  <w:vAlign w:val="center"/>
                </w:tcPr>
                <w:p w14:paraId="04BEDFD4">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昼间</w:t>
                  </w:r>
                </w:p>
              </w:tc>
              <w:tc>
                <w:tcPr>
                  <w:tcW w:w="1324" w:type="dxa"/>
                  <w:tcBorders>
                    <w:tl2br w:val="nil"/>
                    <w:tr2bl w:val="nil"/>
                  </w:tcBorders>
                  <w:vAlign w:val="center"/>
                </w:tcPr>
                <w:p w14:paraId="01F69B6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52.5</w:t>
                  </w:r>
                </w:p>
              </w:tc>
              <w:tc>
                <w:tcPr>
                  <w:tcW w:w="1325" w:type="dxa"/>
                  <w:tcBorders>
                    <w:tl2br w:val="nil"/>
                    <w:tr2bl w:val="nil"/>
                  </w:tcBorders>
                  <w:vAlign w:val="center"/>
                </w:tcPr>
                <w:p w14:paraId="2C1B9AE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60</w:t>
                  </w:r>
                </w:p>
              </w:tc>
            </w:tr>
            <w:tr w14:paraId="1D0349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4" w:type="dxa"/>
                  <w:vMerge w:val="continue"/>
                  <w:tcBorders>
                    <w:tl2br w:val="nil"/>
                    <w:tr2bl w:val="nil"/>
                  </w:tcBorders>
                  <w:vAlign w:val="center"/>
                </w:tcPr>
                <w:p w14:paraId="583A0E5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vMerge w:val="continue"/>
                  <w:tcBorders>
                    <w:tl2br w:val="nil"/>
                    <w:tr2bl w:val="nil"/>
                  </w:tcBorders>
                  <w:vAlign w:val="center"/>
                </w:tcPr>
                <w:p w14:paraId="445047C2">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1"/>
                      <w:vertAlign w:val="baseline"/>
                      <w:lang w:val="en-US" w:eastAsia="zh-CN"/>
                    </w:rPr>
                  </w:pPr>
                </w:p>
              </w:tc>
              <w:tc>
                <w:tcPr>
                  <w:tcW w:w="1324" w:type="dxa"/>
                  <w:vMerge w:val="continue"/>
                  <w:tcBorders>
                    <w:tl2br w:val="nil"/>
                    <w:tr2bl w:val="nil"/>
                  </w:tcBorders>
                  <w:vAlign w:val="center"/>
                </w:tcPr>
                <w:p w14:paraId="1AE7BF2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tcBorders>
                    <w:tl2br w:val="nil"/>
                    <w:tr2bl w:val="nil"/>
                  </w:tcBorders>
                  <w:vAlign w:val="center"/>
                </w:tcPr>
                <w:p w14:paraId="6212B63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夜间</w:t>
                  </w:r>
                </w:p>
              </w:tc>
              <w:tc>
                <w:tcPr>
                  <w:tcW w:w="1324" w:type="dxa"/>
                  <w:tcBorders>
                    <w:tl2br w:val="nil"/>
                    <w:tr2bl w:val="nil"/>
                  </w:tcBorders>
                  <w:vAlign w:val="center"/>
                </w:tcPr>
                <w:p w14:paraId="7CE1C8B2">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47.2</w:t>
                  </w:r>
                </w:p>
              </w:tc>
              <w:tc>
                <w:tcPr>
                  <w:tcW w:w="1325" w:type="dxa"/>
                  <w:tcBorders>
                    <w:tl2br w:val="nil"/>
                    <w:tr2bl w:val="nil"/>
                  </w:tcBorders>
                  <w:vAlign w:val="center"/>
                </w:tcPr>
                <w:p w14:paraId="54099F8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50</w:t>
                  </w:r>
                </w:p>
              </w:tc>
            </w:tr>
            <w:tr w14:paraId="041185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4" w:type="dxa"/>
                  <w:vMerge w:val="restart"/>
                  <w:tcBorders>
                    <w:tl2br w:val="nil"/>
                    <w:tr2bl w:val="nil"/>
                  </w:tcBorders>
                  <w:vAlign w:val="center"/>
                </w:tcPr>
                <w:p w14:paraId="4940ECCE">
                  <w:pPr>
                    <w:pStyle w:val="6"/>
                    <w:keepNext w:val="0"/>
                    <w:keepLines w:val="0"/>
                    <w:pageBreakBefore w:val="0"/>
                    <w:widowControl w:val="0"/>
                    <w:numPr>
                      <w:ilvl w:val="0"/>
                      <w:numId w:val="10"/>
                    </w:numPr>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vMerge w:val="restart"/>
                  <w:tcBorders>
                    <w:tl2br w:val="nil"/>
                    <w:tr2bl w:val="nil"/>
                  </w:tcBorders>
                  <w:vAlign w:val="center"/>
                </w:tcPr>
                <w:p w14:paraId="5C5E369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厂界南N2</w:t>
                  </w:r>
                </w:p>
              </w:tc>
              <w:tc>
                <w:tcPr>
                  <w:tcW w:w="1324" w:type="dxa"/>
                  <w:vMerge w:val="continue"/>
                  <w:tcBorders>
                    <w:tl2br w:val="nil"/>
                    <w:tr2bl w:val="nil"/>
                  </w:tcBorders>
                  <w:vAlign w:val="center"/>
                </w:tcPr>
                <w:p w14:paraId="716FEFC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tcBorders>
                    <w:tl2br w:val="nil"/>
                    <w:tr2bl w:val="nil"/>
                  </w:tcBorders>
                  <w:vAlign w:val="center"/>
                </w:tcPr>
                <w:p w14:paraId="3457D6D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昼间</w:t>
                  </w:r>
                </w:p>
              </w:tc>
              <w:tc>
                <w:tcPr>
                  <w:tcW w:w="1324" w:type="dxa"/>
                  <w:tcBorders>
                    <w:tl2br w:val="nil"/>
                    <w:tr2bl w:val="nil"/>
                  </w:tcBorders>
                  <w:vAlign w:val="center"/>
                </w:tcPr>
                <w:p w14:paraId="2F490F1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54.1</w:t>
                  </w:r>
                </w:p>
              </w:tc>
              <w:tc>
                <w:tcPr>
                  <w:tcW w:w="1325" w:type="dxa"/>
                  <w:tcBorders>
                    <w:tl2br w:val="nil"/>
                    <w:tr2bl w:val="nil"/>
                  </w:tcBorders>
                  <w:vAlign w:val="center"/>
                </w:tcPr>
                <w:p w14:paraId="6C3D8FF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60</w:t>
                  </w:r>
                </w:p>
              </w:tc>
            </w:tr>
            <w:tr w14:paraId="4E3F44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4" w:type="dxa"/>
                  <w:vMerge w:val="continue"/>
                  <w:tcBorders>
                    <w:tl2br w:val="nil"/>
                    <w:tr2bl w:val="nil"/>
                  </w:tcBorders>
                  <w:vAlign w:val="center"/>
                </w:tcPr>
                <w:p w14:paraId="3CF67D3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vMerge w:val="continue"/>
                  <w:tcBorders>
                    <w:tl2br w:val="nil"/>
                    <w:tr2bl w:val="nil"/>
                  </w:tcBorders>
                  <w:vAlign w:val="center"/>
                </w:tcPr>
                <w:p w14:paraId="220CE7BF">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1"/>
                      <w:vertAlign w:val="baseline"/>
                      <w:lang w:val="en-US" w:eastAsia="zh-CN"/>
                    </w:rPr>
                  </w:pPr>
                </w:p>
              </w:tc>
              <w:tc>
                <w:tcPr>
                  <w:tcW w:w="1324" w:type="dxa"/>
                  <w:vMerge w:val="continue"/>
                  <w:tcBorders>
                    <w:tl2br w:val="nil"/>
                    <w:tr2bl w:val="nil"/>
                  </w:tcBorders>
                  <w:vAlign w:val="center"/>
                </w:tcPr>
                <w:p w14:paraId="4B95184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tcBorders>
                    <w:tl2br w:val="nil"/>
                    <w:tr2bl w:val="nil"/>
                  </w:tcBorders>
                  <w:vAlign w:val="center"/>
                </w:tcPr>
                <w:p w14:paraId="7AB3BE7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夜间</w:t>
                  </w:r>
                </w:p>
              </w:tc>
              <w:tc>
                <w:tcPr>
                  <w:tcW w:w="1324" w:type="dxa"/>
                  <w:tcBorders>
                    <w:tl2br w:val="nil"/>
                    <w:tr2bl w:val="nil"/>
                  </w:tcBorders>
                  <w:vAlign w:val="center"/>
                </w:tcPr>
                <w:p w14:paraId="24C3045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46.9</w:t>
                  </w:r>
                </w:p>
              </w:tc>
              <w:tc>
                <w:tcPr>
                  <w:tcW w:w="1325" w:type="dxa"/>
                  <w:tcBorders>
                    <w:tl2br w:val="nil"/>
                    <w:tr2bl w:val="nil"/>
                  </w:tcBorders>
                  <w:vAlign w:val="center"/>
                </w:tcPr>
                <w:p w14:paraId="4329B7C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50</w:t>
                  </w:r>
                </w:p>
              </w:tc>
            </w:tr>
            <w:tr w14:paraId="37FC00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4" w:type="dxa"/>
                  <w:vMerge w:val="restart"/>
                  <w:tcBorders>
                    <w:tl2br w:val="nil"/>
                    <w:tr2bl w:val="nil"/>
                  </w:tcBorders>
                  <w:vAlign w:val="center"/>
                </w:tcPr>
                <w:p w14:paraId="60B7ED41">
                  <w:pPr>
                    <w:pStyle w:val="6"/>
                    <w:keepNext w:val="0"/>
                    <w:keepLines w:val="0"/>
                    <w:pageBreakBefore w:val="0"/>
                    <w:widowControl w:val="0"/>
                    <w:numPr>
                      <w:ilvl w:val="0"/>
                      <w:numId w:val="10"/>
                    </w:numPr>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vMerge w:val="restart"/>
                  <w:tcBorders>
                    <w:tl2br w:val="nil"/>
                    <w:tr2bl w:val="nil"/>
                  </w:tcBorders>
                  <w:vAlign w:val="center"/>
                </w:tcPr>
                <w:p w14:paraId="6BC29A42">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厂界西N3</w:t>
                  </w:r>
                </w:p>
              </w:tc>
              <w:tc>
                <w:tcPr>
                  <w:tcW w:w="1324" w:type="dxa"/>
                  <w:vMerge w:val="continue"/>
                  <w:tcBorders>
                    <w:tl2br w:val="nil"/>
                    <w:tr2bl w:val="nil"/>
                  </w:tcBorders>
                  <w:vAlign w:val="center"/>
                </w:tcPr>
                <w:p w14:paraId="63ADA33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tcBorders>
                    <w:tl2br w:val="nil"/>
                    <w:tr2bl w:val="nil"/>
                  </w:tcBorders>
                  <w:vAlign w:val="center"/>
                </w:tcPr>
                <w:p w14:paraId="73D71DE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昼间</w:t>
                  </w:r>
                </w:p>
              </w:tc>
              <w:tc>
                <w:tcPr>
                  <w:tcW w:w="1324" w:type="dxa"/>
                  <w:tcBorders>
                    <w:tl2br w:val="nil"/>
                    <w:tr2bl w:val="nil"/>
                  </w:tcBorders>
                  <w:vAlign w:val="center"/>
                </w:tcPr>
                <w:p w14:paraId="3A41686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53.4</w:t>
                  </w:r>
                </w:p>
              </w:tc>
              <w:tc>
                <w:tcPr>
                  <w:tcW w:w="1325" w:type="dxa"/>
                  <w:tcBorders>
                    <w:tl2br w:val="nil"/>
                    <w:tr2bl w:val="nil"/>
                  </w:tcBorders>
                  <w:vAlign w:val="center"/>
                </w:tcPr>
                <w:p w14:paraId="3DD57964">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60</w:t>
                  </w:r>
                </w:p>
              </w:tc>
            </w:tr>
            <w:tr w14:paraId="4BE82B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4" w:type="dxa"/>
                  <w:vMerge w:val="continue"/>
                  <w:tcBorders>
                    <w:tl2br w:val="nil"/>
                    <w:tr2bl w:val="nil"/>
                  </w:tcBorders>
                  <w:vAlign w:val="center"/>
                </w:tcPr>
                <w:p w14:paraId="0E7DA87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vMerge w:val="continue"/>
                  <w:tcBorders>
                    <w:tl2br w:val="nil"/>
                    <w:tr2bl w:val="nil"/>
                  </w:tcBorders>
                  <w:vAlign w:val="center"/>
                </w:tcPr>
                <w:p w14:paraId="7C908CB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1"/>
                      <w:vertAlign w:val="baseline"/>
                      <w:lang w:val="en-US" w:eastAsia="zh-CN"/>
                    </w:rPr>
                  </w:pPr>
                </w:p>
              </w:tc>
              <w:tc>
                <w:tcPr>
                  <w:tcW w:w="1324" w:type="dxa"/>
                  <w:vMerge w:val="continue"/>
                  <w:tcBorders>
                    <w:tl2br w:val="nil"/>
                    <w:tr2bl w:val="nil"/>
                  </w:tcBorders>
                  <w:vAlign w:val="center"/>
                </w:tcPr>
                <w:p w14:paraId="39D938D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tcBorders>
                    <w:tl2br w:val="nil"/>
                    <w:tr2bl w:val="nil"/>
                  </w:tcBorders>
                  <w:vAlign w:val="center"/>
                </w:tcPr>
                <w:p w14:paraId="3DD91702">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夜间</w:t>
                  </w:r>
                </w:p>
              </w:tc>
              <w:tc>
                <w:tcPr>
                  <w:tcW w:w="1324" w:type="dxa"/>
                  <w:tcBorders>
                    <w:tl2br w:val="nil"/>
                    <w:tr2bl w:val="nil"/>
                  </w:tcBorders>
                  <w:vAlign w:val="center"/>
                </w:tcPr>
                <w:p w14:paraId="742AA9E5">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46.8</w:t>
                  </w:r>
                </w:p>
              </w:tc>
              <w:tc>
                <w:tcPr>
                  <w:tcW w:w="1325" w:type="dxa"/>
                  <w:tcBorders>
                    <w:tl2br w:val="nil"/>
                    <w:tr2bl w:val="nil"/>
                  </w:tcBorders>
                  <w:vAlign w:val="center"/>
                </w:tcPr>
                <w:p w14:paraId="56B2AF8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50</w:t>
                  </w:r>
                </w:p>
              </w:tc>
            </w:tr>
            <w:tr w14:paraId="41DBFC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4" w:type="dxa"/>
                  <w:vMerge w:val="restart"/>
                  <w:tcBorders>
                    <w:tl2br w:val="nil"/>
                    <w:tr2bl w:val="nil"/>
                  </w:tcBorders>
                  <w:vAlign w:val="center"/>
                </w:tcPr>
                <w:p w14:paraId="5AFDFB1B">
                  <w:pPr>
                    <w:pStyle w:val="6"/>
                    <w:keepNext w:val="0"/>
                    <w:keepLines w:val="0"/>
                    <w:pageBreakBefore w:val="0"/>
                    <w:widowControl w:val="0"/>
                    <w:numPr>
                      <w:ilvl w:val="0"/>
                      <w:numId w:val="10"/>
                    </w:numPr>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vMerge w:val="restart"/>
                  <w:tcBorders>
                    <w:tl2br w:val="nil"/>
                    <w:tr2bl w:val="nil"/>
                  </w:tcBorders>
                  <w:vAlign w:val="center"/>
                </w:tcPr>
                <w:p w14:paraId="2B7070B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厂界北N4</w:t>
                  </w:r>
                </w:p>
              </w:tc>
              <w:tc>
                <w:tcPr>
                  <w:tcW w:w="1324" w:type="dxa"/>
                  <w:vMerge w:val="continue"/>
                  <w:tcBorders>
                    <w:tl2br w:val="nil"/>
                    <w:tr2bl w:val="nil"/>
                  </w:tcBorders>
                  <w:vAlign w:val="center"/>
                </w:tcPr>
                <w:p w14:paraId="20144AD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tcBorders>
                    <w:tl2br w:val="nil"/>
                    <w:tr2bl w:val="nil"/>
                  </w:tcBorders>
                  <w:vAlign w:val="center"/>
                </w:tcPr>
                <w:p w14:paraId="2F33088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昼间</w:t>
                  </w:r>
                </w:p>
              </w:tc>
              <w:tc>
                <w:tcPr>
                  <w:tcW w:w="1324" w:type="dxa"/>
                  <w:tcBorders>
                    <w:tl2br w:val="nil"/>
                    <w:tr2bl w:val="nil"/>
                  </w:tcBorders>
                  <w:vAlign w:val="center"/>
                </w:tcPr>
                <w:p w14:paraId="0CE5A24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53.2</w:t>
                  </w:r>
                </w:p>
              </w:tc>
              <w:tc>
                <w:tcPr>
                  <w:tcW w:w="1325" w:type="dxa"/>
                  <w:tcBorders>
                    <w:tl2br w:val="nil"/>
                    <w:tr2bl w:val="nil"/>
                  </w:tcBorders>
                  <w:vAlign w:val="center"/>
                </w:tcPr>
                <w:p w14:paraId="1104EBC4">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60</w:t>
                  </w:r>
                </w:p>
              </w:tc>
            </w:tr>
            <w:tr w14:paraId="4B42AC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4" w:type="dxa"/>
                  <w:vMerge w:val="continue"/>
                  <w:tcBorders>
                    <w:tl2br w:val="nil"/>
                    <w:tr2bl w:val="nil"/>
                  </w:tcBorders>
                  <w:vAlign w:val="center"/>
                </w:tcPr>
                <w:p w14:paraId="10A16AC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vMerge w:val="continue"/>
                  <w:tcBorders>
                    <w:tl2br w:val="nil"/>
                    <w:tr2bl w:val="nil"/>
                  </w:tcBorders>
                  <w:vAlign w:val="center"/>
                </w:tcPr>
                <w:p w14:paraId="18D4292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1"/>
                      <w:vertAlign w:val="baseline"/>
                      <w:lang w:val="en-US" w:eastAsia="zh-CN"/>
                    </w:rPr>
                  </w:pPr>
                </w:p>
              </w:tc>
              <w:tc>
                <w:tcPr>
                  <w:tcW w:w="1324" w:type="dxa"/>
                  <w:vMerge w:val="continue"/>
                  <w:tcBorders>
                    <w:tl2br w:val="nil"/>
                    <w:tr2bl w:val="nil"/>
                  </w:tcBorders>
                  <w:vAlign w:val="center"/>
                </w:tcPr>
                <w:p w14:paraId="70019D04">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tcBorders>
                    <w:tl2br w:val="nil"/>
                    <w:tr2bl w:val="nil"/>
                  </w:tcBorders>
                  <w:vAlign w:val="center"/>
                </w:tcPr>
                <w:p w14:paraId="3CCFB252">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夜间</w:t>
                  </w:r>
                </w:p>
              </w:tc>
              <w:tc>
                <w:tcPr>
                  <w:tcW w:w="1324" w:type="dxa"/>
                  <w:tcBorders>
                    <w:tl2br w:val="nil"/>
                    <w:tr2bl w:val="nil"/>
                  </w:tcBorders>
                  <w:vAlign w:val="center"/>
                </w:tcPr>
                <w:p w14:paraId="7387971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47.1</w:t>
                  </w:r>
                </w:p>
              </w:tc>
              <w:tc>
                <w:tcPr>
                  <w:tcW w:w="1325" w:type="dxa"/>
                  <w:tcBorders>
                    <w:tl2br w:val="nil"/>
                    <w:tr2bl w:val="nil"/>
                  </w:tcBorders>
                  <w:vAlign w:val="center"/>
                </w:tcPr>
                <w:p w14:paraId="0CC466A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50</w:t>
                  </w:r>
                </w:p>
              </w:tc>
            </w:tr>
            <w:tr w14:paraId="15CBBD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4" w:type="dxa"/>
                  <w:vMerge w:val="restart"/>
                  <w:tcBorders>
                    <w:tl2br w:val="nil"/>
                    <w:tr2bl w:val="nil"/>
                  </w:tcBorders>
                  <w:vAlign w:val="center"/>
                </w:tcPr>
                <w:p w14:paraId="4737E012">
                  <w:pPr>
                    <w:pStyle w:val="6"/>
                    <w:keepNext w:val="0"/>
                    <w:keepLines w:val="0"/>
                    <w:pageBreakBefore w:val="0"/>
                    <w:widowControl w:val="0"/>
                    <w:numPr>
                      <w:ilvl w:val="0"/>
                      <w:numId w:val="10"/>
                    </w:numPr>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vMerge w:val="restart"/>
                  <w:tcBorders>
                    <w:tl2br w:val="nil"/>
                    <w:tr2bl w:val="nil"/>
                  </w:tcBorders>
                  <w:vAlign w:val="center"/>
                </w:tcPr>
                <w:p w14:paraId="0E021EC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厂界东N1</w:t>
                  </w:r>
                </w:p>
              </w:tc>
              <w:tc>
                <w:tcPr>
                  <w:tcW w:w="1324" w:type="dxa"/>
                  <w:vMerge w:val="restart"/>
                  <w:tcBorders>
                    <w:tl2br w:val="nil"/>
                    <w:tr2bl w:val="nil"/>
                  </w:tcBorders>
                  <w:vAlign w:val="center"/>
                </w:tcPr>
                <w:p w14:paraId="444952E6">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sz w:val="21"/>
                      <w:vertAlign w:val="baseline"/>
                      <w:lang w:val="en-US" w:eastAsia="zh-CN"/>
                    </w:rPr>
                  </w:pPr>
                  <w:r>
                    <w:rPr>
                      <w:rFonts w:hint="eastAsia" w:ascii="Times New Roman" w:hAnsi="Times New Roman"/>
                      <w:b w:val="0"/>
                      <w:sz w:val="21"/>
                      <w:vertAlign w:val="baseline"/>
                      <w:lang w:val="en-US" w:eastAsia="zh-CN"/>
                    </w:rPr>
                    <w:t>2022年11月27日</w:t>
                  </w:r>
                </w:p>
              </w:tc>
              <w:tc>
                <w:tcPr>
                  <w:tcW w:w="1324" w:type="dxa"/>
                  <w:tcBorders>
                    <w:tl2br w:val="nil"/>
                    <w:tr2bl w:val="nil"/>
                  </w:tcBorders>
                  <w:vAlign w:val="center"/>
                </w:tcPr>
                <w:p w14:paraId="3370307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昼间</w:t>
                  </w:r>
                </w:p>
              </w:tc>
              <w:tc>
                <w:tcPr>
                  <w:tcW w:w="1324" w:type="dxa"/>
                  <w:tcBorders>
                    <w:tl2br w:val="nil"/>
                    <w:tr2bl w:val="nil"/>
                  </w:tcBorders>
                  <w:vAlign w:val="center"/>
                </w:tcPr>
                <w:p w14:paraId="1E6374A5">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52.8</w:t>
                  </w:r>
                </w:p>
              </w:tc>
              <w:tc>
                <w:tcPr>
                  <w:tcW w:w="1325" w:type="dxa"/>
                  <w:tcBorders>
                    <w:tl2br w:val="nil"/>
                    <w:tr2bl w:val="nil"/>
                  </w:tcBorders>
                  <w:vAlign w:val="center"/>
                </w:tcPr>
                <w:p w14:paraId="0610182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60</w:t>
                  </w:r>
                </w:p>
              </w:tc>
            </w:tr>
            <w:tr w14:paraId="2D6ED3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4" w:type="dxa"/>
                  <w:vMerge w:val="continue"/>
                  <w:tcBorders>
                    <w:tl2br w:val="nil"/>
                    <w:tr2bl w:val="nil"/>
                  </w:tcBorders>
                  <w:vAlign w:val="center"/>
                </w:tcPr>
                <w:p w14:paraId="36C431D5">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vMerge w:val="continue"/>
                  <w:tcBorders>
                    <w:tl2br w:val="nil"/>
                    <w:tr2bl w:val="nil"/>
                  </w:tcBorders>
                  <w:vAlign w:val="center"/>
                </w:tcPr>
                <w:p w14:paraId="3E852EE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1"/>
                      <w:vertAlign w:val="baseline"/>
                      <w:lang w:val="en-US" w:eastAsia="zh-CN"/>
                    </w:rPr>
                  </w:pPr>
                </w:p>
              </w:tc>
              <w:tc>
                <w:tcPr>
                  <w:tcW w:w="1324" w:type="dxa"/>
                  <w:vMerge w:val="continue"/>
                  <w:tcBorders>
                    <w:tl2br w:val="nil"/>
                    <w:tr2bl w:val="nil"/>
                  </w:tcBorders>
                  <w:vAlign w:val="center"/>
                </w:tcPr>
                <w:p w14:paraId="63E55B4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tcBorders>
                    <w:tl2br w:val="nil"/>
                    <w:tr2bl w:val="nil"/>
                  </w:tcBorders>
                  <w:vAlign w:val="center"/>
                </w:tcPr>
                <w:p w14:paraId="7005AA62">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夜间</w:t>
                  </w:r>
                </w:p>
              </w:tc>
              <w:tc>
                <w:tcPr>
                  <w:tcW w:w="1324" w:type="dxa"/>
                  <w:tcBorders>
                    <w:tl2br w:val="nil"/>
                    <w:tr2bl w:val="nil"/>
                  </w:tcBorders>
                  <w:vAlign w:val="center"/>
                </w:tcPr>
                <w:p w14:paraId="5F13177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46.1</w:t>
                  </w:r>
                </w:p>
              </w:tc>
              <w:tc>
                <w:tcPr>
                  <w:tcW w:w="1325" w:type="dxa"/>
                  <w:tcBorders>
                    <w:tl2br w:val="nil"/>
                    <w:tr2bl w:val="nil"/>
                  </w:tcBorders>
                  <w:vAlign w:val="center"/>
                </w:tcPr>
                <w:p w14:paraId="1507E9D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50</w:t>
                  </w:r>
                </w:p>
              </w:tc>
            </w:tr>
            <w:tr w14:paraId="2276A4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4" w:type="dxa"/>
                  <w:vMerge w:val="restart"/>
                  <w:tcBorders>
                    <w:tl2br w:val="nil"/>
                    <w:tr2bl w:val="nil"/>
                  </w:tcBorders>
                  <w:vAlign w:val="center"/>
                </w:tcPr>
                <w:p w14:paraId="43479FB8">
                  <w:pPr>
                    <w:pStyle w:val="6"/>
                    <w:keepNext w:val="0"/>
                    <w:keepLines w:val="0"/>
                    <w:pageBreakBefore w:val="0"/>
                    <w:widowControl w:val="0"/>
                    <w:numPr>
                      <w:ilvl w:val="0"/>
                      <w:numId w:val="10"/>
                    </w:numPr>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vMerge w:val="restart"/>
                  <w:tcBorders>
                    <w:tl2br w:val="nil"/>
                    <w:tr2bl w:val="nil"/>
                  </w:tcBorders>
                  <w:vAlign w:val="center"/>
                </w:tcPr>
                <w:p w14:paraId="41710DA9">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厂界南N2</w:t>
                  </w:r>
                </w:p>
              </w:tc>
              <w:tc>
                <w:tcPr>
                  <w:tcW w:w="1324" w:type="dxa"/>
                  <w:vMerge w:val="continue"/>
                  <w:tcBorders>
                    <w:tl2br w:val="nil"/>
                    <w:tr2bl w:val="nil"/>
                  </w:tcBorders>
                  <w:vAlign w:val="center"/>
                </w:tcPr>
                <w:p w14:paraId="50CEADB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tcBorders>
                    <w:tl2br w:val="nil"/>
                    <w:tr2bl w:val="nil"/>
                  </w:tcBorders>
                  <w:vAlign w:val="center"/>
                </w:tcPr>
                <w:p w14:paraId="7F01270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昼间</w:t>
                  </w:r>
                </w:p>
              </w:tc>
              <w:tc>
                <w:tcPr>
                  <w:tcW w:w="1324" w:type="dxa"/>
                  <w:tcBorders>
                    <w:tl2br w:val="nil"/>
                    <w:tr2bl w:val="nil"/>
                  </w:tcBorders>
                  <w:vAlign w:val="center"/>
                </w:tcPr>
                <w:p w14:paraId="2B344BA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53.2</w:t>
                  </w:r>
                </w:p>
              </w:tc>
              <w:tc>
                <w:tcPr>
                  <w:tcW w:w="1325" w:type="dxa"/>
                  <w:tcBorders>
                    <w:tl2br w:val="nil"/>
                    <w:tr2bl w:val="nil"/>
                  </w:tcBorders>
                  <w:vAlign w:val="center"/>
                </w:tcPr>
                <w:p w14:paraId="0EE661C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60</w:t>
                  </w:r>
                </w:p>
              </w:tc>
            </w:tr>
            <w:tr w14:paraId="49D0B7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4" w:type="dxa"/>
                  <w:vMerge w:val="continue"/>
                  <w:tcBorders>
                    <w:tl2br w:val="nil"/>
                    <w:tr2bl w:val="nil"/>
                  </w:tcBorders>
                  <w:vAlign w:val="center"/>
                </w:tcPr>
                <w:p w14:paraId="2DDB7D9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vMerge w:val="continue"/>
                  <w:tcBorders>
                    <w:tl2br w:val="nil"/>
                    <w:tr2bl w:val="nil"/>
                  </w:tcBorders>
                  <w:vAlign w:val="center"/>
                </w:tcPr>
                <w:p w14:paraId="7DABA4D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1"/>
                      <w:vertAlign w:val="baseline"/>
                      <w:lang w:val="en-US" w:eastAsia="zh-CN"/>
                    </w:rPr>
                  </w:pPr>
                </w:p>
              </w:tc>
              <w:tc>
                <w:tcPr>
                  <w:tcW w:w="1324" w:type="dxa"/>
                  <w:vMerge w:val="continue"/>
                  <w:tcBorders>
                    <w:tl2br w:val="nil"/>
                    <w:tr2bl w:val="nil"/>
                  </w:tcBorders>
                  <w:vAlign w:val="center"/>
                </w:tcPr>
                <w:p w14:paraId="135C724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tcBorders>
                    <w:tl2br w:val="nil"/>
                    <w:tr2bl w:val="nil"/>
                  </w:tcBorders>
                  <w:vAlign w:val="center"/>
                </w:tcPr>
                <w:p w14:paraId="761702C2">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夜间</w:t>
                  </w:r>
                </w:p>
              </w:tc>
              <w:tc>
                <w:tcPr>
                  <w:tcW w:w="1324" w:type="dxa"/>
                  <w:tcBorders>
                    <w:tl2br w:val="nil"/>
                    <w:tr2bl w:val="nil"/>
                  </w:tcBorders>
                  <w:vAlign w:val="center"/>
                </w:tcPr>
                <w:p w14:paraId="2B758FE2">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47.4</w:t>
                  </w:r>
                </w:p>
              </w:tc>
              <w:tc>
                <w:tcPr>
                  <w:tcW w:w="1325" w:type="dxa"/>
                  <w:tcBorders>
                    <w:tl2br w:val="nil"/>
                    <w:tr2bl w:val="nil"/>
                  </w:tcBorders>
                  <w:vAlign w:val="center"/>
                </w:tcPr>
                <w:p w14:paraId="5A30B48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50</w:t>
                  </w:r>
                </w:p>
              </w:tc>
            </w:tr>
            <w:tr w14:paraId="16351E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4" w:type="dxa"/>
                  <w:vMerge w:val="restart"/>
                  <w:tcBorders>
                    <w:tl2br w:val="nil"/>
                    <w:tr2bl w:val="nil"/>
                  </w:tcBorders>
                  <w:vAlign w:val="center"/>
                </w:tcPr>
                <w:p w14:paraId="35116085">
                  <w:pPr>
                    <w:pStyle w:val="6"/>
                    <w:keepNext w:val="0"/>
                    <w:keepLines w:val="0"/>
                    <w:pageBreakBefore w:val="0"/>
                    <w:widowControl w:val="0"/>
                    <w:numPr>
                      <w:ilvl w:val="0"/>
                      <w:numId w:val="10"/>
                    </w:numPr>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vMerge w:val="restart"/>
                  <w:tcBorders>
                    <w:tl2br w:val="nil"/>
                    <w:tr2bl w:val="nil"/>
                  </w:tcBorders>
                  <w:vAlign w:val="center"/>
                </w:tcPr>
                <w:p w14:paraId="42EDCE0F">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厂界西N3</w:t>
                  </w:r>
                </w:p>
              </w:tc>
              <w:tc>
                <w:tcPr>
                  <w:tcW w:w="1324" w:type="dxa"/>
                  <w:vMerge w:val="continue"/>
                  <w:tcBorders>
                    <w:tl2br w:val="nil"/>
                    <w:tr2bl w:val="nil"/>
                  </w:tcBorders>
                  <w:vAlign w:val="center"/>
                </w:tcPr>
                <w:p w14:paraId="1AFDECB4">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tcBorders>
                    <w:tl2br w:val="nil"/>
                    <w:tr2bl w:val="nil"/>
                  </w:tcBorders>
                  <w:vAlign w:val="center"/>
                </w:tcPr>
                <w:p w14:paraId="3D98BCC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昼间</w:t>
                  </w:r>
                </w:p>
              </w:tc>
              <w:tc>
                <w:tcPr>
                  <w:tcW w:w="1324" w:type="dxa"/>
                  <w:tcBorders>
                    <w:tl2br w:val="nil"/>
                    <w:tr2bl w:val="nil"/>
                  </w:tcBorders>
                  <w:vAlign w:val="center"/>
                </w:tcPr>
                <w:p w14:paraId="4FCDF96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53.3</w:t>
                  </w:r>
                </w:p>
              </w:tc>
              <w:tc>
                <w:tcPr>
                  <w:tcW w:w="1325" w:type="dxa"/>
                  <w:tcBorders>
                    <w:tl2br w:val="nil"/>
                    <w:tr2bl w:val="nil"/>
                  </w:tcBorders>
                  <w:vAlign w:val="center"/>
                </w:tcPr>
                <w:p w14:paraId="4A537C7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60</w:t>
                  </w:r>
                </w:p>
              </w:tc>
            </w:tr>
            <w:tr w14:paraId="6F6BF5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4" w:type="dxa"/>
                  <w:vMerge w:val="continue"/>
                  <w:tcBorders>
                    <w:tl2br w:val="nil"/>
                    <w:tr2bl w:val="nil"/>
                  </w:tcBorders>
                  <w:vAlign w:val="center"/>
                </w:tcPr>
                <w:p w14:paraId="26662B1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vMerge w:val="continue"/>
                  <w:tcBorders>
                    <w:tl2br w:val="nil"/>
                    <w:tr2bl w:val="nil"/>
                  </w:tcBorders>
                  <w:vAlign w:val="center"/>
                </w:tcPr>
                <w:p w14:paraId="684A858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1"/>
                      <w:vertAlign w:val="baseline"/>
                      <w:lang w:val="en-US" w:eastAsia="zh-CN"/>
                    </w:rPr>
                  </w:pPr>
                </w:p>
              </w:tc>
              <w:tc>
                <w:tcPr>
                  <w:tcW w:w="1324" w:type="dxa"/>
                  <w:vMerge w:val="continue"/>
                  <w:tcBorders>
                    <w:tl2br w:val="nil"/>
                    <w:tr2bl w:val="nil"/>
                  </w:tcBorders>
                  <w:vAlign w:val="center"/>
                </w:tcPr>
                <w:p w14:paraId="7EFA4FA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tcBorders>
                    <w:tl2br w:val="nil"/>
                    <w:tr2bl w:val="nil"/>
                  </w:tcBorders>
                  <w:vAlign w:val="center"/>
                </w:tcPr>
                <w:p w14:paraId="68DDF26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夜间</w:t>
                  </w:r>
                </w:p>
              </w:tc>
              <w:tc>
                <w:tcPr>
                  <w:tcW w:w="1324" w:type="dxa"/>
                  <w:tcBorders>
                    <w:tl2br w:val="nil"/>
                    <w:tr2bl w:val="nil"/>
                  </w:tcBorders>
                  <w:vAlign w:val="center"/>
                </w:tcPr>
                <w:p w14:paraId="66C6DE9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46.2</w:t>
                  </w:r>
                </w:p>
              </w:tc>
              <w:tc>
                <w:tcPr>
                  <w:tcW w:w="1325" w:type="dxa"/>
                  <w:tcBorders>
                    <w:tl2br w:val="nil"/>
                    <w:tr2bl w:val="nil"/>
                  </w:tcBorders>
                  <w:vAlign w:val="center"/>
                </w:tcPr>
                <w:p w14:paraId="144E6A44">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50</w:t>
                  </w:r>
                </w:p>
              </w:tc>
            </w:tr>
            <w:tr w14:paraId="5F6E3C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4" w:type="dxa"/>
                  <w:vMerge w:val="restart"/>
                  <w:tcBorders>
                    <w:tl2br w:val="nil"/>
                    <w:tr2bl w:val="nil"/>
                  </w:tcBorders>
                  <w:vAlign w:val="center"/>
                </w:tcPr>
                <w:p w14:paraId="64A95F31">
                  <w:pPr>
                    <w:pStyle w:val="6"/>
                    <w:keepNext w:val="0"/>
                    <w:keepLines w:val="0"/>
                    <w:pageBreakBefore w:val="0"/>
                    <w:widowControl w:val="0"/>
                    <w:numPr>
                      <w:ilvl w:val="0"/>
                      <w:numId w:val="10"/>
                    </w:numPr>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vMerge w:val="restart"/>
                  <w:tcBorders>
                    <w:tl2br w:val="nil"/>
                    <w:tr2bl w:val="nil"/>
                  </w:tcBorders>
                  <w:vAlign w:val="center"/>
                </w:tcPr>
                <w:p w14:paraId="0C38065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厂界北N4</w:t>
                  </w:r>
                </w:p>
              </w:tc>
              <w:tc>
                <w:tcPr>
                  <w:tcW w:w="1324" w:type="dxa"/>
                  <w:vMerge w:val="continue"/>
                  <w:tcBorders>
                    <w:tl2br w:val="nil"/>
                    <w:tr2bl w:val="nil"/>
                  </w:tcBorders>
                  <w:vAlign w:val="center"/>
                </w:tcPr>
                <w:p w14:paraId="244CD75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tcBorders>
                    <w:tl2br w:val="nil"/>
                    <w:tr2bl w:val="nil"/>
                  </w:tcBorders>
                  <w:vAlign w:val="center"/>
                </w:tcPr>
                <w:p w14:paraId="4291D6F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昼间</w:t>
                  </w:r>
                </w:p>
              </w:tc>
              <w:tc>
                <w:tcPr>
                  <w:tcW w:w="1324" w:type="dxa"/>
                  <w:tcBorders>
                    <w:tl2br w:val="nil"/>
                    <w:tr2bl w:val="nil"/>
                  </w:tcBorders>
                  <w:vAlign w:val="center"/>
                </w:tcPr>
                <w:p w14:paraId="3BC81F4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53.4</w:t>
                  </w:r>
                </w:p>
              </w:tc>
              <w:tc>
                <w:tcPr>
                  <w:tcW w:w="1325" w:type="dxa"/>
                  <w:tcBorders>
                    <w:tl2br w:val="nil"/>
                    <w:tr2bl w:val="nil"/>
                  </w:tcBorders>
                  <w:vAlign w:val="center"/>
                </w:tcPr>
                <w:p w14:paraId="5BDBF8D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60</w:t>
                  </w:r>
                </w:p>
              </w:tc>
            </w:tr>
            <w:tr w14:paraId="4B448E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4" w:type="dxa"/>
                  <w:vMerge w:val="continue"/>
                  <w:tcBorders>
                    <w:tl2br w:val="nil"/>
                    <w:tr2bl w:val="nil"/>
                  </w:tcBorders>
                  <w:vAlign w:val="center"/>
                </w:tcPr>
                <w:p w14:paraId="3348D61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vMerge w:val="continue"/>
                  <w:tcBorders>
                    <w:tl2br w:val="nil"/>
                    <w:tr2bl w:val="nil"/>
                  </w:tcBorders>
                  <w:vAlign w:val="center"/>
                </w:tcPr>
                <w:p w14:paraId="7B18610F">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sz w:val="21"/>
                      <w:vertAlign w:val="baseline"/>
                      <w:lang w:val="en-US" w:eastAsia="zh-CN"/>
                    </w:rPr>
                  </w:pPr>
                </w:p>
              </w:tc>
              <w:tc>
                <w:tcPr>
                  <w:tcW w:w="1324" w:type="dxa"/>
                  <w:vMerge w:val="continue"/>
                  <w:tcBorders>
                    <w:tl2br w:val="nil"/>
                    <w:tr2bl w:val="nil"/>
                  </w:tcBorders>
                  <w:vAlign w:val="center"/>
                </w:tcPr>
                <w:p w14:paraId="409880F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p>
              </w:tc>
              <w:tc>
                <w:tcPr>
                  <w:tcW w:w="1324" w:type="dxa"/>
                  <w:tcBorders>
                    <w:tl2br w:val="nil"/>
                    <w:tr2bl w:val="nil"/>
                  </w:tcBorders>
                  <w:vAlign w:val="center"/>
                </w:tcPr>
                <w:p w14:paraId="69CCBA7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夜间</w:t>
                  </w:r>
                </w:p>
              </w:tc>
              <w:tc>
                <w:tcPr>
                  <w:tcW w:w="1324" w:type="dxa"/>
                  <w:tcBorders>
                    <w:tl2br w:val="nil"/>
                    <w:tr2bl w:val="nil"/>
                  </w:tcBorders>
                  <w:vAlign w:val="center"/>
                </w:tcPr>
                <w:p w14:paraId="4023B70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46.4</w:t>
                  </w:r>
                </w:p>
              </w:tc>
              <w:tc>
                <w:tcPr>
                  <w:tcW w:w="1325" w:type="dxa"/>
                  <w:tcBorders>
                    <w:tl2br w:val="nil"/>
                    <w:tr2bl w:val="nil"/>
                  </w:tcBorders>
                  <w:vAlign w:val="center"/>
                </w:tcPr>
                <w:p w14:paraId="76E8B1E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sz w:val="21"/>
                      <w:vertAlign w:val="baseline"/>
                      <w:lang w:val="en-US" w:eastAsia="zh-CN"/>
                    </w:rPr>
                  </w:pPr>
                  <w:r>
                    <w:rPr>
                      <w:rFonts w:hint="eastAsia"/>
                      <w:sz w:val="21"/>
                      <w:vertAlign w:val="baseline"/>
                      <w:lang w:val="en-US" w:eastAsia="zh-CN"/>
                    </w:rPr>
                    <w:t>50</w:t>
                  </w:r>
                </w:p>
              </w:tc>
            </w:tr>
          </w:tbl>
          <w:p w14:paraId="24A90BF3">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sz w:val="24"/>
                <w:lang w:val="en-US" w:eastAsia="zh-CN"/>
              </w:rPr>
            </w:pPr>
            <w:r>
              <w:rPr>
                <w:rFonts w:hint="eastAsia"/>
                <w:sz w:val="24"/>
                <w:lang w:val="en-US" w:eastAsia="zh-CN"/>
              </w:rPr>
              <w:t>（1）</w:t>
            </w:r>
            <w:r>
              <w:rPr>
                <w:rFonts w:hint="default"/>
                <w:sz w:val="24"/>
                <w:lang w:val="en-US" w:eastAsia="zh-CN"/>
              </w:rPr>
              <w:t>废水：</w:t>
            </w:r>
          </w:p>
          <w:p w14:paraId="59B70737">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sz w:val="24"/>
                <w:lang w:val="en-US" w:eastAsia="zh-CN"/>
              </w:rPr>
            </w:pPr>
            <w:r>
              <w:rPr>
                <w:rFonts w:hint="default"/>
                <w:sz w:val="24"/>
                <w:lang w:val="en-US" w:eastAsia="zh-CN"/>
              </w:rPr>
              <w:t>验收监测期间厂区污水排口化学需氧量、悬浮物、氨氮、总磷均符合涟水县污水处理厂接管标准。</w:t>
            </w:r>
          </w:p>
          <w:p w14:paraId="027C2E3B">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sz w:val="24"/>
                <w:lang w:val="en-US" w:eastAsia="zh-CN"/>
              </w:rPr>
            </w:pPr>
            <w:r>
              <w:rPr>
                <w:rFonts w:hint="eastAsia"/>
                <w:sz w:val="24"/>
                <w:lang w:val="en-US" w:eastAsia="zh-CN"/>
              </w:rPr>
              <w:t>（2）</w:t>
            </w:r>
            <w:r>
              <w:rPr>
                <w:rFonts w:hint="default"/>
                <w:sz w:val="24"/>
                <w:lang w:val="en-US" w:eastAsia="zh-CN"/>
              </w:rPr>
              <w:t>废气：</w:t>
            </w:r>
          </w:p>
          <w:p w14:paraId="1EBA261F">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sz w:val="24"/>
                <w:lang w:val="en-US" w:eastAsia="zh-CN"/>
              </w:rPr>
            </w:pPr>
            <w:r>
              <w:rPr>
                <w:rFonts w:hint="eastAsia"/>
                <w:sz w:val="24"/>
                <w:lang w:val="en-US" w:eastAsia="zh-CN"/>
              </w:rPr>
              <w:t>①</w:t>
            </w:r>
            <w:r>
              <w:rPr>
                <w:rFonts w:hint="default"/>
                <w:sz w:val="24"/>
                <w:lang w:val="en-US" w:eastAsia="zh-CN"/>
              </w:rPr>
              <w:t>有组织废气</w:t>
            </w:r>
          </w:p>
          <w:p w14:paraId="6219A6B2">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sz w:val="24"/>
                <w:lang w:val="en-US" w:eastAsia="zh-CN"/>
              </w:rPr>
            </w:pPr>
            <w:r>
              <w:rPr>
                <w:rFonts w:hint="default"/>
                <w:sz w:val="24"/>
                <w:lang w:val="en-US" w:eastAsia="zh-CN"/>
              </w:rPr>
              <w:t>验收监测期间生产过程产生的有组织非甲烷总烃排放浓度符合江苏省地方标准</w:t>
            </w:r>
          </w:p>
          <w:p w14:paraId="0F7EA181">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sz w:val="24"/>
                <w:lang w:val="en-US" w:eastAsia="zh-CN"/>
              </w:rPr>
            </w:pPr>
            <w:r>
              <w:rPr>
                <w:rFonts w:hint="default"/>
                <w:sz w:val="24"/>
                <w:lang w:val="en-US" w:eastAsia="zh-CN"/>
              </w:rPr>
              <w:t>《大气污染物综合排放标准》（DB32/4041-2021）表 1 排放限值要求。</w:t>
            </w:r>
          </w:p>
          <w:p w14:paraId="31000104">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sz w:val="24"/>
                <w:lang w:val="en-US" w:eastAsia="zh-CN"/>
              </w:rPr>
            </w:pPr>
            <w:r>
              <w:rPr>
                <w:rFonts w:hint="eastAsia"/>
                <w:sz w:val="24"/>
                <w:lang w:val="en-US" w:eastAsia="zh-CN"/>
              </w:rPr>
              <w:t>②</w:t>
            </w:r>
            <w:r>
              <w:rPr>
                <w:rFonts w:hint="default"/>
                <w:sz w:val="24"/>
                <w:lang w:val="en-US" w:eastAsia="zh-CN"/>
              </w:rPr>
              <w:t>无组织废气</w:t>
            </w:r>
          </w:p>
          <w:p w14:paraId="0DF4AE03">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sz w:val="24"/>
                <w:lang w:val="en-US" w:eastAsia="zh-CN"/>
              </w:rPr>
            </w:pPr>
            <w:r>
              <w:rPr>
                <w:rFonts w:hint="default"/>
                <w:sz w:val="24"/>
                <w:lang w:val="en-US" w:eastAsia="zh-CN"/>
              </w:rPr>
              <w:t>验收监测期间无组织废气非甲烷总烃厂界监控点浓度最高值符合江苏省地方标准《大气污染物综合排放标准》（DB32/4041-2021）表 3 边界大气污染物监控浓度限值要求；无组织废气厂区内非甲烷总烃监控点浓度最高值符合江苏省地方标准《大气污染物综合排放标准》（DB32/4041-2021）中表 2 厂区内非甲烷总烃无组织排放限值要求。</w:t>
            </w:r>
          </w:p>
          <w:p w14:paraId="7F257BF3">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sz w:val="24"/>
                <w:lang w:val="en-US" w:eastAsia="zh-CN"/>
              </w:rPr>
            </w:pPr>
            <w:r>
              <w:rPr>
                <w:rFonts w:hint="eastAsia"/>
                <w:sz w:val="24"/>
                <w:lang w:val="en-US" w:eastAsia="zh-CN"/>
              </w:rPr>
              <w:t>（3）</w:t>
            </w:r>
            <w:r>
              <w:rPr>
                <w:rFonts w:hint="default"/>
                <w:sz w:val="24"/>
                <w:lang w:val="en-US" w:eastAsia="zh-CN"/>
              </w:rPr>
              <w:t>噪声：</w:t>
            </w:r>
          </w:p>
          <w:p w14:paraId="7366BABB">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sz w:val="24"/>
                <w:lang w:val="en-US" w:eastAsia="zh-CN"/>
              </w:rPr>
            </w:pPr>
            <w:r>
              <w:rPr>
                <w:rFonts w:hint="default"/>
                <w:sz w:val="24"/>
                <w:lang w:val="en-US" w:eastAsia="zh-CN"/>
              </w:rPr>
              <w:t>验收监测期间厂界的东、南、西、北侧 4 个噪声监测点厂界昼间环境噪声监测值等效声级均满足《工业企业厂界环境噪声排放标准》（GB12348-2008）昼间 2 类标准。</w:t>
            </w:r>
          </w:p>
          <w:p w14:paraId="2B93609D">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sz w:val="24"/>
                <w:lang w:val="en-US" w:eastAsia="zh-CN"/>
              </w:rPr>
            </w:pPr>
            <w:r>
              <w:rPr>
                <w:rFonts w:hint="eastAsia"/>
                <w:sz w:val="24"/>
                <w:lang w:val="en-US" w:eastAsia="zh-CN"/>
              </w:rPr>
              <w:t>（4）</w:t>
            </w:r>
            <w:r>
              <w:rPr>
                <w:rFonts w:hint="default"/>
                <w:sz w:val="24"/>
                <w:lang w:val="en-US" w:eastAsia="zh-CN"/>
              </w:rPr>
              <w:t>固废：</w:t>
            </w:r>
          </w:p>
          <w:p w14:paraId="2632FE7B">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sz w:val="24"/>
                <w:lang w:val="en-US" w:eastAsia="zh-CN"/>
              </w:rPr>
            </w:pPr>
            <w:r>
              <w:rPr>
                <w:rFonts w:hint="eastAsia"/>
                <w:sz w:val="24"/>
                <w:lang w:val="en-US" w:eastAsia="zh-CN"/>
              </w:rPr>
              <w:t>原有</w:t>
            </w:r>
            <w:r>
              <w:rPr>
                <w:rFonts w:hint="default"/>
                <w:sz w:val="24"/>
                <w:lang w:val="en-US" w:eastAsia="zh-CN"/>
              </w:rPr>
              <w:t>项目产生的固体废物主要为生活垃圾、边角料、碎玻璃及粉末、废玻璃、不合格品、废包装材料、废胶桶、废硅酮胶包装袋、废活性炭。员工生活垃圾由环卫部门统一清运；边角料、碎玻璃及粉末、废玻璃、不合格品外售给涟水县宝丰玻璃制品厂；废包装材料外售给废品收购站；废胶桶由供应商回收；废硅酮胶包装袋和废活性炭属于危险固废，委托淮安华昌固废处置有限公司处理。</w:t>
            </w:r>
          </w:p>
          <w:p w14:paraId="36A09FC9">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sz w:val="24"/>
                <w:lang w:val="en-US" w:eastAsia="zh-CN"/>
              </w:rPr>
            </w:pPr>
            <w:r>
              <w:rPr>
                <w:rFonts w:hint="default"/>
                <w:sz w:val="24"/>
                <w:lang w:val="en-US" w:eastAsia="zh-CN"/>
              </w:rPr>
              <w:t>固体废物全部综合利用或安全处置，达到“零”排放。</w:t>
            </w:r>
          </w:p>
          <w:p w14:paraId="169D5C23">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default" w:ascii="Times New Roman" w:hAnsi="Times New Roman"/>
                <w:b w:val="0"/>
                <w:sz w:val="24"/>
                <w:lang w:val="en-US" w:eastAsia="zh-CN"/>
              </w:rPr>
            </w:pPr>
            <w:r>
              <w:rPr>
                <w:rFonts w:hint="default" w:ascii="Times New Roman" w:hAnsi="Times New Roman"/>
                <w:b w:val="0"/>
                <w:sz w:val="24"/>
                <w:lang w:val="en-US" w:eastAsia="zh-CN"/>
              </w:rPr>
              <w:t>5、总量核定：</w:t>
            </w:r>
          </w:p>
          <w:p w14:paraId="75E7BE52">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default"/>
                <w:lang w:val="en-US" w:eastAsia="zh-CN"/>
              </w:rPr>
            </w:pPr>
            <w:r>
              <w:rPr>
                <w:rFonts w:hint="eastAsia" w:ascii="Times New Roman" w:hAnsi="Times New Roman"/>
                <w:b w:val="0"/>
                <w:sz w:val="24"/>
                <w:lang w:val="en-US" w:eastAsia="zh-CN"/>
              </w:rPr>
              <w:t>原有</w:t>
            </w:r>
            <w:r>
              <w:rPr>
                <w:rFonts w:hint="default" w:ascii="Times New Roman" w:hAnsi="Times New Roman"/>
                <w:b w:val="0"/>
                <w:sz w:val="24"/>
                <w:lang w:val="en-US" w:eastAsia="zh-CN"/>
              </w:rPr>
              <w:t>项目有组织非甲烷总烃排放量为 0.0224t/a，符合变动后总量要求；废水中化学需氧量排放量为 0.0743t/a、氨氮排放量为 0.0078t/a、总磷排放量为 0.0013t/a，均符合环评及批复中总量控制指标要求。</w:t>
            </w:r>
          </w:p>
        </w:tc>
      </w:tr>
    </w:tbl>
    <w:p w14:paraId="7CB89097">
      <w:pPr>
        <w:pStyle w:val="20"/>
        <w:jc w:val="center"/>
        <w:rPr>
          <w:rFonts w:ascii="黑体" w:hAnsi="黑体"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4B45BB4C">
      <w:pPr>
        <w:pStyle w:val="20"/>
        <w:adjustRightInd w:val="0"/>
        <w:snapToGrid w:val="0"/>
        <w:spacing w:before="0" w:beforeAutospacing="0" w:after="0" w:afterAutospacing="0" w:line="14" w:lineRule="auto"/>
        <w:jc w:val="center"/>
        <w:outlineLvl w:val="0"/>
        <w:rPr>
          <w:rFonts w:hint="eastAsia" w:ascii="黑体" w:hAnsi="黑体" w:eastAsia="黑体"/>
          <w:snapToGrid w:val="0"/>
          <w:color w:val="auto"/>
          <w:sz w:val="30"/>
          <w:szCs w:val="30"/>
        </w:rPr>
      </w:pPr>
    </w:p>
    <w:p w14:paraId="230BC3B5">
      <w:pPr>
        <w:pStyle w:val="20"/>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8636"/>
      </w:tblGrid>
      <w:tr w14:paraId="3E1391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00" w:type="dxa"/>
            <w:noWrap w:val="0"/>
            <w:vAlign w:val="center"/>
          </w:tcPr>
          <w:p w14:paraId="0D7FDAAB">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区域</w:t>
            </w:r>
          </w:p>
          <w:p w14:paraId="61DBDA97">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环境</w:t>
            </w:r>
          </w:p>
          <w:p w14:paraId="75FD6F68">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质量</w:t>
            </w:r>
          </w:p>
          <w:p w14:paraId="6FE7316E">
            <w:pPr>
              <w:adjustRightInd w:val="0"/>
              <w:snapToGrid w:val="0"/>
              <w:jc w:val="center"/>
              <w:rPr>
                <w:rFonts w:ascii="宋体" w:hAnsi="宋体" w:cs="宋体"/>
                <w:color w:val="auto"/>
                <w:kern w:val="0"/>
                <w:szCs w:val="21"/>
              </w:rPr>
            </w:pPr>
            <w:r>
              <w:rPr>
                <w:rFonts w:hint="eastAsia" w:ascii="宋体" w:hAnsi="宋体" w:cs="宋体"/>
                <w:color w:val="auto"/>
                <w:kern w:val="0"/>
                <w:szCs w:val="21"/>
              </w:rPr>
              <w:t>现状</w:t>
            </w:r>
          </w:p>
        </w:tc>
        <w:tc>
          <w:tcPr>
            <w:tcW w:w="8190" w:type="dxa"/>
            <w:noWrap w:val="0"/>
            <w:vAlign w:val="center"/>
          </w:tcPr>
          <w:p w14:paraId="77156B5E">
            <w:pPr>
              <w:keepNext w:val="0"/>
              <w:keepLines w:val="0"/>
              <w:pageBreakBefore w:val="0"/>
              <w:numPr>
                <w:ilvl w:val="0"/>
                <w:numId w:val="0"/>
              </w:numPr>
              <w:kinsoku/>
              <w:wordWrap/>
              <w:overflowPunct/>
              <w:topLinePunct w:val="0"/>
              <w:bidi w:val="0"/>
              <w:spacing w:line="360" w:lineRule="auto"/>
              <w:ind w:firstLine="480" w:firstLineChars="200"/>
              <w:jc w:val="left"/>
              <w:textAlignment w:val="auto"/>
              <w:rPr>
                <w:b w:val="0"/>
                <w:bCs w:val="0"/>
                <w:color w:val="auto"/>
                <w:sz w:val="24"/>
              </w:rPr>
            </w:pPr>
            <w:r>
              <w:rPr>
                <w:rFonts w:ascii="Times New Roman" w:hAnsi="Times New Roman" w:eastAsia="宋体" w:cs="Times New Roman"/>
                <w:b w:val="0"/>
                <w:bCs w:val="0"/>
                <w:color w:val="auto"/>
                <w:kern w:val="2"/>
                <w:sz w:val="24"/>
                <w:szCs w:val="24"/>
                <w:lang w:val="en-US" w:eastAsia="zh-CN" w:bidi="ar-SA"/>
              </w:rPr>
              <w:t>1、</w:t>
            </w:r>
            <w:r>
              <w:rPr>
                <w:b w:val="0"/>
                <w:bCs w:val="0"/>
                <w:color w:val="auto"/>
                <w:sz w:val="24"/>
              </w:rPr>
              <w:t>大气环境</w:t>
            </w:r>
            <w:r>
              <w:rPr>
                <w:rFonts w:hint="eastAsia"/>
                <w:b w:val="0"/>
                <w:bCs w:val="0"/>
                <w:color w:val="auto"/>
                <w:sz w:val="24"/>
              </w:rPr>
              <w:t>质量</w:t>
            </w:r>
            <w:r>
              <w:rPr>
                <w:b w:val="0"/>
                <w:bCs w:val="0"/>
                <w:color w:val="auto"/>
                <w:sz w:val="24"/>
              </w:rPr>
              <w:t>现状</w:t>
            </w:r>
          </w:p>
          <w:p w14:paraId="4DE3D577">
            <w:pPr>
              <w:keepNext w:val="0"/>
              <w:keepLines w:val="0"/>
              <w:pageBreakBefore w:val="0"/>
              <w:kinsoku/>
              <w:wordWrap/>
              <w:overflowPunct/>
              <w:topLinePunct w:val="0"/>
              <w:bidi w:val="0"/>
              <w:spacing w:line="360" w:lineRule="auto"/>
              <w:ind w:firstLine="480" w:firstLineChars="200"/>
              <w:textAlignment w:val="auto"/>
              <w:rPr>
                <w:color w:val="auto"/>
                <w:sz w:val="24"/>
              </w:rPr>
            </w:pPr>
            <w:r>
              <w:rPr>
                <w:rFonts w:hint="eastAsia"/>
                <w:color w:val="auto"/>
                <w:sz w:val="24"/>
              </w:rPr>
              <w:t>（1）环境空气达标判定</w:t>
            </w:r>
          </w:p>
          <w:p w14:paraId="4931717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color w:val="auto"/>
                <w:sz w:val="24"/>
                <w:szCs w:val="24"/>
              </w:rPr>
            </w:pPr>
            <w:r>
              <w:rPr>
                <w:color w:val="auto"/>
                <w:sz w:val="24"/>
              </w:rPr>
              <w:t>本项目位于</w:t>
            </w:r>
            <w:r>
              <w:rPr>
                <w:rFonts w:hint="eastAsia"/>
                <w:color w:val="auto"/>
                <w:sz w:val="24"/>
              </w:rPr>
              <w:t>淮安市</w:t>
            </w:r>
            <w:r>
              <w:rPr>
                <w:rFonts w:hint="eastAsia"/>
                <w:color w:val="auto"/>
                <w:sz w:val="24"/>
                <w:lang w:eastAsia="zh-CN"/>
              </w:rPr>
              <w:t>涟水县</w:t>
            </w:r>
            <w:r>
              <w:rPr>
                <w:rFonts w:hint="eastAsia"/>
                <w:color w:val="auto"/>
                <w:sz w:val="24"/>
                <w:lang w:val="en-US" w:eastAsia="zh-CN"/>
              </w:rPr>
              <w:t>经济开发区</w:t>
            </w:r>
            <w:r>
              <w:rPr>
                <w:color w:val="auto"/>
                <w:sz w:val="24"/>
              </w:rPr>
              <w:t>，</w:t>
            </w:r>
            <w:r>
              <w:rPr>
                <w:rFonts w:hint="eastAsia"/>
                <w:color w:val="auto"/>
                <w:sz w:val="24"/>
              </w:rPr>
              <w:t>项目</w:t>
            </w:r>
            <w:r>
              <w:rPr>
                <w:rFonts w:hint="eastAsia"/>
                <w:color w:val="auto"/>
                <w:sz w:val="24"/>
                <w:lang w:eastAsia="zh-CN"/>
              </w:rPr>
              <w:t>所在</w:t>
            </w:r>
            <w:r>
              <w:rPr>
                <w:rFonts w:hint="eastAsia"/>
                <w:color w:val="auto"/>
                <w:sz w:val="24"/>
              </w:rPr>
              <w:t>区域为环境空气二类功能区，执行《环境空气质量标准》（</w:t>
            </w:r>
            <w:r>
              <w:rPr>
                <w:color w:val="auto"/>
                <w:sz w:val="24"/>
              </w:rPr>
              <w:t>GB3095-2012</w:t>
            </w:r>
            <w:r>
              <w:rPr>
                <w:rFonts w:hint="eastAsia"/>
                <w:color w:val="auto"/>
                <w:sz w:val="24"/>
              </w:rPr>
              <w:t>）及其修改单中二级标准。</w:t>
            </w:r>
            <w:r>
              <w:rPr>
                <w:rFonts w:hint="eastAsia"/>
                <w:color w:val="auto"/>
                <w:sz w:val="24"/>
                <w:szCs w:val="24"/>
              </w:rPr>
              <w:t>根据《202</w:t>
            </w:r>
            <w:r>
              <w:rPr>
                <w:rFonts w:hint="eastAsia"/>
                <w:color w:val="auto"/>
                <w:sz w:val="24"/>
                <w:szCs w:val="24"/>
                <w:lang w:val="en-US" w:eastAsia="zh-CN"/>
              </w:rPr>
              <w:t>3</w:t>
            </w:r>
            <w:r>
              <w:rPr>
                <w:rFonts w:hint="eastAsia"/>
                <w:color w:val="auto"/>
                <w:sz w:val="24"/>
                <w:szCs w:val="24"/>
              </w:rPr>
              <w:t>年淮安市生态环境状况公报》，2023年，全市细颗粒物（PM</w:t>
            </w:r>
            <w:r>
              <w:rPr>
                <w:rFonts w:hint="eastAsia"/>
                <w:color w:val="auto"/>
                <w:sz w:val="24"/>
                <w:szCs w:val="24"/>
                <w:vertAlign w:val="subscript"/>
              </w:rPr>
              <w:t>2.</w:t>
            </w:r>
            <w:r>
              <w:rPr>
                <w:rFonts w:hint="eastAsia"/>
                <w:color w:val="auto"/>
                <w:sz w:val="24"/>
                <w:szCs w:val="24"/>
                <w:vertAlign w:val="subscript"/>
                <w:lang w:eastAsia="zh-CN"/>
              </w:rPr>
              <w:t>5）</w:t>
            </w:r>
            <w:r>
              <w:rPr>
                <w:rFonts w:hint="eastAsia"/>
                <w:color w:val="auto"/>
                <w:sz w:val="24"/>
                <w:szCs w:val="24"/>
              </w:rPr>
              <w:t>可吸入颗粒物（PM</w:t>
            </w:r>
            <w:r>
              <w:rPr>
                <w:rFonts w:hint="eastAsia"/>
                <w:color w:val="auto"/>
                <w:sz w:val="24"/>
                <w:szCs w:val="24"/>
                <w:vertAlign w:val="subscript"/>
              </w:rPr>
              <w:t>10</w:t>
            </w:r>
            <w:r>
              <w:rPr>
                <w:rFonts w:hint="eastAsia"/>
                <w:color w:val="auto"/>
                <w:sz w:val="24"/>
                <w:szCs w:val="24"/>
              </w:rPr>
              <w:t>）、二氧化硫（SO</w:t>
            </w:r>
            <w:r>
              <w:rPr>
                <w:rFonts w:hint="eastAsia"/>
                <w:color w:val="auto"/>
                <w:sz w:val="24"/>
                <w:szCs w:val="24"/>
                <w:vertAlign w:val="subscript"/>
              </w:rPr>
              <w:t>2</w:t>
            </w:r>
            <w:r>
              <w:rPr>
                <w:rFonts w:hint="eastAsia"/>
                <w:color w:val="auto"/>
                <w:sz w:val="24"/>
                <w:szCs w:val="24"/>
              </w:rPr>
              <w:t>）、二氧化氮（NO</w:t>
            </w:r>
            <w:r>
              <w:rPr>
                <w:rFonts w:hint="eastAsia"/>
                <w:color w:val="auto"/>
                <w:sz w:val="24"/>
                <w:szCs w:val="24"/>
                <w:vertAlign w:val="subscript"/>
              </w:rPr>
              <w:t>2</w:t>
            </w:r>
            <w:r>
              <w:rPr>
                <w:rFonts w:hint="eastAsia"/>
                <w:color w:val="auto"/>
                <w:sz w:val="24"/>
                <w:szCs w:val="24"/>
              </w:rPr>
              <w:t>）、一氧化碳（CO）和臭氧（O</w:t>
            </w:r>
            <w:r>
              <w:rPr>
                <w:rFonts w:hint="eastAsia"/>
                <w:color w:val="auto"/>
                <w:sz w:val="24"/>
                <w:szCs w:val="24"/>
                <w:vertAlign w:val="subscript"/>
              </w:rPr>
              <w:t>3</w:t>
            </w:r>
            <w:r>
              <w:rPr>
                <w:rFonts w:hint="eastAsia"/>
                <w:color w:val="auto"/>
                <w:sz w:val="24"/>
                <w:szCs w:val="24"/>
              </w:rPr>
              <w:t>）年均浓度分别为36微克/立方米、58微克/立方米、8微克/立方米、25微克/立方米、1.0毫克/立方米、158微克/立方米。与2022年相比，O</w:t>
            </w:r>
            <w:r>
              <w:rPr>
                <w:rFonts w:hint="eastAsia"/>
                <w:color w:val="auto"/>
                <w:sz w:val="24"/>
                <w:szCs w:val="24"/>
                <w:vertAlign w:val="subscript"/>
              </w:rPr>
              <w:t>3</w:t>
            </w:r>
            <w:r>
              <w:rPr>
                <w:rFonts w:hint="eastAsia"/>
                <w:color w:val="auto"/>
                <w:sz w:val="24"/>
                <w:szCs w:val="24"/>
              </w:rPr>
              <w:t>污染有所改善，O</w:t>
            </w:r>
            <w:r>
              <w:rPr>
                <w:rFonts w:hint="eastAsia"/>
                <w:color w:val="auto"/>
                <w:sz w:val="24"/>
                <w:szCs w:val="24"/>
                <w:vertAlign w:val="subscript"/>
              </w:rPr>
              <w:t>3</w:t>
            </w:r>
            <w:r>
              <w:rPr>
                <w:rFonts w:hint="eastAsia"/>
                <w:color w:val="auto"/>
                <w:sz w:val="24"/>
                <w:szCs w:val="24"/>
              </w:rPr>
              <w:t>为首要污染物的超标天减少3天，PM</w:t>
            </w:r>
            <w:r>
              <w:rPr>
                <w:rFonts w:hint="eastAsia"/>
                <w:color w:val="auto"/>
                <w:sz w:val="24"/>
                <w:szCs w:val="24"/>
                <w:vertAlign w:val="subscript"/>
              </w:rPr>
              <w:t>2.5</w:t>
            </w:r>
            <w:r>
              <w:rPr>
                <w:rFonts w:hint="eastAsia"/>
                <w:color w:val="auto"/>
                <w:sz w:val="24"/>
                <w:szCs w:val="24"/>
              </w:rPr>
              <w:t>浓度有所反弹，PM</w:t>
            </w:r>
            <w:r>
              <w:rPr>
                <w:rFonts w:hint="eastAsia"/>
                <w:color w:val="auto"/>
                <w:sz w:val="24"/>
                <w:szCs w:val="24"/>
                <w:vertAlign w:val="subscript"/>
              </w:rPr>
              <w:t>2.5</w:t>
            </w:r>
            <w:r>
              <w:rPr>
                <w:rFonts w:hint="eastAsia"/>
                <w:color w:val="auto"/>
                <w:sz w:val="24"/>
                <w:szCs w:val="24"/>
              </w:rPr>
              <w:t>为首要污染物的超标天增加7天。PM</w:t>
            </w:r>
            <w:r>
              <w:rPr>
                <w:rFonts w:hint="eastAsia"/>
                <w:color w:val="auto"/>
                <w:sz w:val="24"/>
                <w:szCs w:val="24"/>
                <w:vertAlign w:val="subscript"/>
              </w:rPr>
              <w:t>10</w:t>
            </w:r>
            <w:r>
              <w:rPr>
                <w:rFonts w:hint="eastAsia"/>
                <w:color w:val="auto"/>
                <w:sz w:val="24"/>
                <w:szCs w:val="24"/>
              </w:rPr>
              <w:t>、SO</w:t>
            </w:r>
            <w:r>
              <w:rPr>
                <w:rFonts w:hint="eastAsia"/>
                <w:color w:val="auto"/>
                <w:sz w:val="24"/>
                <w:szCs w:val="24"/>
                <w:vertAlign w:val="subscript"/>
              </w:rPr>
              <w:t>2</w:t>
            </w:r>
            <w:r>
              <w:rPr>
                <w:rFonts w:hint="eastAsia"/>
                <w:color w:val="auto"/>
                <w:sz w:val="24"/>
                <w:szCs w:val="24"/>
              </w:rPr>
              <w:t>、O</w:t>
            </w:r>
            <w:r>
              <w:rPr>
                <w:rFonts w:hint="eastAsia"/>
                <w:color w:val="auto"/>
                <w:sz w:val="24"/>
                <w:szCs w:val="24"/>
                <w:vertAlign w:val="subscript"/>
              </w:rPr>
              <w:t>3</w:t>
            </w:r>
            <w:r>
              <w:rPr>
                <w:rFonts w:hint="eastAsia"/>
                <w:color w:val="auto"/>
                <w:sz w:val="24"/>
                <w:szCs w:val="24"/>
              </w:rPr>
              <w:t>降幅分别为3.3%、11.1%、0.6%。</w:t>
            </w:r>
            <w:r>
              <w:rPr>
                <w:rFonts w:hint="default" w:ascii="Times New Roman" w:hAnsi="Times New Roman" w:eastAsia="宋体" w:cs="Times New Roman"/>
                <w:color w:val="auto"/>
                <w:sz w:val="24"/>
              </w:rPr>
              <w:t>可吸入颗粒物（PM</w:t>
            </w:r>
            <w:r>
              <w:rPr>
                <w:rFonts w:hint="default" w:ascii="Times New Roman" w:hAnsi="Times New Roman" w:eastAsia="宋体" w:cs="Times New Roman"/>
                <w:color w:val="auto"/>
                <w:sz w:val="24"/>
                <w:vertAlign w:val="subscript"/>
              </w:rPr>
              <w:t>10</w:t>
            </w:r>
            <w:r>
              <w:rPr>
                <w:rFonts w:hint="default" w:ascii="Times New Roman" w:hAnsi="Times New Roman" w:eastAsia="宋体" w:cs="Times New Roman"/>
                <w:color w:val="auto"/>
                <w:sz w:val="24"/>
              </w:rPr>
              <w:t>）、二氧化硫（SO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）、二氧化氮（NO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一氧化碳（CO）和臭氧（O</w:t>
            </w:r>
            <w:r>
              <w:rPr>
                <w:rFonts w:hint="default" w:ascii="Times New Roman" w:hAnsi="Times New Roman" w:eastAsia="宋体" w:cs="Times New Roman"/>
                <w:color w:val="auto"/>
                <w:sz w:val="24"/>
                <w:vertAlign w:val="subscript"/>
                <w:lang w:val="en-US" w:eastAsia="zh-CN"/>
              </w:rPr>
              <w:t>3</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kern w:val="0"/>
                <w:sz w:val="24"/>
                <w:szCs w:val="24"/>
                <w:lang w:val="en-US" w:eastAsia="zh-CN" w:bidi="ar"/>
              </w:rPr>
              <w:t>浓度均达到国家二级标准限值，</w:t>
            </w:r>
            <w:r>
              <w:rPr>
                <w:rFonts w:hint="default" w:ascii="Times New Roman" w:hAnsi="Times New Roman" w:eastAsia="宋体" w:cs="Times New Roman"/>
                <w:color w:val="auto"/>
                <w:sz w:val="24"/>
              </w:rPr>
              <w:t>细颗粒物（PM</w:t>
            </w:r>
            <w:r>
              <w:rPr>
                <w:rFonts w:hint="default" w:ascii="Times New Roman" w:hAnsi="Times New Roman" w:eastAsia="宋体" w:cs="Times New Roman"/>
                <w:color w:val="auto"/>
                <w:sz w:val="24"/>
                <w:vertAlign w:val="subscript"/>
              </w:rPr>
              <w:t>2.5</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年均浓度超标。因此，2023年本项目所在区域环境空气质量为不达标区。</w:t>
            </w:r>
          </w:p>
          <w:p w14:paraId="1A6B18F9">
            <w:pPr>
              <w:keepNext w:val="0"/>
              <w:keepLines w:val="0"/>
              <w:pageBreakBefore w:val="0"/>
              <w:kinsoku/>
              <w:wordWrap/>
              <w:overflowPunct/>
              <w:topLinePunct w:val="0"/>
              <w:bidi w:val="0"/>
              <w:adjustRightIn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市委、市政府高度重视组织召开全市生态环境保护大会，动员部署市、县</w:t>
            </w:r>
            <w:r>
              <w:rPr>
                <w:rFonts w:hint="eastAsia" w:cs="Times New Roman"/>
                <w:color w:val="auto"/>
                <w:sz w:val="24"/>
                <w:lang w:eastAsia="zh-CN"/>
              </w:rPr>
              <w:t>（</w:t>
            </w:r>
            <w:r>
              <w:rPr>
                <w:rFonts w:hint="default" w:ascii="Times New Roman" w:hAnsi="Times New Roman" w:cs="Times New Roman"/>
                <w:color w:val="auto"/>
                <w:sz w:val="24"/>
              </w:rPr>
              <w:t>区</w:t>
            </w:r>
            <w:r>
              <w:rPr>
                <w:rFonts w:hint="eastAsia" w:cs="Times New Roman"/>
                <w:color w:val="auto"/>
                <w:sz w:val="24"/>
                <w:lang w:eastAsia="zh-CN"/>
              </w:rPr>
              <w:t>）</w:t>
            </w:r>
            <w:r>
              <w:rPr>
                <w:rFonts w:hint="default" w:ascii="Times New Roman" w:hAnsi="Times New Roman" w:cs="Times New Roman"/>
                <w:color w:val="auto"/>
                <w:sz w:val="24"/>
              </w:rPr>
              <w:t>镇</w:t>
            </w:r>
            <w:r>
              <w:rPr>
                <w:rFonts w:hint="eastAsia" w:cs="Times New Roman"/>
                <w:color w:val="auto"/>
                <w:sz w:val="24"/>
                <w:lang w:eastAsia="zh-CN"/>
              </w:rPr>
              <w:t>（</w:t>
            </w:r>
            <w:r>
              <w:rPr>
                <w:rFonts w:hint="default" w:ascii="Times New Roman" w:hAnsi="Times New Roman" w:cs="Times New Roman"/>
                <w:color w:val="auto"/>
                <w:sz w:val="24"/>
              </w:rPr>
              <w:t>街</w:t>
            </w:r>
            <w:r>
              <w:rPr>
                <w:rFonts w:hint="eastAsia" w:cs="Times New Roman"/>
                <w:color w:val="auto"/>
                <w:sz w:val="24"/>
                <w:lang w:eastAsia="zh-CN"/>
              </w:rPr>
              <w:t>）</w:t>
            </w:r>
            <w:r>
              <w:rPr>
                <w:rFonts w:hint="default" w:ascii="Times New Roman" w:hAnsi="Times New Roman" w:cs="Times New Roman"/>
                <w:color w:val="auto"/>
                <w:sz w:val="24"/>
              </w:rPr>
              <w:t>三级全覆盖，出台《淮安市推进生态文明建设实施方案》。市委、市政府主要领导全面加强工作部署、指挥调度，多次召开市委常委会、市政府常务会、市政府专题会议研究生态环境保护工作，多次深入国省考断面、大气国控站点、突出环境问题整改点位进行督办会办，推动工作落实。优化市对县区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浓度、优良天数比率考核细则。持续开展空气质量改善行动以及</w:t>
            </w:r>
            <w:r>
              <w:rPr>
                <w:rFonts w:hint="eastAsia" w:cs="Times New Roman"/>
                <w:color w:val="auto"/>
                <w:sz w:val="24"/>
                <w:lang w:eastAsia="zh-CN"/>
              </w:rPr>
              <w:t>“</w:t>
            </w:r>
            <w:r>
              <w:rPr>
                <w:rFonts w:hint="default" w:ascii="Times New Roman" w:hAnsi="Times New Roman" w:cs="Times New Roman"/>
                <w:color w:val="auto"/>
                <w:sz w:val="24"/>
              </w:rPr>
              <w:t>开展三源整治、留住蓝天白云</w:t>
            </w:r>
            <w:r>
              <w:rPr>
                <w:rFonts w:hint="eastAsia" w:cs="Times New Roman"/>
                <w:color w:val="auto"/>
                <w:sz w:val="24"/>
                <w:lang w:eastAsia="zh-CN"/>
              </w:rPr>
              <w:t>”</w:t>
            </w:r>
            <w:r>
              <w:rPr>
                <w:rFonts w:hint="default" w:ascii="Times New Roman" w:hAnsi="Times New Roman" w:cs="Times New Roman"/>
                <w:color w:val="auto"/>
                <w:sz w:val="24"/>
              </w:rPr>
              <w:t>扬尘管控集中整治行动，深入推进</w:t>
            </w:r>
            <w:r>
              <w:rPr>
                <w:rFonts w:hint="eastAsia" w:cs="Times New Roman"/>
                <w:color w:val="auto"/>
                <w:sz w:val="24"/>
                <w:lang w:eastAsia="zh-CN"/>
              </w:rPr>
              <w:t>“</w:t>
            </w:r>
            <w:r>
              <w:rPr>
                <w:rFonts w:hint="default" w:ascii="Times New Roman" w:hAnsi="Times New Roman" w:cs="Times New Roman"/>
                <w:color w:val="auto"/>
                <w:sz w:val="24"/>
              </w:rPr>
              <w:t>48小时+12天</w:t>
            </w:r>
            <w:r>
              <w:rPr>
                <w:rFonts w:hint="eastAsia" w:cs="Times New Roman"/>
                <w:color w:val="auto"/>
                <w:sz w:val="24"/>
                <w:lang w:eastAsia="zh-CN"/>
              </w:rPr>
              <w:t>”</w:t>
            </w:r>
            <w:r>
              <w:rPr>
                <w:rFonts w:hint="default" w:ascii="Times New Roman" w:hAnsi="Times New Roman" w:cs="Times New Roman"/>
                <w:color w:val="auto"/>
                <w:sz w:val="24"/>
              </w:rPr>
              <w:t>大气环境质量改善专项攻坚。实施重点治气工程，淘汰国三及以下排放标准柴油货车。同时，《淮安市2024年大气污染防治工作计划》（淮污防攻坚指办〔2024〕50 号）整治计划的落实，环境空气质量将逐渐改善，能够满足区域环境质量改善目标管理的要求。</w:t>
            </w:r>
          </w:p>
          <w:p w14:paraId="0F3848E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《工作计划》明确了工作目标：全市PM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浓度达到35微克/立方米左右，优良天数比率达到81.2%左右，臭氧浓度增长趋势得到有效遏制。完成省下达的氮氧化物4340吨、挥发性有机物3466吨的重点工程减排量目标。并提出以下重点任务：（一）优化产业结构，促进产业产品绿色升级；（二）优化能源结构，加速能源清洁低碳高效发展；（三）优化交通结构，大力发展绿色运输体系；（四）聚焦重点行业，推进大气污染综合治理；（五）开展 VOCs 大会战，持续压降 VOCs 浓度；（六）强化面源污染治理，提升精细化管理水平；（七）强化执法检查和监督帮扶，加强污染过程应对；（八）加强能力建设，健全标准体系。</w:t>
            </w:r>
          </w:p>
          <w:p w14:paraId="057D2FE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rPr>
              <w:t>随着《淮安市2024年大气污染防治工作计划》（淮污防攻坚指办〔2024〕50 号）的逐步落实，淮安市环境空气质量将逐渐得到改善，能够满足区域环境质量改善目标管理的要求。</w:t>
            </w:r>
          </w:p>
          <w:p w14:paraId="5FEFF005">
            <w:pPr>
              <w:keepNext w:val="0"/>
              <w:keepLines w:val="0"/>
              <w:pageBreakBefore w:val="0"/>
              <w:kinsoku/>
              <w:wordWrap/>
              <w:overflowPunct/>
              <w:topLinePunct w:val="0"/>
              <w:bidi w:val="0"/>
              <w:adjustRightInd w:val="0"/>
              <w:spacing w:line="360" w:lineRule="auto"/>
              <w:ind w:firstLine="480" w:firstLineChars="200"/>
              <w:textAlignment w:val="auto"/>
              <w:rPr>
                <w:b w:val="0"/>
                <w:bCs w:val="0"/>
                <w:color w:val="auto"/>
                <w:sz w:val="24"/>
              </w:rPr>
            </w:pPr>
            <w:r>
              <w:rPr>
                <w:b w:val="0"/>
                <w:bCs w:val="0"/>
                <w:color w:val="auto"/>
                <w:sz w:val="24"/>
              </w:rPr>
              <w:t>2、地表水环境质量现状</w:t>
            </w:r>
          </w:p>
          <w:p w14:paraId="06DA3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0"/>
                <w:sz w:val="24"/>
                <w:szCs w:val="20"/>
                <w:lang w:val="en-US" w:eastAsia="zh-CN" w:bidi="ar-SA"/>
              </w:rPr>
            </w:pPr>
            <w:r>
              <w:rPr>
                <w:rFonts w:hint="default" w:ascii="Times New Roman" w:hAnsi="Times New Roman" w:eastAsia="宋体" w:cs="Times New Roman"/>
                <w:color w:val="auto"/>
                <w:kern w:val="0"/>
                <w:sz w:val="24"/>
                <w:szCs w:val="20"/>
                <w:lang w:val="en-US" w:eastAsia="zh-CN" w:bidi="ar-SA"/>
              </w:rPr>
              <w:t>根据《2023年淮安市生态环境状况公报》：2023年淮安市水环境质量总体较好，优I比例超过省定考核指标，27条主要河流水质状况达优良，湖泊水质保持稳定，饮用水源地水质稳定达标，地下水水质稳中趋好。纳入</w:t>
            </w:r>
            <w:r>
              <w:rPr>
                <w:rFonts w:hint="eastAsia" w:cs="Times New Roman"/>
                <w:color w:val="auto"/>
                <w:kern w:val="0"/>
                <w:sz w:val="24"/>
                <w:szCs w:val="20"/>
                <w:lang w:val="en-US" w:eastAsia="zh-CN" w:bidi="ar-SA"/>
              </w:rPr>
              <w:t>“</w:t>
            </w:r>
            <w:r>
              <w:rPr>
                <w:rFonts w:hint="default" w:ascii="Times New Roman" w:hAnsi="Times New Roman" w:eastAsia="宋体" w:cs="Times New Roman"/>
                <w:color w:val="auto"/>
                <w:kern w:val="0"/>
                <w:sz w:val="24"/>
                <w:szCs w:val="20"/>
                <w:lang w:val="en-US" w:eastAsia="zh-CN" w:bidi="ar-SA"/>
              </w:rPr>
              <w:t>十四五</w:t>
            </w:r>
            <w:r>
              <w:rPr>
                <w:rFonts w:hint="eastAsia" w:cs="Times New Roman"/>
                <w:color w:val="auto"/>
                <w:kern w:val="0"/>
                <w:sz w:val="24"/>
                <w:szCs w:val="20"/>
                <w:lang w:val="en-US" w:eastAsia="zh-CN" w:bidi="ar-SA"/>
              </w:rPr>
              <w:t>”</w:t>
            </w:r>
            <w:r>
              <w:rPr>
                <w:rFonts w:hint="default" w:ascii="Times New Roman" w:hAnsi="Times New Roman" w:eastAsia="宋体" w:cs="Times New Roman"/>
                <w:color w:val="auto"/>
                <w:kern w:val="0"/>
                <w:sz w:val="24"/>
                <w:szCs w:val="20"/>
                <w:lang w:val="en-US" w:eastAsia="zh-CN" w:bidi="ar-SA"/>
              </w:rPr>
              <w:t>国家地表水环境质量考核的11个国考断面中，年均水质达到或好于Ⅲ类标准的断面9个</w:t>
            </w:r>
            <w:r>
              <w:rPr>
                <w:rFonts w:hint="eastAsia" w:cs="Times New Roman"/>
                <w:color w:val="auto"/>
                <w:kern w:val="0"/>
                <w:sz w:val="24"/>
                <w:szCs w:val="20"/>
                <w:lang w:val="en-US" w:eastAsia="zh-CN" w:bidi="ar-SA"/>
              </w:rPr>
              <w:t>（</w:t>
            </w:r>
            <w:r>
              <w:rPr>
                <w:rFonts w:hint="default" w:ascii="Times New Roman" w:hAnsi="Times New Roman" w:eastAsia="宋体" w:cs="Times New Roman"/>
                <w:color w:val="auto"/>
                <w:kern w:val="0"/>
                <w:sz w:val="24"/>
                <w:szCs w:val="20"/>
                <w:lang w:val="en-US" w:eastAsia="zh-CN" w:bidi="ar-SA"/>
              </w:rPr>
              <w:t>Ⅱ类断面4个</w:t>
            </w:r>
            <w:r>
              <w:rPr>
                <w:rFonts w:hint="eastAsia" w:cs="Times New Roman"/>
                <w:color w:val="auto"/>
                <w:kern w:val="0"/>
                <w:sz w:val="24"/>
                <w:szCs w:val="20"/>
                <w:lang w:val="en-US" w:eastAsia="zh-CN" w:bidi="ar-SA"/>
              </w:rPr>
              <w:t>）</w:t>
            </w:r>
            <w:r>
              <w:rPr>
                <w:rFonts w:hint="default" w:ascii="Times New Roman" w:hAnsi="Times New Roman" w:eastAsia="宋体" w:cs="Times New Roman"/>
                <w:color w:val="auto"/>
                <w:kern w:val="0"/>
                <w:sz w:val="24"/>
                <w:szCs w:val="20"/>
                <w:lang w:val="en-US" w:eastAsia="zh-CN" w:bidi="ar-SA"/>
              </w:rPr>
              <w:t>，优Ⅲ比例81.8%，达标率100%，无V类和劣V类断面。纳入江苏省</w:t>
            </w:r>
            <w:r>
              <w:rPr>
                <w:rFonts w:hint="eastAsia" w:cs="Times New Roman"/>
                <w:color w:val="auto"/>
                <w:kern w:val="0"/>
                <w:sz w:val="24"/>
                <w:szCs w:val="20"/>
                <w:lang w:val="en-US" w:eastAsia="zh-CN" w:bidi="ar-SA"/>
              </w:rPr>
              <w:t>“</w:t>
            </w:r>
            <w:r>
              <w:rPr>
                <w:rFonts w:hint="default" w:ascii="Times New Roman" w:hAnsi="Times New Roman" w:eastAsia="宋体" w:cs="Times New Roman"/>
                <w:color w:val="auto"/>
                <w:kern w:val="0"/>
                <w:sz w:val="24"/>
                <w:szCs w:val="20"/>
                <w:lang w:val="en-US" w:eastAsia="zh-CN" w:bidi="ar-SA"/>
              </w:rPr>
              <w:t>十四五</w:t>
            </w:r>
            <w:r>
              <w:rPr>
                <w:rFonts w:hint="eastAsia" w:cs="Times New Roman"/>
                <w:color w:val="auto"/>
                <w:kern w:val="0"/>
                <w:sz w:val="24"/>
                <w:szCs w:val="20"/>
                <w:lang w:val="en-US" w:eastAsia="zh-CN" w:bidi="ar-SA"/>
              </w:rPr>
              <w:t>”</w:t>
            </w:r>
            <w:r>
              <w:rPr>
                <w:rFonts w:hint="default" w:ascii="Times New Roman" w:hAnsi="Times New Roman" w:eastAsia="宋体" w:cs="Times New Roman"/>
                <w:color w:val="auto"/>
                <w:kern w:val="0"/>
                <w:sz w:val="24"/>
                <w:szCs w:val="20"/>
                <w:lang w:val="en-US" w:eastAsia="zh-CN" w:bidi="ar-SA"/>
              </w:rPr>
              <w:t>水环境质量目标考核的57个断面中水质达到或好于</w:t>
            </w:r>
            <w:r>
              <w:rPr>
                <w:rFonts w:hint="eastAsia" w:cs="Times New Roman"/>
                <w:color w:val="auto"/>
                <w:kern w:val="0"/>
                <w:sz w:val="24"/>
                <w:szCs w:val="20"/>
                <w:lang w:val="en-US" w:eastAsia="zh-CN" w:bidi="ar-SA"/>
              </w:rPr>
              <w:t>Ⅲ</w:t>
            </w:r>
            <w:r>
              <w:rPr>
                <w:rFonts w:hint="default" w:ascii="Times New Roman" w:hAnsi="Times New Roman" w:eastAsia="宋体" w:cs="Times New Roman"/>
                <w:color w:val="auto"/>
                <w:kern w:val="0"/>
                <w:sz w:val="24"/>
                <w:szCs w:val="20"/>
                <w:lang w:val="en-US" w:eastAsia="zh-CN" w:bidi="ar-SA"/>
              </w:rPr>
              <w:t>类标准的断面有53个，优Ⅲ比例93%，达标率100%，无V类和劣V类断面。</w:t>
            </w:r>
          </w:p>
          <w:p w14:paraId="4A9F46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kern w:val="0"/>
                <w:sz w:val="24"/>
                <w:szCs w:val="20"/>
                <w:lang w:val="en-US" w:eastAsia="zh-CN" w:bidi="ar-SA"/>
              </w:rPr>
              <w:t>2023年，淮河、京杭大运河、苏北灌溉总渠、盐河、淮河入江水道、分淮入沂水道水质状况为优；入海水道南偏泓浔河、黄河故道、金宝航道、维桥河、利农河、南淮泗河张福河、团结河、高桥河、南六塘河、跃进河、汪木排河草泽河、唐响河、头溪河、运西河</w:t>
            </w:r>
            <w:r>
              <w:rPr>
                <w:rFonts w:hint="eastAsia" w:cs="Times New Roman"/>
                <w:color w:val="auto"/>
                <w:kern w:val="0"/>
                <w:sz w:val="24"/>
                <w:szCs w:val="20"/>
                <w:lang w:val="en-US" w:eastAsia="zh-CN" w:bidi="ar-SA"/>
              </w:rPr>
              <w:t>－</w:t>
            </w:r>
            <w:r>
              <w:rPr>
                <w:rFonts w:hint="default" w:ascii="Times New Roman" w:hAnsi="Times New Roman" w:eastAsia="宋体" w:cs="Times New Roman"/>
                <w:color w:val="auto"/>
                <w:kern w:val="0"/>
                <w:sz w:val="24"/>
                <w:szCs w:val="20"/>
                <w:lang w:val="en-US" w:eastAsia="zh-CN" w:bidi="ar-SA"/>
              </w:rPr>
              <w:t>新河、周桥灌区总干渠一帆河、铜龙河、池河水质状况为良好；入海水道北偏泓、赵公河、公兴河水质状况为轻度污染。</w:t>
            </w:r>
          </w:p>
          <w:p w14:paraId="32373BB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针对水环境保护，淮安市深入打好污染防治攻坚战指挥部办公室印发了</w:t>
            </w:r>
            <w:r>
              <w:rPr>
                <w:rFonts w:hint="default" w:ascii="Times New Roman" w:hAnsi="Times New Roman" w:eastAsia="宋体" w:cs="Times New Roman"/>
                <w:color w:val="auto"/>
                <w:sz w:val="24"/>
                <w:szCs w:val="24"/>
                <w:lang w:val="en-US" w:eastAsia="zh-CN"/>
              </w:rPr>
              <w:t>《淮安市202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水生态环境保护</w:t>
            </w:r>
            <w:r>
              <w:rPr>
                <w:rFonts w:hint="default" w:ascii="Times New Roman" w:hAnsi="Times New Roman" w:eastAsia="宋体" w:cs="Times New Roman"/>
                <w:color w:val="auto"/>
                <w:sz w:val="24"/>
                <w:szCs w:val="24"/>
                <w:lang w:val="en-US" w:eastAsia="zh-CN"/>
              </w:rPr>
              <w:t>工作计划》（淮污防攻坚指办〔2024〕50 号）</w:t>
            </w:r>
            <w:r>
              <w:rPr>
                <w:rFonts w:hint="eastAsia" w:ascii="Times New Roman" w:hAnsi="Times New Roman" w:eastAsia="宋体" w:cs="Times New Roman"/>
                <w:color w:val="auto"/>
                <w:sz w:val="24"/>
                <w:szCs w:val="24"/>
                <w:lang w:val="en-US" w:eastAsia="zh-CN"/>
              </w:rPr>
              <w:t>（以下简称《工作计划》）。</w:t>
            </w:r>
          </w:p>
          <w:p w14:paraId="324CBCA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《工作计划》明确了工作目标：（一）国省考断面优</w:t>
            </w:r>
            <w:r>
              <w:rPr>
                <w:rFonts w:hint="default" w:ascii="Times New Roman" w:hAnsi="Times New Roman" w:eastAsia="宋体" w:cs="Times New Roman"/>
                <w:color w:val="auto"/>
                <w:sz w:val="24"/>
                <w:szCs w:val="24"/>
                <w:lang w:val="en-US" w:eastAsia="zh-CN"/>
              </w:rPr>
              <w:t>Ⅲ</w:t>
            </w:r>
            <w:r>
              <w:rPr>
                <w:rFonts w:hint="eastAsia" w:ascii="Times New Roman" w:hAnsi="Times New Roman" w:eastAsia="宋体" w:cs="Times New Roman"/>
                <w:color w:val="auto"/>
                <w:sz w:val="24"/>
                <w:szCs w:val="24"/>
                <w:lang w:val="en-US" w:eastAsia="zh-CN"/>
              </w:rPr>
              <w:t>比例目标；（二）城镇生活污水集中收集处理率目标；（三）南水北调东线重要湖泊水环境质量目标；（四）主要水污染物总量减排目标。并提出以下主要任务：（一）强化重点水体保护；（二）加强工业污染防治；（三）深化城镇生活污染防治；（四）推进农业农村污染防治；（五）加强船舶港口污染监管；（六）推进水生态保护修复；（七）加强水资源保护利用；（八）促进</w:t>
            </w:r>
            <w:r>
              <w:rPr>
                <w:rFonts w:hint="eastAsia" w:cs="Times New Roman"/>
                <w:color w:val="auto"/>
                <w:sz w:val="24"/>
                <w:szCs w:val="24"/>
                <w:lang w:val="en-US" w:eastAsia="zh-CN"/>
              </w:rPr>
              <w:t>治理体系和治理能力现代化</w:t>
            </w:r>
            <w:r>
              <w:rPr>
                <w:rFonts w:hint="eastAsia" w:ascii="Times New Roman" w:hAnsi="Times New Roman" w:eastAsia="宋体" w:cs="Times New Roman"/>
                <w:color w:val="auto"/>
                <w:sz w:val="24"/>
                <w:szCs w:val="24"/>
                <w:lang w:val="en-US" w:eastAsia="zh-CN"/>
              </w:rPr>
              <w:t>。</w:t>
            </w:r>
          </w:p>
          <w:p w14:paraId="3C40684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lang w:val="en-US" w:eastAsia="zh-CN"/>
              </w:rPr>
            </w:pPr>
            <w:r>
              <w:rPr>
                <w:rFonts w:hint="default" w:ascii="Times New Roman" w:hAnsi="Times New Roman" w:eastAsia="宋体" w:cs="Times New Roman"/>
                <w:color w:val="auto"/>
                <w:kern w:val="0"/>
                <w:sz w:val="24"/>
                <w:szCs w:val="24"/>
                <w:lang w:val="en-US" w:eastAsia="zh-CN" w:bidi="ar"/>
              </w:rPr>
              <w:t>随着</w:t>
            </w:r>
            <w:r>
              <w:rPr>
                <w:rFonts w:hint="default" w:ascii="Times New Roman" w:hAnsi="Times New Roman" w:eastAsia="宋体" w:cs="Times New Roman"/>
                <w:color w:val="auto"/>
                <w:sz w:val="24"/>
                <w:szCs w:val="24"/>
                <w:lang w:val="en-US" w:eastAsia="zh-CN"/>
              </w:rPr>
              <w:t>《淮安市202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水生态环境保护</w:t>
            </w:r>
            <w:r>
              <w:rPr>
                <w:rFonts w:hint="default" w:ascii="Times New Roman" w:hAnsi="Times New Roman" w:eastAsia="宋体" w:cs="Times New Roman"/>
                <w:color w:val="auto"/>
                <w:sz w:val="24"/>
                <w:szCs w:val="24"/>
                <w:lang w:val="en-US" w:eastAsia="zh-CN"/>
              </w:rPr>
              <w:t>工作计划》（淮污防攻坚指办〔2024〕50 号）</w:t>
            </w:r>
            <w:r>
              <w:rPr>
                <w:rFonts w:hint="default" w:ascii="Times New Roman" w:hAnsi="Times New Roman" w:eastAsia="宋体" w:cs="Times New Roman"/>
                <w:color w:val="auto"/>
                <w:kern w:val="0"/>
                <w:sz w:val="24"/>
                <w:szCs w:val="24"/>
                <w:lang w:val="en-US" w:eastAsia="zh-CN" w:bidi="ar"/>
              </w:rPr>
              <w:t>的</w:t>
            </w:r>
            <w:r>
              <w:rPr>
                <w:rFonts w:hint="eastAsia" w:cs="Times New Roman"/>
                <w:color w:val="auto"/>
                <w:kern w:val="0"/>
                <w:sz w:val="24"/>
                <w:szCs w:val="24"/>
                <w:lang w:val="en-US" w:eastAsia="zh-CN" w:bidi="ar"/>
              </w:rPr>
              <w:t>逐步</w:t>
            </w:r>
            <w:r>
              <w:rPr>
                <w:rFonts w:hint="default" w:ascii="Times New Roman" w:hAnsi="Times New Roman" w:eastAsia="宋体" w:cs="Times New Roman"/>
                <w:color w:val="auto"/>
                <w:kern w:val="0"/>
                <w:sz w:val="24"/>
                <w:szCs w:val="24"/>
                <w:lang w:val="en-US" w:eastAsia="zh-CN" w:bidi="ar"/>
              </w:rPr>
              <w:t>落实，</w:t>
            </w:r>
            <w:r>
              <w:rPr>
                <w:rFonts w:hint="eastAsia" w:cs="Times New Roman"/>
                <w:color w:val="auto"/>
                <w:kern w:val="0"/>
                <w:sz w:val="24"/>
                <w:szCs w:val="24"/>
                <w:lang w:val="en-US" w:eastAsia="zh-CN" w:bidi="ar"/>
              </w:rPr>
              <w:t>淮安市</w:t>
            </w:r>
            <w:r>
              <w:rPr>
                <w:rFonts w:hint="eastAsia" w:ascii="Times New Roman" w:hAnsi="Times New Roman" w:eastAsia="宋体" w:cs="Times New Roman"/>
                <w:color w:val="auto"/>
                <w:kern w:val="0"/>
                <w:sz w:val="24"/>
                <w:szCs w:val="24"/>
                <w:lang w:val="en-US" w:eastAsia="zh-CN" w:bidi="ar"/>
              </w:rPr>
              <w:t>水环境</w:t>
            </w:r>
            <w:r>
              <w:rPr>
                <w:rFonts w:hint="default" w:ascii="Times New Roman" w:hAnsi="Times New Roman" w:eastAsia="宋体" w:cs="Times New Roman"/>
                <w:color w:val="auto"/>
                <w:kern w:val="0"/>
                <w:sz w:val="24"/>
                <w:szCs w:val="24"/>
                <w:lang w:val="en-US" w:eastAsia="zh-CN" w:bidi="ar"/>
              </w:rPr>
              <w:t>质量</w:t>
            </w:r>
            <w:r>
              <w:rPr>
                <w:rFonts w:hint="eastAsia" w:cs="Times New Roman"/>
                <w:color w:val="auto"/>
                <w:kern w:val="0"/>
                <w:sz w:val="24"/>
                <w:szCs w:val="24"/>
                <w:lang w:val="en-US" w:eastAsia="zh-CN" w:bidi="ar"/>
              </w:rPr>
              <w:t>将</w:t>
            </w:r>
            <w:r>
              <w:rPr>
                <w:rFonts w:hint="default" w:ascii="Times New Roman" w:hAnsi="Times New Roman" w:eastAsia="宋体" w:cs="Times New Roman"/>
                <w:color w:val="auto"/>
                <w:kern w:val="0"/>
                <w:sz w:val="24"/>
                <w:szCs w:val="24"/>
                <w:lang w:val="en-US" w:eastAsia="zh-CN" w:bidi="ar"/>
              </w:rPr>
              <w:t>逐渐</w:t>
            </w:r>
            <w:r>
              <w:rPr>
                <w:rFonts w:hint="eastAsia" w:cs="Times New Roman"/>
                <w:color w:val="auto"/>
                <w:kern w:val="0"/>
                <w:sz w:val="24"/>
                <w:szCs w:val="24"/>
                <w:lang w:val="en-US" w:eastAsia="zh-CN" w:bidi="ar"/>
              </w:rPr>
              <w:t>得到</w:t>
            </w:r>
            <w:r>
              <w:rPr>
                <w:rFonts w:hint="default" w:ascii="Times New Roman" w:hAnsi="Times New Roman" w:eastAsia="宋体" w:cs="Times New Roman"/>
                <w:color w:val="auto"/>
                <w:kern w:val="0"/>
                <w:sz w:val="24"/>
                <w:szCs w:val="24"/>
                <w:lang w:val="en-US" w:eastAsia="zh-CN" w:bidi="ar"/>
              </w:rPr>
              <w:t>改善，能够满足区域环境质量改善目标管理的要求</w:t>
            </w:r>
            <w:r>
              <w:rPr>
                <w:rFonts w:hint="eastAsia" w:ascii="Times New Roman" w:hAnsi="Times New Roman" w:eastAsia="宋体" w:cs="Times New Roman"/>
                <w:color w:val="auto"/>
                <w:kern w:val="2"/>
                <w:sz w:val="24"/>
                <w:szCs w:val="24"/>
                <w:lang w:val="en-US" w:eastAsia="zh-CN" w:bidi="ar-SA"/>
              </w:rPr>
              <w:t>。</w:t>
            </w:r>
          </w:p>
          <w:p w14:paraId="4891C4EC">
            <w:pPr>
              <w:keepNext w:val="0"/>
              <w:keepLines w:val="0"/>
              <w:pageBreakBefore w:val="0"/>
              <w:kinsoku/>
              <w:wordWrap/>
              <w:overflowPunct/>
              <w:topLinePunct w:val="0"/>
              <w:bidi w:val="0"/>
              <w:adjustRightInd w:val="0"/>
              <w:snapToGrid w:val="0"/>
              <w:spacing w:line="360" w:lineRule="auto"/>
              <w:ind w:firstLine="480" w:firstLineChars="200"/>
              <w:textAlignment w:val="auto"/>
              <w:rPr>
                <w:b w:val="0"/>
                <w:bCs w:val="0"/>
                <w:color w:val="auto"/>
                <w:sz w:val="24"/>
              </w:rPr>
            </w:pPr>
            <w:r>
              <w:rPr>
                <w:rFonts w:hint="eastAsia"/>
                <w:b w:val="0"/>
                <w:bCs w:val="0"/>
                <w:color w:val="auto"/>
                <w:sz w:val="24"/>
              </w:rPr>
              <w:t>3、声环境质量现状</w:t>
            </w:r>
          </w:p>
          <w:p w14:paraId="5F20B866">
            <w:pPr>
              <w:pStyle w:val="6"/>
              <w:keepNext w:val="0"/>
              <w:keepLines w:val="0"/>
              <w:pageBreakBefore w:val="0"/>
              <w:kinsoku/>
              <w:wordWrap/>
              <w:overflowPunct/>
              <w:topLinePunct w:val="0"/>
              <w:bidi w:val="0"/>
              <w:spacing w:after="0" w:line="360" w:lineRule="auto"/>
              <w:ind w:left="0" w:leftChars="0" w:firstLine="480"/>
              <w:textAlignment w:val="auto"/>
              <w:rPr>
                <w:rFonts w:hint="eastAsia"/>
                <w:color w:val="auto"/>
                <w:sz w:val="24"/>
              </w:rPr>
            </w:pPr>
            <w:r>
              <w:rPr>
                <w:rFonts w:hint="eastAsia"/>
                <w:color w:val="auto"/>
                <w:sz w:val="24"/>
              </w:rPr>
              <w:t>根据《2023年淮安市生态环境状况公报》显示，2023年，淮安市声环境总体较好，全市各功能区昼夜噪声均达标。全市区域环境昼间噪声均值为55.1dB(A)，夜间均值为45.3dB(A)，同比均有所改善；全市昼间交通噪声均值为65.4dB(A)，夜间交通噪声均值为55.4dB(A)，均保持稳定，处于“好”水平。</w:t>
            </w:r>
          </w:p>
          <w:p w14:paraId="66AFB1A4">
            <w:pPr>
              <w:pStyle w:val="6"/>
              <w:keepNext w:val="0"/>
              <w:keepLines w:val="0"/>
              <w:pageBreakBefore w:val="0"/>
              <w:kinsoku/>
              <w:wordWrap/>
              <w:overflowPunct/>
              <w:topLinePunct w:val="0"/>
              <w:bidi w:val="0"/>
              <w:spacing w:after="0" w:line="360" w:lineRule="auto"/>
              <w:ind w:left="0" w:leftChars="0" w:firstLine="480"/>
              <w:textAlignment w:val="auto"/>
              <w:rPr>
                <w:rFonts w:hint="eastAsia"/>
                <w:color w:val="auto"/>
              </w:rPr>
            </w:pPr>
            <w:r>
              <w:rPr>
                <w:rFonts w:hint="eastAsia"/>
                <w:color w:val="auto"/>
                <w:sz w:val="24"/>
              </w:rPr>
              <w:t>本项目厂界外50米范围内无声环境保护目标，无需开展声环境质量现状监测。</w:t>
            </w:r>
          </w:p>
          <w:p w14:paraId="7A91CC48">
            <w:pPr>
              <w:pStyle w:val="6"/>
              <w:keepNext w:val="0"/>
              <w:keepLines w:val="0"/>
              <w:pageBreakBefore w:val="0"/>
              <w:kinsoku/>
              <w:wordWrap/>
              <w:overflowPunct/>
              <w:topLinePunct w:val="0"/>
              <w:bidi w:val="0"/>
              <w:spacing w:after="0" w:line="360" w:lineRule="auto"/>
              <w:ind w:left="0" w:leftChars="0" w:firstLine="482"/>
              <w:textAlignment w:val="auto"/>
              <w:rPr>
                <w:b w:val="0"/>
                <w:bCs w:val="0"/>
                <w:color w:val="auto"/>
                <w:szCs w:val="24"/>
              </w:rPr>
            </w:pPr>
            <w:r>
              <w:rPr>
                <w:rFonts w:hint="eastAsia"/>
                <w:b w:val="0"/>
                <w:bCs w:val="0"/>
                <w:color w:val="auto"/>
                <w:szCs w:val="24"/>
              </w:rPr>
              <w:t>4、生态环境</w:t>
            </w:r>
          </w:p>
          <w:p w14:paraId="0C45D119">
            <w:pPr>
              <w:pStyle w:val="6"/>
              <w:keepNext w:val="0"/>
              <w:keepLines w:val="0"/>
              <w:pageBreakBefore w:val="0"/>
              <w:kinsoku/>
              <w:wordWrap/>
              <w:overflowPunct/>
              <w:topLinePunct w:val="0"/>
              <w:bidi w:val="0"/>
              <w:spacing w:after="0" w:line="360" w:lineRule="auto"/>
              <w:ind w:left="0" w:leftChars="0" w:firstLine="480"/>
              <w:textAlignment w:val="auto"/>
              <w:rPr>
                <w:rFonts w:hint="eastAsia"/>
                <w:color w:val="auto"/>
                <w:szCs w:val="24"/>
              </w:rPr>
            </w:pPr>
            <w:r>
              <w:rPr>
                <w:rFonts w:hint="eastAsia"/>
                <w:color w:val="auto"/>
              </w:rPr>
              <w:t>根据《建设项目环境影响报告表编制技术指南》（污染影响类）中规定</w:t>
            </w:r>
            <w:r>
              <w:rPr>
                <w:rFonts w:hint="eastAsia"/>
                <w:color w:val="auto"/>
                <w:lang w:eastAsia="zh-CN"/>
              </w:rPr>
              <w:t>：</w:t>
            </w:r>
            <w:r>
              <w:rPr>
                <w:rFonts w:hint="eastAsia"/>
                <w:color w:val="auto"/>
                <w:szCs w:val="24"/>
              </w:rPr>
              <w:t>产业园区外建设项目新增用地且用地范围内含有生态环境保护目标时，应进行生态现状调查。</w:t>
            </w:r>
          </w:p>
          <w:p w14:paraId="287267DE">
            <w:pPr>
              <w:pStyle w:val="6"/>
              <w:keepNext w:val="0"/>
              <w:keepLines w:val="0"/>
              <w:pageBreakBefore w:val="0"/>
              <w:kinsoku/>
              <w:wordWrap/>
              <w:overflowPunct/>
              <w:topLinePunct w:val="0"/>
              <w:bidi w:val="0"/>
              <w:spacing w:after="0" w:line="360" w:lineRule="auto"/>
              <w:ind w:left="0" w:leftChars="0" w:firstLine="480"/>
              <w:textAlignment w:val="auto"/>
              <w:rPr>
                <w:color w:val="auto"/>
                <w:szCs w:val="24"/>
              </w:rPr>
            </w:pPr>
            <w:r>
              <w:rPr>
                <w:rFonts w:hint="eastAsia"/>
                <w:color w:val="auto"/>
                <w:szCs w:val="24"/>
              </w:rPr>
              <w:t>本项目</w:t>
            </w:r>
            <w:r>
              <w:rPr>
                <w:rFonts w:hint="eastAsia"/>
                <w:color w:val="auto"/>
                <w:szCs w:val="24"/>
                <w:lang w:val="en-US" w:eastAsia="zh-CN"/>
              </w:rPr>
              <w:t>属于江苏涟水经济开发区，项目不新增用地且</w:t>
            </w:r>
            <w:r>
              <w:rPr>
                <w:rFonts w:hint="eastAsia"/>
                <w:color w:val="auto"/>
                <w:szCs w:val="24"/>
              </w:rPr>
              <w:t>用地范围内不存在生态环境保护目标，因此不需要进行生态现状调查。</w:t>
            </w:r>
          </w:p>
          <w:p w14:paraId="086C7476">
            <w:pPr>
              <w:pStyle w:val="6"/>
              <w:keepNext w:val="0"/>
              <w:keepLines w:val="0"/>
              <w:pageBreakBefore w:val="0"/>
              <w:widowControl w:val="0"/>
              <w:kinsoku/>
              <w:wordWrap/>
              <w:overflowPunct/>
              <w:topLinePunct w:val="0"/>
              <w:bidi w:val="0"/>
              <w:snapToGrid/>
              <w:spacing w:after="0" w:line="360" w:lineRule="auto"/>
              <w:ind w:left="0" w:leftChars="0" w:firstLine="482"/>
              <w:textAlignment w:val="auto"/>
              <w:rPr>
                <w:b w:val="0"/>
                <w:bCs w:val="0"/>
                <w:color w:val="auto"/>
                <w:szCs w:val="24"/>
              </w:rPr>
            </w:pPr>
            <w:r>
              <w:rPr>
                <w:rFonts w:hint="eastAsia"/>
                <w:b w:val="0"/>
                <w:bCs w:val="0"/>
                <w:color w:val="auto"/>
                <w:szCs w:val="24"/>
              </w:rPr>
              <w:t>5、电磁辐射</w:t>
            </w:r>
          </w:p>
          <w:p w14:paraId="233660B1">
            <w:pPr>
              <w:pStyle w:val="2"/>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cs="Times New Roman"/>
                <w:b w:val="0"/>
                <w:bCs w:val="0"/>
                <w:color w:val="auto"/>
              </w:rPr>
            </w:pPr>
            <w:r>
              <w:rPr>
                <w:rFonts w:hint="eastAsia"/>
                <w:b w:val="0"/>
                <w:bCs/>
                <w:color w:val="auto"/>
              </w:rPr>
              <w:t>根据《建设项目环境影响报告表编制技术指南》（污染影响类）中规定</w:t>
            </w:r>
            <w:r>
              <w:rPr>
                <w:rFonts w:hint="eastAsia"/>
                <w:b w:val="0"/>
                <w:bCs/>
                <w:color w:val="auto"/>
                <w:lang w:eastAsia="zh-CN"/>
              </w:rPr>
              <w:t>：</w:t>
            </w:r>
            <w:r>
              <w:rPr>
                <w:rFonts w:hint="eastAsia"/>
                <w:b w:val="0"/>
                <w:bCs w:val="0"/>
                <w:color w:val="auto"/>
              </w:rPr>
              <w:t>新建或改建、扩建广播电台、差转台、电视塔台、卫星地球上行站、雷达等电磁辐射类项</w:t>
            </w:r>
            <w:r>
              <w:rPr>
                <w:rFonts w:hint="default" w:ascii="Times New Roman" w:hAnsi="Times New Roman" w:cs="Times New Roman"/>
                <w:b w:val="0"/>
                <w:bCs w:val="0"/>
                <w:color w:val="auto"/>
              </w:rPr>
              <w:t>目，应根据相关技术导则对项目电磁辐射现状开展监测与评价。</w:t>
            </w:r>
          </w:p>
          <w:p w14:paraId="66D1D77C">
            <w:pPr>
              <w:pStyle w:val="2"/>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本项目</w:t>
            </w:r>
            <w:r>
              <w:rPr>
                <w:rFonts w:hint="default" w:ascii="Times New Roman" w:hAnsi="Times New Roman" w:cs="Times New Roman"/>
                <w:b w:val="0"/>
                <w:bCs w:val="0"/>
                <w:color w:val="auto"/>
                <w:lang w:val="en-US" w:eastAsia="zh-CN"/>
              </w:rPr>
              <w:t>是</w:t>
            </w:r>
            <w:r>
              <w:rPr>
                <w:rFonts w:hint="eastAsia" w:ascii="Times New Roman" w:hAnsi="Times New Roman" w:cs="Times New Roman"/>
                <w:b w:val="0"/>
                <w:bCs w:val="0"/>
                <w:color w:val="auto"/>
                <w:lang w:val="en-US" w:eastAsia="zh-CN"/>
              </w:rPr>
              <w:t>江苏鑫宇建材科技有限公司玻璃加工项目</w:t>
            </w:r>
            <w:r>
              <w:rPr>
                <w:rFonts w:hint="default" w:ascii="Times New Roman" w:hAnsi="Times New Roman" w:cs="Times New Roman"/>
                <w:b w:val="0"/>
                <w:bCs w:val="0"/>
                <w:color w:val="auto"/>
              </w:rPr>
              <w:t>，不属于电磁辐射类项目，不需要开展电磁辐射现状监测和评价。</w:t>
            </w:r>
          </w:p>
          <w:p w14:paraId="1722AB51">
            <w:pPr>
              <w:pStyle w:val="6"/>
              <w:keepNext w:val="0"/>
              <w:keepLines w:val="0"/>
              <w:pageBreakBefore w:val="0"/>
              <w:widowControl w:val="0"/>
              <w:kinsoku/>
              <w:wordWrap/>
              <w:overflowPunct/>
              <w:topLinePunct w:val="0"/>
              <w:bidi w:val="0"/>
              <w:snapToGrid/>
              <w:spacing w:after="0" w:line="360" w:lineRule="auto"/>
              <w:ind w:left="0" w:leftChars="0" w:firstLine="482"/>
              <w:textAlignment w:val="auto"/>
              <w:rPr>
                <w:rFonts w:hint="eastAsia"/>
                <w:b w:val="0"/>
                <w:bCs w:val="0"/>
                <w:color w:val="auto"/>
                <w:szCs w:val="24"/>
              </w:rPr>
            </w:pPr>
            <w:r>
              <w:rPr>
                <w:rFonts w:hint="eastAsia"/>
                <w:b w:val="0"/>
                <w:bCs w:val="0"/>
                <w:color w:val="auto"/>
                <w:szCs w:val="24"/>
              </w:rPr>
              <w:t>6、地下水、土壤环境</w:t>
            </w:r>
          </w:p>
          <w:p w14:paraId="6328C908">
            <w:pPr>
              <w:pStyle w:val="2"/>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b w:val="0"/>
                <w:bCs w:val="0"/>
                <w:color w:val="auto"/>
              </w:rPr>
            </w:pPr>
            <w:r>
              <w:rPr>
                <w:rFonts w:hint="eastAsia"/>
                <w:b w:val="0"/>
                <w:bCs/>
                <w:color w:val="auto"/>
              </w:rPr>
              <w:t>根据《建设项目环境影响报告表编制技术指南》（污染影响类）中规定</w:t>
            </w:r>
            <w:r>
              <w:rPr>
                <w:rFonts w:hint="eastAsia"/>
                <w:b w:val="0"/>
                <w:bCs/>
                <w:color w:val="auto"/>
                <w:lang w:eastAsia="zh-CN"/>
              </w:rPr>
              <w:t>：</w:t>
            </w:r>
            <w:r>
              <w:rPr>
                <w:rFonts w:hint="eastAsia"/>
                <w:b w:val="0"/>
                <w:bCs w:val="0"/>
                <w:color w:val="auto"/>
              </w:rPr>
              <w:t>原则上不开展环境质量现状调查。建设项目存在土壤、地下水环境污染途径的，应结合污染源、保护目标分布情况开展现状调查以留作背景值。</w:t>
            </w:r>
          </w:p>
          <w:p w14:paraId="5E4E163A">
            <w:pPr>
              <w:pStyle w:val="2"/>
              <w:keepNext w:val="0"/>
              <w:keepLines w:val="0"/>
              <w:pageBreakBefore w:val="0"/>
              <w:widowControl w:val="0"/>
              <w:kinsoku/>
              <w:wordWrap/>
              <w:overflowPunct/>
              <w:topLinePunct w:val="0"/>
              <w:bidi w:val="0"/>
              <w:snapToGrid/>
              <w:spacing w:line="360" w:lineRule="auto"/>
              <w:ind w:firstLine="480" w:firstLineChars="200"/>
              <w:jc w:val="both"/>
              <w:textAlignment w:val="auto"/>
              <w:rPr>
                <w:rFonts w:hAnsi="宋体"/>
                <w:color w:val="auto"/>
                <w:kern w:val="0"/>
                <w:szCs w:val="21"/>
              </w:rPr>
            </w:pPr>
            <w:r>
              <w:rPr>
                <w:rFonts w:hint="eastAsia"/>
                <w:b w:val="0"/>
                <w:bCs w:val="0"/>
                <w:color w:val="auto"/>
              </w:rPr>
              <w:t>本项目不涉及地下水、土壤环境污染，因此不需要开展地下水、土壤环境现状监测和评价</w:t>
            </w:r>
            <w:r>
              <w:rPr>
                <w:rFonts w:hint="eastAsia"/>
                <w:b w:val="0"/>
                <w:bCs w:val="0"/>
                <w:color w:val="auto"/>
                <w:lang w:eastAsia="zh-CN"/>
              </w:rPr>
              <w:t>。</w:t>
            </w:r>
          </w:p>
        </w:tc>
      </w:tr>
      <w:tr w14:paraId="44DB56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9" w:hRule="atLeast"/>
          <w:jc w:val="center"/>
        </w:trPr>
        <w:tc>
          <w:tcPr>
            <w:tcW w:w="800" w:type="dxa"/>
            <w:noWrap w:val="0"/>
            <w:vAlign w:val="center"/>
          </w:tcPr>
          <w:p w14:paraId="44CA6E47">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环境</w:t>
            </w:r>
          </w:p>
          <w:p w14:paraId="628207E5">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保护</w:t>
            </w:r>
          </w:p>
          <w:p w14:paraId="5CEC7351">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目标</w:t>
            </w:r>
          </w:p>
        </w:tc>
        <w:tc>
          <w:tcPr>
            <w:tcW w:w="8190" w:type="dxa"/>
            <w:noWrap w:val="0"/>
            <w:vAlign w:val="center"/>
          </w:tcPr>
          <w:p w14:paraId="77F02E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本项目为</w:t>
            </w:r>
            <w:r>
              <w:rPr>
                <w:rFonts w:hint="eastAsia"/>
                <w:color w:val="auto"/>
                <w:sz w:val="24"/>
                <w:szCs w:val="24"/>
                <w:lang w:val="en-US" w:eastAsia="zh-CN"/>
              </w:rPr>
              <w:t>迁建</w:t>
            </w:r>
            <w:r>
              <w:rPr>
                <w:rFonts w:hint="eastAsia"/>
                <w:color w:val="auto"/>
                <w:sz w:val="24"/>
                <w:szCs w:val="24"/>
              </w:rPr>
              <w:t>项目，选址于</w:t>
            </w:r>
            <w:r>
              <w:rPr>
                <w:rFonts w:hint="eastAsia"/>
                <w:color w:val="auto"/>
                <w:sz w:val="24"/>
                <w:szCs w:val="24"/>
                <w:lang w:val="en-US" w:eastAsia="zh-CN"/>
              </w:rPr>
              <w:t>涟水县经济开发区淮浦北路东侧、兴隆路南侧厂房</w:t>
            </w:r>
            <w:r>
              <w:rPr>
                <w:rFonts w:hint="eastAsia"/>
                <w:color w:val="auto"/>
                <w:sz w:val="24"/>
                <w:szCs w:val="24"/>
              </w:rPr>
              <w:t>，根据本次环评现场踏勘可知，项目周围主要环境保护目标详情见下表。</w:t>
            </w:r>
          </w:p>
          <w:p w14:paraId="5CE9E1B5">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表3-</w:t>
            </w:r>
            <w:r>
              <w:rPr>
                <w:rFonts w:hint="eastAsia" w:ascii="Times New Roman" w:hAnsi="Times New Roman" w:cs="Times New Roman"/>
                <w:b/>
                <w:bCs/>
                <w:color w:val="auto"/>
                <w:sz w:val="21"/>
                <w:szCs w:val="21"/>
                <w:lang w:val="en-US" w:eastAsia="zh-CN"/>
              </w:rPr>
              <w:t xml:space="preserve">1  </w:t>
            </w:r>
            <w:r>
              <w:rPr>
                <w:rFonts w:hint="default" w:ascii="Times New Roman" w:hAnsi="Times New Roman" w:cs="Times New Roman"/>
                <w:b/>
                <w:bCs/>
                <w:color w:val="auto"/>
                <w:sz w:val="21"/>
                <w:szCs w:val="21"/>
              </w:rPr>
              <w:t>项目附近主要环境保护目标一览表</w:t>
            </w:r>
          </w:p>
          <w:tbl>
            <w:tblPr>
              <w:tblStyle w:val="22"/>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718"/>
              <w:gridCol w:w="1151"/>
              <w:gridCol w:w="1432"/>
              <w:gridCol w:w="1493"/>
              <w:gridCol w:w="806"/>
              <w:gridCol w:w="996"/>
              <w:gridCol w:w="825"/>
              <w:gridCol w:w="991"/>
            </w:tblGrid>
            <w:tr w14:paraId="4AA52B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27" w:type="pct"/>
                  <w:vMerge w:val="restart"/>
                  <w:vAlign w:val="center"/>
                </w:tcPr>
                <w:p w14:paraId="51C8E9AE">
                  <w:pPr>
                    <w:pStyle w:val="30"/>
                    <w:rPr>
                      <w:rFonts w:hint="default" w:ascii="Times New Roman" w:hAnsi="Times New Roman" w:eastAsia="宋体"/>
                      <w:color w:val="auto"/>
                      <w:sz w:val="21"/>
                    </w:rPr>
                  </w:pPr>
                  <w:r>
                    <w:rPr>
                      <w:rFonts w:hint="default" w:ascii="Times New Roman" w:hAnsi="Times New Roman" w:eastAsia="宋体"/>
                      <w:color w:val="auto"/>
                      <w:sz w:val="21"/>
                    </w:rPr>
                    <w:t>环境要素</w:t>
                  </w:r>
                </w:p>
              </w:tc>
              <w:tc>
                <w:tcPr>
                  <w:tcW w:w="684" w:type="pct"/>
                  <w:vMerge w:val="restart"/>
                  <w:vAlign w:val="center"/>
                </w:tcPr>
                <w:p w14:paraId="68A44595">
                  <w:pPr>
                    <w:pStyle w:val="30"/>
                    <w:rPr>
                      <w:rFonts w:hint="default" w:ascii="Times New Roman" w:hAnsi="Times New Roman" w:eastAsia="宋体"/>
                      <w:color w:val="auto"/>
                      <w:sz w:val="21"/>
                    </w:rPr>
                  </w:pPr>
                  <w:r>
                    <w:rPr>
                      <w:rFonts w:hint="default" w:ascii="Times New Roman" w:hAnsi="Times New Roman" w:eastAsia="宋体"/>
                      <w:color w:val="auto"/>
                      <w:sz w:val="21"/>
                    </w:rPr>
                    <w:t>名称</w:t>
                  </w:r>
                </w:p>
              </w:tc>
              <w:tc>
                <w:tcPr>
                  <w:tcW w:w="1738" w:type="pct"/>
                  <w:gridSpan w:val="2"/>
                  <w:vAlign w:val="center"/>
                </w:tcPr>
                <w:p w14:paraId="7AA838F3">
                  <w:pPr>
                    <w:pStyle w:val="30"/>
                    <w:rPr>
                      <w:rFonts w:hint="default" w:ascii="Times New Roman" w:hAnsi="Times New Roman" w:eastAsia="宋体"/>
                      <w:color w:val="auto"/>
                      <w:sz w:val="21"/>
                    </w:rPr>
                  </w:pPr>
                  <w:r>
                    <w:rPr>
                      <w:rFonts w:ascii="Times New Roman" w:hAnsi="Times New Roman" w:eastAsia="宋体"/>
                      <w:color w:val="auto"/>
                      <w:sz w:val="21"/>
                    </w:rPr>
                    <w:t>坐标</w:t>
                  </w:r>
                </w:p>
              </w:tc>
              <w:tc>
                <w:tcPr>
                  <w:tcW w:w="479" w:type="pct"/>
                  <w:vMerge w:val="restart"/>
                  <w:vAlign w:val="center"/>
                </w:tcPr>
                <w:p w14:paraId="6FA9EDA5">
                  <w:pPr>
                    <w:pStyle w:val="30"/>
                    <w:rPr>
                      <w:rFonts w:hint="default" w:ascii="Times New Roman" w:hAnsi="Times New Roman" w:eastAsia="宋体"/>
                      <w:color w:val="auto"/>
                      <w:sz w:val="21"/>
                    </w:rPr>
                  </w:pPr>
                  <w:r>
                    <w:rPr>
                      <w:rFonts w:hint="default" w:ascii="Times New Roman" w:hAnsi="Times New Roman" w:eastAsia="宋体"/>
                      <w:color w:val="auto"/>
                      <w:sz w:val="21"/>
                    </w:rPr>
                    <w:t>保护</w:t>
                  </w:r>
                  <w:r>
                    <w:rPr>
                      <w:rFonts w:ascii="Times New Roman" w:hAnsi="Times New Roman" w:eastAsia="宋体"/>
                      <w:color w:val="auto"/>
                      <w:sz w:val="21"/>
                    </w:rPr>
                    <w:t>对象</w:t>
                  </w:r>
                </w:p>
              </w:tc>
              <w:tc>
                <w:tcPr>
                  <w:tcW w:w="592" w:type="pct"/>
                  <w:vMerge w:val="restart"/>
                  <w:vAlign w:val="center"/>
                </w:tcPr>
                <w:p w14:paraId="7339D649">
                  <w:pPr>
                    <w:pStyle w:val="30"/>
                    <w:rPr>
                      <w:rFonts w:hint="default" w:ascii="Times New Roman" w:hAnsi="Times New Roman" w:eastAsia="宋体"/>
                      <w:color w:val="auto"/>
                      <w:sz w:val="21"/>
                    </w:rPr>
                  </w:pPr>
                  <w:r>
                    <w:rPr>
                      <w:rFonts w:hint="default" w:ascii="Times New Roman" w:hAnsi="Times New Roman" w:eastAsia="宋体"/>
                      <w:color w:val="auto"/>
                      <w:sz w:val="21"/>
                    </w:rPr>
                    <w:t>环境</w:t>
                  </w:r>
                </w:p>
                <w:p w14:paraId="3D192636">
                  <w:pPr>
                    <w:pStyle w:val="30"/>
                    <w:rPr>
                      <w:rFonts w:hint="default" w:ascii="Times New Roman" w:hAnsi="Times New Roman" w:eastAsia="宋体"/>
                      <w:color w:val="auto"/>
                      <w:sz w:val="21"/>
                    </w:rPr>
                  </w:pPr>
                  <w:r>
                    <w:rPr>
                      <w:rFonts w:hint="default" w:ascii="Times New Roman" w:hAnsi="Times New Roman" w:eastAsia="宋体"/>
                      <w:color w:val="auto"/>
                      <w:sz w:val="21"/>
                    </w:rPr>
                    <w:t>功能区</w:t>
                  </w:r>
                </w:p>
              </w:tc>
              <w:tc>
                <w:tcPr>
                  <w:tcW w:w="490" w:type="pct"/>
                  <w:vMerge w:val="restart"/>
                  <w:vAlign w:val="center"/>
                </w:tcPr>
                <w:p w14:paraId="44CFE6B1">
                  <w:pPr>
                    <w:pStyle w:val="30"/>
                    <w:rPr>
                      <w:rFonts w:hint="default" w:ascii="Times New Roman" w:hAnsi="Times New Roman" w:eastAsia="宋体"/>
                      <w:color w:val="auto"/>
                      <w:sz w:val="21"/>
                    </w:rPr>
                  </w:pPr>
                  <w:r>
                    <w:rPr>
                      <w:rFonts w:hint="default" w:ascii="Times New Roman" w:hAnsi="Times New Roman" w:eastAsia="宋体"/>
                      <w:color w:val="auto"/>
                      <w:sz w:val="21"/>
                    </w:rPr>
                    <w:t>相对</w:t>
                  </w:r>
                </w:p>
                <w:p w14:paraId="4BCC405F">
                  <w:pPr>
                    <w:pStyle w:val="30"/>
                    <w:rPr>
                      <w:rFonts w:hint="default" w:ascii="Times New Roman" w:hAnsi="Times New Roman" w:eastAsia="宋体"/>
                      <w:color w:val="auto"/>
                      <w:sz w:val="21"/>
                    </w:rPr>
                  </w:pPr>
                  <w:r>
                    <w:rPr>
                      <w:rFonts w:hint="default" w:ascii="Times New Roman" w:hAnsi="Times New Roman" w:eastAsia="宋体"/>
                      <w:color w:val="auto"/>
                      <w:sz w:val="21"/>
                    </w:rPr>
                    <w:t>方位</w:t>
                  </w:r>
                </w:p>
              </w:tc>
              <w:tc>
                <w:tcPr>
                  <w:tcW w:w="587" w:type="pct"/>
                  <w:vMerge w:val="restart"/>
                  <w:vAlign w:val="center"/>
                </w:tcPr>
                <w:p w14:paraId="169F2B4D">
                  <w:pPr>
                    <w:pStyle w:val="30"/>
                    <w:rPr>
                      <w:rFonts w:hint="default" w:ascii="Times New Roman" w:hAnsi="Times New Roman" w:eastAsia="宋体"/>
                      <w:color w:val="auto"/>
                      <w:sz w:val="21"/>
                    </w:rPr>
                  </w:pPr>
                  <w:r>
                    <w:rPr>
                      <w:rFonts w:hint="default" w:ascii="Times New Roman" w:hAnsi="Times New Roman" w:eastAsia="宋体"/>
                      <w:color w:val="auto"/>
                      <w:sz w:val="21"/>
                    </w:rPr>
                    <w:t>与项目厂界相对距离/m</w:t>
                  </w:r>
                </w:p>
              </w:tc>
            </w:tr>
            <w:tr w14:paraId="56D851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427" w:type="pct"/>
                  <w:vMerge w:val="continue"/>
                  <w:vAlign w:val="center"/>
                </w:tcPr>
                <w:p w14:paraId="6E2547DF">
                  <w:pPr>
                    <w:pStyle w:val="30"/>
                    <w:rPr>
                      <w:rFonts w:hint="default" w:ascii="Times New Roman" w:hAnsi="Times New Roman" w:eastAsia="宋体"/>
                      <w:color w:val="auto"/>
                      <w:sz w:val="21"/>
                    </w:rPr>
                  </w:pPr>
                </w:p>
              </w:tc>
              <w:tc>
                <w:tcPr>
                  <w:tcW w:w="684" w:type="pct"/>
                  <w:vMerge w:val="continue"/>
                  <w:vAlign w:val="center"/>
                </w:tcPr>
                <w:p w14:paraId="189D5161">
                  <w:pPr>
                    <w:pStyle w:val="30"/>
                    <w:rPr>
                      <w:rFonts w:hint="default" w:ascii="Times New Roman" w:hAnsi="Times New Roman" w:eastAsia="宋体"/>
                      <w:color w:val="auto"/>
                      <w:sz w:val="21"/>
                    </w:rPr>
                  </w:pPr>
                </w:p>
              </w:tc>
              <w:tc>
                <w:tcPr>
                  <w:tcW w:w="851" w:type="pct"/>
                  <w:vAlign w:val="center"/>
                </w:tcPr>
                <w:p w14:paraId="673E4072">
                  <w:pPr>
                    <w:pStyle w:val="30"/>
                    <w:rPr>
                      <w:rFonts w:hint="default" w:ascii="Times New Roman" w:hAnsi="Times New Roman" w:eastAsia="宋体"/>
                      <w:color w:val="auto"/>
                      <w:sz w:val="21"/>
                    </w:rPr>
                  </w:pPr>
                  <w:r>
                    <w:rPr>
                      <w:rFonts w:ascii="Times New Roman" w:hAnsi="Times New Roman" w:eastAsia="宋体"/>
                      <w:color w:val="auto"/>
                      <w:sz w:val="21"/>
                    </w:rPr>
                    <w:t>经度</w:t>
                  </w:r>
                </w:p>
              </w:tc>
              <w:tc>
                <w:tcPr>
                  <w:tcW w:w="887" w:type="pct"/>
                  <w:vAlign w:val="center"/>
                </w:tcPr>
                <w:p w14:paraId="3368B6C8">
                  <w:pPr>
                    <w:pStyle w:val="30"/>
                    <w:rPr>
                      <w:rFonts w:hint="default" w:ascii="Times New Roman" w:hAnsi="Times New Roman" w:eastAsia="宋体"/>
                      <w:color w:val="auto"/>
                      <w:sz w:val="21"/>
                    </w:rPr>
                  </w:pPr>
                  <w:r>
                    <w:rPr>
                      <w:rFonts w:ascii="Times New Roman" w:hAnsi="Times New Roman" w:eastAsia="宋体"/>
                      <w:color w:val="auto"/>
                      <w:sz w:val="21"/>
                    </w:rPr>
                    <w:t>纬度</w:t>
                  </w:r>
                </w:p>
              </w:tc>
              <w:tc>
                <w:tcPr>
                  <w:tcW w:w="479" w:type="pct"/>
                  <w:vMerge w:val="continue"/>
                  <w:vAlign w:val="center"/>
                </w:tcPr>
                <w:p w14:paraId="6150CF3F">
                  <w:pPr>
                    <w:pStyle w:val="30"/>
                    <w:rPr>
                      <w:rFonts w:hint="default" w:ascii="Times New Roman" w:hAnsi="Times New Roman" w:eastAsia="宋体"/>
                      <w:color w:val="auto"/>
                      <w:sz w:val="21"/>
                    </w:rPr>
                  </w:pPr>
                </w:p>
              </w:tc>
              <w:tc>
                <w:tcPr>
                  <w:tcW w:w="592" w:type="pct"/>
                  <w:vMerge w:val="continue"/>
                  <w:vAlign w:val="center"/>
                </w:tcPr>
                <w:p w14:paraId="778E58BE">
                  <w:pPr>
                    <w:pStyle w:val="30"/>
                    <w:rPr>
                      <w:rFonts w:hint="default" w:ascii="Times New Roman" w:hAnsi="Times New Roman" w:eastAsia="宋体"/>
                      <w:color w:val="auto"/>
                      <w:sz w:val="21"/>
                    </w:rPr>
                  </w:pPr>
                </w:p>
              </w:tc>
              <w:tc>
                <w:tcPr>
                  <w:tcW w:w="490" w:type="pct"/>
                  <w:vMerge w:val="continue"/>
                  <w:vAlign w:val="center"/>
                </w:tcPr>
                <w:p w14:paraId="58D03BEA">
                  <w:pPr>
                    <w:pStyle w:val="30"/>
                    <w:rPr>
                      <w:rFonts w:hint="default" w:ascii="Times New Roman" w:hAnsi="Times New Roman" w:eastAsia="宋体"/>
                      <w:color w:val="auto"/>
                      <w:sz w:val="21"/>
                    </w:rPr>
                  </w:pPr>
                </w:p>
              </w:tc>
              <w:tc>
                <w:tcPr>
                  <w:tcW w:w="587" w:type="pct"/>
                  <w:vMerge w:val="continue"/>
                  <w:vAlign w:val="center"/>
                </w:tcPr>
                <w:p w14:paraId="00DD9427">
                  <w:pPr>
                    <w:pStyle w:val="30"/>
                    <w:rPr>
                      <w:rFonts w:hint="default" w:ascii="Times New Roman" w:hAnsi="Times New Roman" w:eastAsia="宋体"/>
                      <w:color w:val="auto"/>
                      <w:sz w:val="21"/>
                    </w:rPr>
                  </w:pPr>
                </w:p>
              </w:tc>
            </w:tr>
            <w:tr w14:paraId="12F5BA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7" w:type="pct"/>
                  <w:vAlign w:val="center"/>
                </w:tcPr>
                <w:p w14:paraId="7AE8D3DA">
                  <w:pPr>
                    <w:pStyle w:val="30"/>
                    <w:rPr>
                      <w:rFonts w:hint="default" w:ascii="Times New Roman" w:hAnsi="Times New Roman" w:eastAsia="宋体"/>
                      <w:color w:val="auto"/>
                      <w:sz w:val="21"/>
                    </w:rPr>
                  </w:pPr>
                  <w:r>
                    <w:rPr>
                      <w:rFonts w:hint="default" w:ascii="Times New Roman" w:hAnsi="Times New Roman" w:eastAsia="宋体"/>
                      <w:color w:val="auto"/>
                      <w:sz w:val="21"/>
                    </w:rPr>
                    <w:t>大气环境</w:t>
                  </w:r>
                </w:p>
              </w:tc>
              <w:tc>
                <w:tcPr>
                  <w:tcW w:w="4572" w:type="pct"/>
                  <w:gridSpan w:val="7"/>
                  <w:vAlign w:val="center"/>
                </w:tcPr>
                <w:p w14:paraId="1E7F094C">
                  <w:pPr>
                    <w:pStyle w:val="30"/>
                    <w:rPr>
                      <w:rFonts w:hint="default" w:ascii="Times New Roman" w:hAnsi="Times New Roman" w:eastAsia="宋体"/>
                      <w:color w:val="auto"/>
                      <w:sz w:val="21"/>
                      <w:lang w:val="en-US" w:eastAsia="zh-CN"/>
                    </w:rPr>
                  </w:pPr>
                  <w:r>
                    <w:rPr>
                      <w:rFonts w:hint="default" w:ascii="Times New Roman" w:hAnsi="Times New Roman" w:eastAsia="宋体"/>
                      <w:color w:val="auto"/>
                      <w:sz w:val="21"/>
                      <w:lang w:val="en-US" w:eastAsia="zh-CN"/>
                    </w:rPr>
                    <w:t>本项目周边500米范围内无大气环境保护目标</w:t>
                  </w:r>
                </w:p>
              </w:tc>
            </w:tr>
            <w:tr w14:paraId="132784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7" w:type="pct"/>
                  <w:vAlign w:val="center"/>
                </w:tcPr>
                <w:p w14:paraId="6641E4E3">
                  <w:pPr>
                    <w:pStyle w:val="30"/>
                    <w:rPr>
                      <w:rFonts w:hint="default" w:ascii="Times New Roman" w:hAnsi="Times New Roman" w:eastAsia="宋体"/>
                      <w:color w:val="auto"/>
                      <w:sz w:val="21"/>
                    </w:rPr>
                  </w:pPr>
                  <w:r>
                    <w:rPr>
                      <w:rFonts w:hint="default" w:ascii="Times New Roman" w:hAnsi="Times New Roman" w:eastAsia="宋体"/>
                      <w:color w:val="auto"/>
                      <w:sz w:val="21"/>
                    </w:rPr>
                    <w:t>声环境</w:t>
                  </w:r>
                </w:p>
              </w:tc>
              <w:tc>
                <w:tcPr>
                  <w:tcW w:w="4572" w:type="pct"/>
                  <w:gridSpan w:val="7"/>
                  <w:vAlign w:val="center"/>
                </w:tcPr>
                <w:p w14:paraId="53DFF0F2">
                  <w:pPr>
                    <w:pStyle w:val="30"/>
                    <w:rPr>
                      <w:rFonts w:hint="default" w:ascii="Times New Roman" w:hAnsi="Times New Roman" w:eastAsia="宋体"/>
                      <w:color w:val="auto"/>
                      <w:sz w:val="21"/>
                    </w:rPr>
                  </w:pPr>
                  <w:r>
                    <w:rPr>
                      <w:rFonts w:hint="default" w:ascii="Times New Roman" w:hAnsi="Times New Roman" w:eastAsia="宋体"/>
                      <w:color w:val="auto"/>
                      <w:sz w:val="21"/>
                    </w:rPr>
                    <w:t>本项目厂界外50米范围内无声环境保护目标</w:t>
                  </w:r>
                </w:p>
              </w:tc>
            </w:tr>
            <w:tr w14:paraId="5D2843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427" w:type="pct"/>
                  <w:vAlign w:val="center"/>
                </w:tcPr>
                <w:p w14:paraId="33DA3B10">
                  <w:pPr>
                    <w:pStyle w:val="30"/>
                    <w:rPr>
                      <w:rFonts w:hint="default" w:ascii="Times New Roman" w:hAnsi="Times New Roman" w:eastAsia="宋体"/>
                      <w:color w:val="auto"/>
                      <w:sz w:val="21"/>
                    </w:rPr>
                  </w:pPr>
                  <w:r>
                    <w:rPr>
                      <w:rFonts w:hint="default" w:ascii="Times New Roman" w:hAnsi="Times New Roman" w:eastAsia="宋体"/>
                      <w:color w:val="auto"/>
                      <w:sz w:val="21"/>
                    </w:rPr>
                    <w:t>地下水环境</w:t>
                  </w:r>
                </w:p>
              </w:tc>
              <w:tc>
                <w:tcPr>
                  <w:tcW w:w="4572" w:type="pct"/>
                  <w:gridSpan w:val="7"/>
                  <w:vAlign w:val="center"/>
                </w:tcPr>
                <w:p w14:paraId="1C5A097E">
                  <w:pPr>
                    <w:pStyle w:val="30"/>
                    <w:rPr>
                      <w:rFonts w:hint="default" w:ascii="Times New Roman" w:hAnsi="Times New Roman" w:eastAsia="宋体"/>
                      <w:color w:val="auto"/>
                      <w:sz w:val="21"/>
                    </w:rPr>
                  </w:pPr>
                  <w:r>
                    <w:rPr>
                      <w:rFonts w:hint="default" w:ascii="Times New Roman" w:hAnsi="Times New Roman" w:eastAsia="宋体"/>
                      <w:color w:val="auto"/>
                      <w:sz w:val="21"/>
                    </w:rPr>
                    <w:t>本项目厂界外500米范围内无地下水集中式饮用水水源和热水、矿泉水、温泉等特殊地下水资源</w:t>
                  </w:r>
                </w:p>
              </w:tc>
            </w:tr>
            <w:tr w14:paraId="0C8EF1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427" w:type="pct"/>
                  <w:vAlign w:val="center"/>
                </w:tcPr>
                <w:p w14:paraId="14FA0A5E">
                  <w:pPr>
                    <w:pStyle w:val="30"/>
                    <w:rPr>
                      <w:rFonts w:hint="default" w:ascii="Times New Roman" w:hAnsi="Times New Roman" w:eastAsia="宋体"/>
                      <w:color w:val="auto"/>
                      <w:sz w:val="21"/>
                    </w:rPr>
                  </w:pPr>
                  <w:r>
                    <w:rPr>
                      <w:rFonts w:hint="default" w:ascii="Times New Roman" w:hAnsi="Times New Roman" w:eastAsia="宋体"/>
                      <w:color w:val="auto"/>
                      <w:sz w:val="21"/>
                    </w:rPr>
                    <w:t>地表水环境</w:t>
                  </w:r>
                </w:p>
              </w:tc>
              <w:tc>
                <w:tcPr>
                  <w:tcW w:w="4572" w:type="pct"/>
                  <w:gridSpan w:val="7"/>
                  <w:vAlign w:val="center"/>
                </w:tcPr>
                <w:p w14:paraId="715F04A6">
                  <w:pPr>
                    <w:pStyle w:val="30"/>
                    <w:rPr>
                      <w:rFonts w:hint="default" w:ascii="Times New Roman" w:hAnsi="Times New Roman" w:eastAsia="宋体"/>
                      <w:color w:val="auto"/>
                      <w:sz w:val="21"/>
                    </w:rPr>
                  </w:pPr>
                  <w:r>
                    <w:rPr>
                      <w:rFonts w:hint="default" w:ascii="Times New Roman" w:hAnsi="Times New Roman" w:eastAsia="宋体"/>
                      <w:color w:val="auto"/>
                      <w:sz w:val="21"/>
                    </w:rPr>
                    <w:t>本项目不涉及饮用水水源保护区、饮用水取水口，涉水的自然保护区、风景名胜区，重要湿地、重点保护与珍稀水生生物的栖息地、重要水生生物的自然产卵场及索饵场、越冬场和洄游通道，天然渔场等渔业水体</w:t>
                  </w:r>
                  <w:r>
                    <w:rPr>
                      <w:rFonts w:hint="eastAsia" w:ascii="Times New Roman"/>
                      <w:color w:val="auto"/>
                      <w:sz w:val="21"/>
                      <w:lang w:eastAsia="zh-CN"/>
                    </w:rPr>
                    <w:t>，</w:t>
                  </w:r>
                  <w:r>
                    <w:rPr>
                      <w:rFonts w:hint="default" w:ascii="Times New Roman" w:hAnsi="Times New Roman" w:eastAsia="宋体"/>
                      <w:color w:val="auto"/>
                      <w:sz w:val="21"/>
                    </w:rPr>
                    <w:t>以及水产种质资源保护区上述地表水环境保护目标</w:t>
                  </w:r>
                </w:p>
              </w:tc>
            </w:tr>
            <w:tr w14:paraId="7F896A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7" w:type="pct"/>
                  <w:vAlign w:val="center"/>
                </w:tcPr>
                <w:p w14:paraId="7B97327D">
                  <w:pPr>
                    <w:pStyle w:val="30"/>
                    <w:rPr>
                      <w:rFonts w:hint="default" w:ascii="Times New Roman" w:hAnsi="Times New Roman" w:eastAsia="宋体"/>
                      <w:color w:val="auto"/>
                      <w:sz w:val="21"/>
                    </w:rPr>
                  </w:pPr>
                  <w:r>
                    <w:rPr>
                      <w:rFonts w:hint="default" w:ascii="Times New Roman" w:hAnsi="Times New Roman" w:eastAsia="宋体"/>
                      <w:color w:val="auto"/>
                      <w:sz w:val="21"/>
                    </w:rPr>
                    <w:t>生态</w:t>
                  </w:r>
                </w:p>
                <w:p w14:paraId="404A6FC0">
                  <w:pPr>
                    <w:pStyle w:val="30"/>
                    <w:rPr>
                      <w:rFonts w:hint="default" w:ascii="Times New Roman" w:hAnsi="Times New Roman" w:eastAsia="宋体"/>
                      <w:color w:val="auto"/>
                      <w:sz w:val="21"/>
                    </w:rPr>
                  </w:pPr>
                  <w:r>
                    <w:rPr>
                      <w:rFonts w:hint="default" w:ascii="Times New Roman" w:hAnsi="Times New Roman" w:eastAsia="宋体"/>
                      <w:color w:val="auto"/>
                      <w:sz w:val="21"/>
                    </w:rPr>
                    <w:t>环境</w:t>
                  </w:r>
                </w:p>
              </w:tc>
              <w:tc>
                <w:tcPr>
                  <w:tcW w:w="4572" w:type="pct"/>
                  <w:gridSpan w:val="7"/>
                  <w:vAlign w:val="center"/>
                </w:tcPr>
                <w:p w14:paraId="26BB25EF">
                  <w:pPr>
                    <w:pStyle w:val="30"/>
                    <w:rPr>
                      <w:rFonts w:hint="default" w:ascii="Times New Roman" w:hAnsi="Times New Roman" w:eastAsia="宋体"/>
                      <w:color w:val="auto"/>
                      <w:sz w:val="21"/>
                    </w:rPr>
                  </w:pPr>
                  <w:r>
                    <w:rPr>
                      <w:rFonts w:hint="default" w:ascii="Times New Roman" w:hAnsi="Times New Roman" w:eastAsia="宋体"/>
                      <w:color w:val="auto"/>
                      <w:sz w:val="21"/>
                    </w:rPr>
                    <w:t>本项目位于</w:t>
                  </w:r>
                  <w:r>
                    <w:rPr>
                      <w:rFonts w:hint="eastAsia" w:ascii="Times New Roman" w:hAnsi="Times New Roman"/>
                      <w:color w:val="auto"/>
                      <w:sz w:val="21"/>
                      <w:lang w:val="en-US" w:eastAsia="zh-CN"/>
                    </w:rPr>
                    <w:t>涟水县经济开发区</w:t>
                  </w:r>
                  <w:r>
                    <w:rPr>
                      <w:rFonts w:hint="default" w:ascii="Times New Roman" w:hAnsi="Times New Roman" w:eastAsia="宋体"/>
                      <w:color w:val="auto"/>
                      <w:sz w:val="21"/>
                    </w:rPr>
                    <w:t>，</w:t>
                  </w:r>
                  <w:r>
                    <w:rPr>
                      <w:rFonts w:ascii="Times New Roman" w:hAnsi="Times New Roman" w:eastAsia="宋体"/>
                      <w:color w:val="auto"/>
                      <w:sz w:val="21"/>
                    </w:rPr>
                    <w:t>用地性质为工业用地，</w:t>
                  </w:r>
                  <w:r>
                    <w:rPr>
                      <w:rFonts w:hint="default" w:ascii="Times New Roman" w:hAnsi="Times New Roman" w:eastAsia="宋体"/>
                      <w:color w:val="auto"/>
                      <w:sz w:val="21"/>
                    </w:rPr>
                    <w:t>且用地范围内无生态环境保护目标</w:t>
                  </w:r>
                </w:p>
              </w:tc>
            </w:tr>
            <w:tr w14:paraId="7A97B2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7" w:type="pct"/>
                  <w:vAlign w:val="center"/>
                </w:tcPr>
                <w:p w14:paraId="2F1A3AC2">
                  <w:pPr>
                    <w:pStyle w:val="30"/>
                    <w:rPr>
                      <w:rFonts w:hint="default" w:ascii="Times New Roman" w:hAnsi="Times New Roman" w:eastAsia="宋体"/>
                      <w:color w:val="auto"/>
                      <w:sz w:val="21"/>
                    </w:rPr>
                  </w:pPr>
                  <w:r>
                    <w:rPr>
                      <w:rFonts w:hint="default" w:ascii="Times New Roman" w:hAnsi="Times New Roman" w:eastAsia="宋体"/>
                      <w:color w:val="auto"/>
                      <w:sz w:val="21"/>
                    </w:rPr>
                    <w:t>电磁</w:t>
                  </w:r>
                </w:p>
                <w:p w14:paraId="3B9F9D29">
                  <w:pPr>
                    <w:pStyle w:val="30"/>
                    <w:rPr>
                      <w:rFonts w:hint="default" w:ascii="Times New Roman" w:hAnsi="Times New Roman" w:eastAsia="宋体"/>
                      <w:color w:val="auto"/>
                      <w:sz w:val="21"/>
                    </w:rPr>
                  </w:pPr>
                  <w:r>
                    <w:rPr>
                      <w:rFonts w:hint="default" w:ascii="Times New Roman" w:hAnsi="Times New Roman" w:eastAsia="宋体"/>
                      <w:color w:val="auto"/>
                      <w:sz w:val="21"/>
                    </w:rPr>
                    <w:t>辐射</w:t>
                  </w:r>
                </w:p>
              </w:tc>
              <w:tc>
                <w:tcPr>
                  <w:tcW w:w="4572" w:type="pct"/>
                  <w:gridSpan w:val="7"/>
                  <w:vAlign w:val="center"/>
                </w:tcPr>
                <w:p w14:paraId="44DEE85D">
                  <w:pPr>
                    <w:pStyle w:val="30"/>
                    <w:rPr>
                      <w:rFonts w:hint="default" w:ascii="Times New Roman" w:hAnsi="Times New Roman" w:eastAsia="宋体"/>
                      <w:color w:val="auto"/>
                      <w:sz w:val="21"/>
                    </w:rPr>
                  </w:pPr>
                  <w:r>
                    <w:rPr>
                      <w:rFonts w:hint="default" w:ascii="Times New Roman" w:hAnsi="Times New Roman" w:eastAsia="宋体"/>
                      <w:color w:val="auto"/>
                      <w:sz w:val="21"/>
                    </w:rPr>
                    <w:t>本项目不属于电磁辐射类项目</w:t>
                  </w:r>
                </w:p>
              </w:tc>
            </w:tr>
            <w:tr w14:paraId="5EABFE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7" w:type="pct"/>
                  <w:vAlign w:val="center"/>
                </w:tcPr>
                <w:p w14:paraId="55F7C319">
                  <w:pPr>
                    <w:pStyle w:val="30"/>
                    <w:rPr>
                      <w:rFonts w:hint="eastAsia"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土壤</w:t>
                  </w:r>
                </w:p>
                <w:p w14:paraId="0B6F1D93">
                  <w:pPr>
                    <w:pStyle w:val="30"/>
                    <w:rPr>
                      <w:rFonts w:hint="eastAsia"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环境</w:t>
                  </w:r>
                </w:p>
              </w:tc>
              <w:tc>
                <w:tcPr>
                  <w:tcW w:w="4572" w:type="pct"/>
                  <w:gridSpan w:val="7"/>
                  <w:vAlign w:val="center"/>
                </w:tcPr>
                <w:p w14:paraId="7B255B65">
                  <w:pPr>
                    <w:pStyle w:val="30"/>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本项目不涉及土壤环境污染</w:t>
                  </w:r>
                </w:p>
              </w:tc>
            </w:tr>
          </w:tbl>
          <w:p w14:paraId="050FC677">
            <w:pPr>
              <w:pStyle w:val="2"/>
              <w:ind w:left="0" w:leftChars="0" w:firstLine="0" w:firstLineChars="0"/>
              <w:rPr>
                <w:color w:val="auto"/>
              </w:rPr>
            </w:pPr>
          </w:p>
          <w:p w14:paraId="6E95BD58">
            <w:pPr>
              <w:pStyle w:val="6"/>
              <w:rPr>
                <w:color w:val="auto"/>
              </w:rPr>
            </w:pPr>
          </w:p>
          <w:p w14:paraId="0E766BE2">
            <w:pPr>
              <w:pStyle w:val="2"/>
              <w:rPr>
                <w:color w:val="auto"/>
              </w:rPr>
            </w:pPr>
          </w:p>
          <w:p w14:paraId="33C2B8D7">
            <w:pPr>
              <w:pStyle w:val="2"/>
              <w:ind w:left="0" w:leftChars="0" w:firstLine="0" w:firstLineChars="0"/>
              <w:rPr>
                <w:color w:val="auto"/>
              </w:rPr>
            </w:pPr>
          </w:p>
          <w:p w14:paraId="69DA06D1">
            <w:pPr>
              <w:pStyle w:val="2"/>
              <w:ind w:left="0" w:leftChars="0" w:firstLine="0" w:firstLineChars="0"/>
              <w:rPr>
                <w:color w:val="auto"/>
              </w:rPr>
            </w:pPr>
          </w:p>
        </w:tc>
      </w:tr>
      <w:tr w14:paraId="7D1D66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64" w:hRule="atLeast"/>
          <w:jc w:val="center"/>
        </w:trPr>
        <w:tc>
          <w:tcPr>
            <w:tcW w:w="800" w:type="dxa"/>
            <w:noWrap w:val="0"/>
            <w:tcMar>
              <w:left w:w="28" w:type="dxa"/>
              <w:right w:w="28" w:type="dxa"/>
            </w:tcMar>
            <w:vAlign w:val="center"/>
          </w:tcPr>
          <w:p w14:paraId="2AB90E15">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污染</w:t>
            </w:r>
          </w:p>
          <w:p w14:paraId="19ED8496">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物排</w:t>
            </w:r>
          </w:p>
          <w:p w14:paraId="025A515B">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放控</w:t>
            </w:r>
          </w:p>
          <w:p w14:paraId="15294F54">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制标</w:t>
            </w:r>
          </w:p>
          <w:p w14:paraId="36BCE2BB">
            <w:pPr>
              <w:adjustRightInd w:val="0"/>
              <w:snapToGrid w:val="0"/>
              <w:jc w:val="center"/>
              <w:rPr>
                <w:rFonts w:ascii="宋体" w:hAnsi="宋体" w:cs="宋体"/>
                <w:color w:val="auto"/>
                <w:kern w:val="0"/>
                <w:szCs w:val="21"/>
              </w:rPr>
            </w:pPr>
            <w:r>
              <w:rPr>
                <w:rFonts w:hint="eastAsia" w:ascii="宋体" w:hAnsi="宋体" w:cs="宋体"/>
                <w:color w:val="auto"/>
                <w:kern w:val="0"/>
                <w:szCs w:val="21"/>
              </w:rPr>
              <w:t>准</w:t>
            </w:r>
          </w:p>
        </w:tc>
        <w:tc>
          <w:tcPr>
            <w:tcW w:w="8190" w:type="dxa"/>
            <w:noWrap w:val="0"/>
            <w:vAlign w:val="center"/>
          </w:tcPr>
          <w:p w14:paraId="61863F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 w:val="0"/>
                <w:bCs w:val="0"/>
                <w:color w:val="auto"/>
                <w:sz w:val="24"/>
              </w:rPr>
            </w:pPr>
            <w:r>
              <w:rPr>
                <w:rFonts w:hint="eastAsia"/>
                <w:b w:val="0"/>
                <w:bCs w:val="0"/>
                <w:color w:val="auto"/>
                <w:sz w:val="24"/>
              </w:rPr>
              <w:t>1、大气污染物排放标准</w:t>
            </w:r>
          </w:p>
          <w:p w14:paraId="72A2ED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rFonts w:hint="eastAsia"/>
                <w:color w:val="auto"/>
                <w:sz w:val="24"/>
                <w:lang w:val="en-US" w:eastAsia="zh-CN"/>
              </w:rPr>
              <w:t>迁建项目</w:t>
            </w:r>
            <w:r>
              <w:rPr>
                <w:rFonts w:hint="eastAsia"/>
                <w:color w:val="auto"/>
                <w:sz w:val="24"/>
              </w:rPr>
              <w:t>产生的废气</w:t>
            </w:r>
            <w:r>
              <w:rPr>
                <w:rFonts w:hint="eastAsia"/>
                <w:color w:val="auto"/>
                <w:sz w:val="24"/>
                <w:lang w:val="en-US" w:eastAsia="zh-CN"/>
              </w:rPr>
              <w:t>主要</w:t>
            </w:r>
            <w:r>
              <w:rPr>
                <w:rFonts w:hint="eastAsia"/>
                <w:color w:val="auto"/>
                <w:sz w:val="24"/>
              </w:rPr>
              <w:t>为</w:t>
            </w:r>
            <w:r>
              <w:rPr>
                <w:rFonts w:hint="eastAsia"/>
                <w:color w:val="auto"/>
                <w:sz w:val="24"/>
                <w:lang w:val="en-US" w:eastAsia="zh-CN"/>
              </w:rPr>
              <w:t>非甲烷总烃</w:t>
            </w:r>
            <w:r>
              <w:rPr>
                <w:rFonts w:hint="eastAsia"/>
                <w:color w:val="auto"/>
                <w:sz w:val="24"/>
                <w:lang w:eastAsia="zh-CN"/>
              </w:rPr>
              <w:t>。本项目营运期</w:t>
            </w:r>
            <w:r>
              <w:rPr>
                <w:rFonts w:hint="eastAsia"/>
                <w:color w:val="auto"/>
                <w:sz w:val="24"/>
                <w:lang w:val="en-US" w:eastAsia="zh-CN"/>
              </w:rPr>
              <w:t>有组织排放非甲烷总烃执行</w:t>
            </w:r>
            <w:r>
              <w:rPr>
                <w:rFonts w:hint="eastAsia"/>
                <w:color w:val="auto"/>
                <w:sz w:val="24"/>
              </w:rPr>
              <w:t>《玻璃工业大气污染物排放标准》（</w:t>
            </w:r>
            <w:r>
              <w:rPr>
                <w:rFonts w:hint="eastAsia"/>
                <w:color w:val="auto"/>
                <w:sz w:val="24"/>
                <w:lang w:val="en-US" w:eastAsia="zh-CN"/>
              </w:rPr>
              <w:t>GB26453-2022</w:t>
            </w:r>
            <w:r>
              <w:rPr>
                <w:rFonts w:hint="eastAsia"/>
                <w:color w:val="auto"/>
                <w:sz w:val="24"/>
              </w:rPr>
              <w:t>）</w:t>
            </w:r>
            <w:r>
              <w:rPr>
                <w:rFonts w:hint="eastAsia"/>
                <w:color w:val="auto"/>
                <w:sz w:val="24"/>
                <w:lang w:val="en-US" w:eastAsia="zh-CN"/>
              </w:rPr>
              <w:t>表1中排放限值要求，</w:t>
            </w:r>
            <w:r>
              <w:rPr>
                <w:rFonts w:hint="eastAsia"/>
                <w:color w:val="auto"/>
                <w:sz w:val="24"/>
              </w:rPr>
              <w:t>厂区内无组织挥发性有机物执行《玻璃工业大气污染物排放标准》（</w:t>
            </w:r>
            <w:r>
              <w:rPr>
                <w:rFonts w:hint="eastAsia"/>
                <w:color w:val="auto"/>
                <w:sz w:val="24"/>
                <w:lang w:val="en-US" w:eastAsia="zh-CN"/>
              </w:rPr>
              <w:t>GB26453-2022</w:t>
            </w:r>
            <w:r>
              <w:rPr>
                <w:rFonts w:hint="eastAsia"/>
                <w:color w:val="auto"/>
                <w:sz w:val="24"/>
              </w:rPr>
              <w:t>）表</w:t>
            </w:r>
            <w:r>
              <w:rPr>
                <w:rFonts w:hint="eastAsia"/>
                <w:color w:val="auto"/>
                <w:sz w:val="24"/>
                <w:lang w:val="en-US" w:eastAsia="zh-CN"/>
              </w:rPr>
              <w:t>B.1中非甲烷总烃排放限值要求</w:t>
            </w:r>
            <w:r>
              <w:rPr>
                <w:rFonts w:hint="eastAsia"/>
                <w:color w:val="auto"/>
                <w:sz w:val="24"/>
                <w:lang w:eastAsia="zh-CN"/>
              </w:rPr>
              <w:t>，</w:t>
            </w:r>
            <w:r>
              <w:rPr>
                <w:rFonts w:hint="eastAsia"/>
                <w:color w:val="auto"/>
                <w:sz w:val="24"/>
                <w:lang w:val="en-US" w:eastAsia="zh-CN"/>
              </w:rPr>
              <w:t>厂界无组织非甲烷总烃执行</w:t>
            </w:r>
            <w:r>
              <w:rPr>
                <w:rFonts w:hint="eastAsia"/>
                <w:color w:val="auto"/>
                <w:sz w:val="24"/>
                <w:lang w:eastAsia="zh-CN"/>
              </w:rPr>
              <w:t>江苏省地方标准《大气污染物综合排放标准》（DB32/4041-2021）表</w:t>
            </w:r>
            <w:r>
              <w:rPr>
                <w:rFonts w:hint="eastAsia"/>
                <w:color w:val="auto"/>
                <w:sz w:val="24"/>
                <w:lang w:val="en-US" w:eastAsia="zh-CN"/>
              </w:rPr>
              <w:t>3</w:t>
            </w:r>
            <w:r>
              <w:rPr>
                <w:rFonts w:hint="eastAsia"/>
                <w:color w:val="auto"/>
                <w:sz w:val="24"/>
                <w:lang w:eastAsia="zh-CN"/>
              </w:rPr>
              <w:t>中</w:t>
            </w:r>
            <w:r>
              <w:rPr>
                <w:rFonts w:hint="eastAsia"/>
                <w:color w:val="auto"/>
                <w:sz w:val="24"/>
                <w:lang w:val="en-US" w:eastAsia="zh-CN"/>
              </w:rPr>
              <w:t>限制要求</w:t>
            </w:r>
            <w:r>
              <w:rPr>
                <w:rFonts w:hint="eastAsia"/>
                <w:color w:val="auto"/>
                <w:sz w:val="24"/>
                <w:lang w:eastAsia="zh-CN"/>
              </w:rPr>
              <w:t>。</w:t>
            </w:r>
            <w:r>
              <w:rPr>
                <w:rFonts w:hint="eastAsia"/>
                <w:color w:val="auto"/>
                <w:sz w:val="24"/>
              </w:rPr>
              <w:t>具体排放标准和排放限值指标见下表。</w:t>
            </w:r>
          </w:p>
          <w:p w14:paraId="7FDFC9B0">
            <w:pPr>
              <w:pStyle w:val="51"/>
              <w:bidi w:val="0"/>
              <w:rPr>
                <w:rFonts w:hint="eastAsia"/>
                <w:b/>
                <w:bCs/>
                <w:color w:val="auto"/>
                <w:lang w:val="en-US" w:eastAsia="zh-CN"/>
              </w:rPr>
            </w:pPr>
            <w:bookmarkStart w:id="1" w:name="_Toc32052"/>
            <w:r>
              <w:rPr>
                <w:rFonts w:hint="default"/>
                <w:b/>
                <w:bCs/>
                <w:color w:val="auto"/>
              </w:rPr>
              <w:t>表3-</w:t>
            </w:r>
            <w:r>
              <w:rPr>
                <w:rFonts w:hint="eastAsia"/>
                <w:b/>
                <w:bCs/>
                <w:color w:val="auto"/>
                <w:lang w:val="en-US" w:eastAsia="zh-CN"/>
              </w:rPr>
              <w:t>2</w:t>
            </w:r>
            <w:r>
              <w:rPr>
                <w:rFonts w:hint="default"/>
                <w:b/>
                <w:bCs/>
                <w:color w:val="auto"/>
              </w:rPr>
              <w:t xml:space="preserve"> </w:t>
            </w:r>
            <w:r>
              <w:rPr>
                <w:rFonts w:hint="eastAsia"/>
                <w:b/>
                <w:bCs/>
                <w:color w:val="auto"/>
                <w:lang w:val="en-US" w:eastAsia="zh-CN"/>
              </w:rPr>
              <w:t xml:space="preserve"> </w:t>
            </w:r>
            <w:r>
              <w:rPr>
                <w:rFonts w:hint="default"/>
                <w:b/>
                <w:bCs/>
                <w:color w:val="auto"/>
              </w:rPr>
              <w:t>大气污染物排放标准</w:t>
            </w:r>
            <w:bookmarkEnd w:id="1"/>
            <w:r>
              <w:rPr>
                <w:rFonts w:hint="eastAsia"/>
                <w:b/>
                <w:bCs/>
                <w:color w:val="auto"/>
                <w:lang w:val="en-US" w:eastAsia="zh-CN"/>
              </w:rPr>
              <w:t xml:space="preserve">  </w:t>
            </w:r>
          </w:p>
          <w:tbl>
            <w:tblPr>
              <w:tblStyle w:val="22"/>
              <w:tblW w:w="839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29"/>
              <w:gridCol w:w="2205"/>
              <w:gridCol w:w="2022"/>
              <w:gridCol w:w="1561"/>
              <w:gridCol w:w="1682"/>
            </w:tblGrid>
            <w:tr w14:paraId="3B97CB4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553" w:type="pct"/>
                  <w:vMerge w:val="restart"/>
                  <w:noWrap w:val="0"/>
                  <w:vAlign w:val="center"/>
                </w:tcPr>
                <w:p w14:paraId="670C53EA">
                  <w:pPr>
                    <w:pStyle w:val="30"/>
                    <w:bidi w:val="0"/>
                    <w:rPr>
                      <w:rFonts w:hint="default" w:ascii="Times New Roman" w:hAnsi="Times New Roman"/>
                      <w:color w:val="auto"/>
                      <w:sz w:val="21"/>
                    </w:rPr>
                  </w:pPr>
                  <w:r>
                    <w:rPr>
                      <w:rFonts w:hint="default" w:ascii="Times New Roman" w:hAnsi="Times New Roman"/>
                      <w:color w:val="auto"/>
                      <w:sz w:val="21"/>
                    </w:rPr>
                    <w:t>污染物</w:t>
                  </w:r>
                </w:p>
              </w:tc>
              <w:tc>
                <w:tcPr>
                  <w:tcW w:w="2515" w:type="pct"/>
                  <w:gridSpan w:val="2"/>
                  <w:noWrap w:val="0"/>
                  <w:vAlign w:val="center"/>
                </w:tcPr>
                <w:p w14:paraId="66077F80">
                  <w:pPr>
                    <w:pStyle w:val="30"/>
                    <w:bidi w:val="0"/>
                    <w:rPr>
                      <w:rFonts w:hint="default" w:ascii="Times New Roman" w:hAnsi="Times New Roman"/>
                      <w:color w:val="auto"/>
                      <w:sz w:val="21"/>
                    </w:rPr>
                  </w:pPr>
                  <w:r>
                    <w:rPr>
                      <w:rFonts w:hint="default" w:ascii="Times New Roman" w:hAnsi="Times New Roman"/>
                      <w:color w:val="auto"/>
                      <w:sz w:val="21"/>
                    </w:rPr>
                    <w:t>标准限值</w:t>
                  </w:r>
                </w:p>
              </w:tc>
              <w:tc>
                <w:tcPr>
                  <w:tcW w:w="929" w:type="pct"/>
                  <w:vMerge w:val="restart"/>
                  <w:noWrap w:val="0"/>
                  <w:vAlign w:val="center"/>
                </w:tcPr>
                <w:p w14:paraId="50C8B7A6">
                  <w:pPr>
                    <w:pStyle w:val="30"/>
                    <w:bidi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污染物排放监控位置</w:t>
                  </w:r>
                </w:p>
              </w:tc>
              <w:tc>
                <w:tcPr>
                  <w:tcW w:w="1001" w:type="pct"/>
                  <w:vMerge w:val="restart"/>
                  <w:noWrap w:val="0"/>
                  <w:vAlign w:val="center"/>
                </w:tcPr>
                <w:p w14:paraId="71516C26">
                  <w:pPr>
                    <w:pStyle w:val="30"/>
                    <w:bidi w:val="0"/>
                    <w:rPr>
                      <w:rFonts w:hint="default" w:ascii="Times New Roman" w:hAnsi="Times New Roman"/>
                      <w:color w:val="auto"/>
                      <w:sz w:val="21"/>
                    </w:rPr>
                  </w:pPr>
                  <w:r>
                    <w:rPr>
                      <w:rFonts w:hint="default" w:ascii="Times New Roman" w:hAnsi="Times New Roman"/>
                      <w:color w:val="auto"/>
                      <w:sz w:val="21"/>
                    </w:rPr>
                    <w:t>执行标准</w:t>
                  </w:r>
                </w:p>
              </w:tc>
            </w:tr>
            <w:tr w14:paraId="1D1B34C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553" w:type="pct"/>
                  <w:vMerge w:val="continue"/>
                  <w:noWrap w:val="0"/>
                  <w:vAlign w:val="center"/>
                </w:tcPr>
                <w:p w14:paraId="663C5B69">
                  <w:pPr>
                    <w:pStyle w:val="30"/>
                    <w:bidi w:val="0"/>
                    <w:rPr>
                      <w:rFonts w:hint="default" w:ascii="Times New Roman" w:hAnsi="Times New Roman"/>
                      <w:color w:val="auto"/>
                      <w:sz w:val="21"/>
                    </w:rPr>
                  </w:pPr>
                </w:p>
              </w:tc>
              <w:tc>
                <w:tcPr>
                  <w:tcW w:w="1312" w:type="pct"/>
                  <w:noWrap w:val="0"/>
                  <w:vAlign w:val="center"/>
                </w:tcPr>
                <w:p w14:paraId="237BF2A0">
                  <w:pPr>
                    <w:pStyle w:val="30"/>
                    <w:bidi w:val="0"/>
                    <w:rPr>
                      <w:rFonts w:hint="default" w:ascii="Times New Roman" w:hAnsi="Times New Roman"/>
                      <w:color w:val="auto"/>
                      <w:sz w:val="21"/>
                    </w:rPr>
                  </w:pPr>
                  <w:r>
                    <w:rPr>
                      <w:rFonts w:hint="eastAsia" w:ascii="Times New Roman" w:hAnsi="Times New Roman"/>
                      <w:color w:val="auto"/>
                      <w:sz w:val="21"/>
                      <w:lang w:val="en-US" w:eastAsia="zh-CN"/>
                    </w:rPr>
                    <w:t>最高允许排放浓度</w:t>
                  </w:r>
                  <w:r>
                    <w:rPr>
                      <w:rFonts w:hint="eastAsia" w:ascii="Times New Roman" w:hAnsi="Times New Roman"/>
                      <w:color w:val="auto"/>
                      <w:sz w:val="21"/>
                      <w:lang w:eastAsia="zh-CN"/>
                    </w:rPr>
                    <w:t>（</w:t>
                  </w:r>
                  <w:r>
                    <w:rPr>
                      <w:rFonts w:hint="default" w:ascii="Times New Roman" w:hAnsi="Times New Roman"/>
                      <w:color w:val="auto"/>
                      <w:sz w:val="21"/>
                    </w:rPr>
                    <w:t>mg/m</w:t>
                  </w:r>
                  <w:r>
                    <w:rPr>
                      <w:rFonts w:hint="default" w:ascii="Times New Roman" w:hAnsi="Times New Roman"/>
                      <w:color w:val="auto"/>
                      <w:sz w:val="21"/>
                      <w:vertAlign w:val="superscript"/>
                    </w:rPr>
                    <w:t>3</w:t>
                  </w:r>
                  <w:r>
                    <w:rPr>
                      <w:rFonts w:hint="eastAsia" w:ascii="Times New Roman" w:hAnsi="Times New Roman"/>
                      <w:color w:val="auto"/>
                      <w:sz w:val="21"/>
                      <w:lang w:eastAsia="zh-CN"/>
                    </w:rPr>
                    <w:t>）</w:t>
                  </w:r>
                </w:p>
              </w:tc>
              <w:tc>
                <w:tcPr>
                  <w:tcW w:w="1202" w:type="pct"/>
                  <w:noWrap w:val="0"/>
                  <w:vAlign w:val="center"/>
                </w:tcPr>
                <w:p w14:paraId="36B820EF">
                  <w:pPr>
                    <w:pStyle w:val="30"/>
                    <w:bidi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最高允许排放速率（kg/h）</w:t>
                  </w:r>
                </w:p>
              </w:tc>
              <w:tc>
                <w:tcPr>
                  <w:tcW w:w="929" w:type="pct"/>
                  <w:vMerge w:val="continue"/>
                  <w:noWrap w:val="0"/>
                  <w:vAlign w:val="center"/>
                </w:tcPr>
                <w:p w14:paraId="14117A6E">
                  <w:pPr>
                    <w:pStyle w:val="30"/>
                    <w:bidi w:val="0"/>
                    <w:rPr>
                      <w:rFonts w:hint="default" w:ascii="Times New Roman" w:hAnsi="Times New Roman"/>
                      <w:color w:val="auto"/>
                      <w:sz w:val="21"/>
                    </w:rPr>
                  </w:pPr>
                </w:p>
              </w:tc>
              <w:tc>
                <w:tcPr>
                  <w:tcW w:w="1001" w:type="pct"/>
                  <w:vMerge w:val="continue"/>
                  <w:noWrap w:val="0"/>
                  <w:vAlign w:val="center"/>
                </w:tcPr>
                <w:p w14:paraId="1BB970D6">
                  <w:pPr>
                    <w:pStyle w:val="30"/>
                    <w:bidi w:val="0"/>
                    <w:rPr>
                      <w:rFonts w:hint="default" w:ascii="Times New Roman" w:hAnsi="Times New Roman"/>
                      <w:color w:val="auto"/>
                      <w:sz w:val="21"/>
                    </w:rPr>
                  </w:pPr>
                </w:p>
              </w:tc>
            </w:tr>
            <w:tr w14:paraId="7A8179A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66" w:hRule="exact"/>
                <w:jc w:val="center"/>
              </w:trPr>
              <w:tc>
                <w:tcPr>
                  <w:tcW w:w="553" w:type="pct"/>
                  <w:noWrap w:val="0"/>
                  <w:vAlign w:val="center"/>
                </w:tcPr>
                <w:p w14:paraId="75F0E7FA">
                  <w:pPr>
                    <w:pStyle w:val="30"/>
                    <w:bidi w:val="0"/>
                    <w:rPr>
                      <w:rFonts w:hint="default" w:ascii="Times New Roman" w:hAnsi="Times New Roman"/>
                      <w:color w:val="auto"/>
                      <w:sz w:val="21"/>
                    </w:rPr>
                  </w:pPr>
                  <w:r>
                    <w:rPr>
                      <w:rFonts w:hint="eastAsia" w:ascii="Times New Roman" w:hAnsi="Times New Roman"/>
                      <w:color w:val="auto"/>
                      <w:sz w:val="21"/>
                      <w:lang w:val="en-US" w:eastAsia="zh-CN"/>
                    </w:rPr>
                    <w:t>非甲烷总烃</w:t>
                  </w:r>
                </w:p>
              </w:tc>
              <w:tc>
                <w:tcPr>
                  <w:tcW w:w="1312" w:type="pct"/>
                  <w:noWrap w:val="0"/>
                  <w:vAlign w:val="center"/>
                </w:tcPr>
                <w:p w14:paraId="213F3AC1">
                  <w:pPr>
                    <w:pStyle w:val="30"/>
                    <w:bidi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80</w:t>
                  </w:r>
                </w:p>
              </w:tc>
              <w:tc>
                <w:tcPr>
                  <w:tcW w:w="1202" w:type="pct"/>
                  <w:noWrap w:val="0"/>
                  <w:vAlign w:val="center"/>
                </w:tcPr>
                <w:p w14:paraId="487E4682">
                  <w:pPr>
                    <w:pStyle w:val="30"/>
                    <w:bidi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w:t>
                  </w:r>
                </w:p>
              </w:tc>
              <w:tc>
                <w:tcPr>
                  <w:tcW w:w="929" w:type="pct"/>
                  <w:noWrap w:val="0"/>
                  <w:vAlign w:val="center"/>
                </w:tcPr>
                <w:p w14:paraId="2677BBD5">
                  <w:pPr>
                    <w:pStyle w:val="30"/>
                    <w:bidi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车间或生产设施排气筒</w:t>
                  </w:r>
                </w:p>
              </w:tc>
              <w:tc>
                <w:tcPr>
                  <w:tcW w:w="1001" w:type="pct"/>
                  <w:noWrap w:val="0"/>
                  <w:vAlign w:val="center"/>
                </w:tcPr>
                <w:p w14:paraId="461185AA">
                  <w:pPr>
                    <w:pStyle w:val="30"/>
                    <w:bidi w:val="0"/>
                    <w:rPr>
                      <w:rFonts w:hint="eastAsia" w:ascii="Times New Roman" w:hAnsi="Times New Roman"/>
                      <w:color w:val="auto"/>
                      <w:sz w:val="21"/>
                      <w:lang w:eastAsia="zh-CN"/>
                    </w:rPr>
                  </w:pPr>
                  <w:r>
                    <w:rPr>
                      <w:rFonts w:hint="eastAsia" w:ascii="Times New Roman" w:hAnsi="Times New Roman"/>
                      <w:color w:val="auto"/>
                      <w:sz w:val="21"/>
                      <w:lang w:val="en-US" w:eastAsia="zh-CN"/>
                    </w:rPr>
                    <w:t>GB26453-2022</w:t>
                  </w:r>
                </w:p>
              </w:tc>
            </w:tr>
          </w:tbl>
          <w:p w14:paraId="6B0BC2C5">
            <w:pPr>
              <w:pStyle w:val="51"/>
              <w:bidi w:val="0"/>
              <w:rPr>
                <w:rFonts w:hint="eastAsia"/>
                <w:color w:val="auto"/>
              </w:rPr>
            </w:pPr>
            <w:bookmarkStart w:id="2" w:name="_Toc4939"/>
            <w:r>
              <w:rPr>
                <w:rFonts w:hint="default"/>
                <w:color w:val="auto"/>
              </w:rPr>
              <w:t>表3-</w:t>
            </w:r>
            <w:r>
              <w:rPr>
                <w:rFonts w:hint="eastAsia"/>
                <w:color w:val="auto"/>
                <w:lang w:val="en-US" w:eastAsia="zh-CN"/>
              </w:rPr>
              <w:t>3  厂区非甲烷总烃</w:t>
            </w:r>
            <w:r>
              <w:rPr>
                <w:rFonts w:hint="default"/>
                <w:color w:val="auto"/>
              </w:rPr>
              <w:t>无组织排放限值</w:t>
            </w:r>
            <w:bookmarkEnd w:id="2"/>
          </w:p>
          <w:tbl>
            <w:tblPr>
              <w:tblStyle w:val="22"/>
              <w:tblW w:w="841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457"/>
              <w:gridCol w:w="2686"/>
              <w:gridCol w:w="1524"/>
              <w:gridCol w:w="1808"/>
            </w:tblGrid>
            <w:tr w14:paraId="4125E7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60" w:type="pct"/>
                  <w:noWrap w:val="0"/>
                  <w:vAlign w:val="center"/>
                </w:tcPr>
                <w:p w14:paraId="2CF7BACB">
                  <w:pPr>
                    <w:pStyle w:val="30"/>
                    <w:bidi w:val="0"/>
                    <w:rPr>
                      <w:rFonts w:hint="default" w:ascii="Times New Roman" w:hAnsi="Times New Roman" w:eastAsia="宋体"/>
                      <w:color w:val="auto"/>
                      <w:sz w:val="21"/>
                    </w:rPr>
                  </w:pPr>
                  <w:r>
                    <w:rPr>
                      <w:rFonts w:hint="default" w:ascii="Times New Roman" w:hAnsi="Times New Roman" w:eastAsia="宋体"/>
                      <w:color w:val="auto"/>
                      <w:sz w:val="21"/>
                    </w:rPr>
                    <w:t>污染物</w:t>
                  </w:r>
                </w:p>
                <w:p w14:paraId="62636051">
                  <w:pPr>
                    <w:pStyle w:val="30"/>
                    <w:bidi w:val="0"/>
                    <w:rPr>
                      <w:rFonts w:hint="default" w:ascii="Times New Roman" w:hAnsi="Times New Roman" w:eastAsia="宋体"/>
                      <w:color w:val="auto"/>
                      <w:sz w:val="21"/>
                    </w:rPr>
                  </w:pPr>
                  <w:r>
                    <w:rPr>
                      <w:rFonts w:hint="default" w:ascii="Times New Roman" w:hAnsi="Times New Roman" w:eastAsia="宋体"/>
                      <w:color w:val="auto"/>
                      <w:sz w:val="21"/>
                    </w:rPr>
                    <w:t>项目</w:t>
                  </w:r>
                </w:p>
              </w:tc>
              <w:tc>
                <w:tcPr>
                  <w:tcW w:w="865" w:type="pct"/>
                  <w:noWrap w:val="0"/>
                  <w:vAlign w:val="center"/>
                </w:tcPr>
                <w:p w14:paraId="6F8C3BF1">
                  <w:pPr>
                    <w:pStyle w:val="30"/>
                    <w:bidi w:val="0"/>
                    <w:rPr>
                      <w:rFonts w:hint="default" w:ascii="Times New Roman" w:hAnsi="Times New Roman" w:eastAsia="宋体"/>
                      <w:color w:val="auto"/>
                      <w:sz w:val="21"/>
                    </w:rPr>
                  </w:pPr>
                  <w:r>
                    <w:rPr>
                      <w:rFonts w:hint="default" w:ascii="Times New Roman" w:hAnsi="Times New Roman" w:eastAsia="宋体"/>
                      <w:color w:val="auto"/>
                      <w:sz w:val="21"/>
                    </w:rPr>
                    <w:t>监控点限值</w:t>
                  </w:r>
                </w:p>
                <w:p w14:paraId="02B27946">
                  <w:pPr>
                    <w:pStyle w:val="30"/>
                    <w:bidi w:val="0"/>
                    <w:rPr>
                      <w:rFonts w:hint="eastAsia" w:ascii="Times New Roman" w:hAnsi="Times New Roman" w:eastAsia="宋体"/>
                      <w:color w:val="auto"/>
                      <w:sz w:val="21"/>
                      <w:lang w:eastAsia="zh-CN"/>
                    </w:rPr>
                  </w:pPr>
                  <w:r>
                    <w:rPr>
                      <w:rFonts w:hint="eastAsia" w:ascii="Times New Roman"/>
                      <w:color w:val="auto"/>
                      <w:sz w:val="21"/>
                      <w:lang w:eastAsia="zh-CN"/>
                    </w:rPr>
                    <w:t>(</w:t>
                  </w:r>
                  <w:r>
                    <w:rPr>
                      <w:rFonts w:hint="default" w:ascii="Times New Roman" w:hAnsi="Times New Roman" w:eastAsia="宋体"/>
                      <w:color w:val="auto"/>
                      <w:sz w:val="21"/>
                    </w:rPr>
                    <w:t>mg/m</w:t>
                  </w:r>
                  <w:r>
                    <w:rPr>
                      <w:rFonts w:hint="default" w:ascii="Times New Roman" w:hAnsi="Times New Roman" w:eastAsia="宋体"/>
                      <w:color w:val="auto"/>
                      <w:sz w:val="21"/>
                      <w:vertAlign w:val="superscript"/>
                    </w:rPr>
                    <w:t>3</w:t>
                  </w:r>
                  <w:r>
                    <w:rPr>
                      <w:rFonts w:hint="eastAsia" w:ascii="Times New Roman"/>
                      <w:color w:val="auto"/>
                      <w:sz w:val="21"/>
                      <w:vertAlign w:val="superscript"/>
                      <w:lang w:eastAsia="zh-CN"/>
                    </w:rPr>
                    <w:t>)</w:t>
                  </w:r>
                </w:p>
              </w:tc>
              <w:tc>
                <w:tcPr>
                  <w:tcW w:w="1595" w:type="pct"/>
                  <w:noWrap w:val="0"/>
                  <w:vAlign w:val="center"/>
                </w:tcPr>
                <w:p w14:paraId="0679933D">
                  <w:pPr>
                    <w:pStyle w:val="30"/>
                    <w:bidi w:val="0"/>
                    <w:rPr>
                      <w:rFonts w:hint="default" w:ascii="Times New Roman" w:hAnsi="Times New Roman" w:eastAsia="宋体"/>
                      <w:color w:val="auto"/>
                      <w:sz w:val="21"/>
                    </w:rPr>
                  </w:pPr>
                  <w:r>
                    <w:rPr>
                      <w:rFonts w:hint="default" w:ascii="Times New Roman" w:hAnsi="Times New Roman" w:eastAsia="宋体"/>
                      <w:color w:val="auto"/>
                      <w:sz w:val="21"/>
                    </w:rPr>
                    <w:t>限值含义</w:t>
                  </w:r>
                </w:p>
              </w:tc>
              <w:tc>
                <w:tcPr>
                  <w:tcW w:w="905" w:type="pct"/>
                  <w:noWrap w:val="0"/>
                  <w:vAlign w:val="center"/>
                </w:tcPr>
                <w:p w14:paraId="4054896E">
                  <w:pPr>
                    <w:pStyle w:val="30"/>
                    <w:bidi w:val="0"/>
                    <w:rPr>
                      <w:rFonts w:hint="default" w:ascii="Times New Roman" w:hAnsi="Times New Roman" w:eastAsia="宋体"/>
                      <w:color w:val="auto"/>
                      <w:sz w:val="21"/>
                    </w:rPr>
                  </w:pPr>
                  <w:r>
                    <w:rPr>
                      <w:rFonts w:hint="default" w:ascii="Times New Roman" w:hAnsi="Times New Roman" w:eastAsia="宋体"/>
                      <w:color w:val="auto"/>
                      <w:sz w:val="21"/>
                    </w:rPr>
                    <w:t>无组织排放</w:t>
                  </w:r>
                </w:p>
                <w:p w14:paraId="74BCC133">
                  <w:pPr>
                    <w:pStyle w:val="30"/>
                    <w:bidi w:val="0"/>
                    <w:rPr>
                      <w:rFonts w:hint="default" w:ascii="Times New Roman" w:hAnsi="Times New Roman" w:eastAsia="宋体"/>
                      <w:color w:val="auto"/>
                      <w:sz w:val="21"/>
                    </w:rPr>
                  </w:pPr>
                  <w:r>
                    <w:rPr>
                      <w:rFonts w:hint="default" w:ascii="Times New Roman" w:hAnsi="Times New Roman" w:eastAsia="宋体"/>
                      <w:color w:val="auto"/>
                      <w:sz w:val="21"/>
                    </w:rPr>
                    <w:t>监控位置</w:t>
                  </w:r>
                </w:p>
              </w:tc>
              <w:tc>
                <w:tcPr>
                  <w:tcW w:w="1073" w:type="pct"/>
                  <w:noWrap w:val="0"/>
                  <w:vAlign w:val="center"/>
                </w:tcPr>
                <w:p w14:paraId="5290943F">
                  <w:pPr>
                    <w:pStyle w:val="30"/>
                    <w:bidi w:val="0"/>
                    <w:rPr>
                      <w:rFonts w:hint="default" w:ascii="Times New Roman" w:hAnsi="Times New Roman" w:eastAsia="宋体"/>
                      <w:color w:val="auto"/>
                      <w:sz w:val="21"/>
                    </w:rPr>
                  </w:pPr>
                  <w:r>
                    <w:rPr>
                      <w:rFonts w:hint="default" w:ascii="Times New Roman" w:hAnsi="Times New Roman" w:eastAsia="宋体"/>
                      <w:color w:val="auto"/>
                      <w:sz w:val="21"/>
                    </w:rPr>
                    <w:t>标准来源</w:t>
                  </w:r>
                </w:p>
              </w:tc>
            </w:tr>
            <w:tr w14:paraId="4B4BED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560" w:type="pct"/>
                  <w:vMerge w:val="restart"/>
                  <w:noWrap w:val="0"/>
                  <w:vAlign w:val="center"/>
                </w:tcPr>
                <w:p w14:paraId="46987FB1">
                  <w:pPr>
                    <w:pStyle w:val="30"/>
                    <w:bidi w:val="0"/>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非甲烷总烃</w:t>
                  </w:r>
                </w:p>
              </w:tc>
              <w:tc>
                <w:tcPr>
                  <w:tcW w:w="865" w:type="pct"/>
                  <w:noWrap w:val="0"/>
                  <w:vAlign w:val="center"/>
                </w:tcPr>
                <w:p w14:paraId="37BCADBF">
                  <w:pPr>
                    <w:pStyle w:val="30"/>
                    <w:bidi w:val="0"/>
                    <w:rPr>
                      <w:rFonts w:hint="eastAsia" w:ascii="Times New Roman" w:hAnsi="Times New Roman" w:eastAsia="宋体"/>
                      <w:color w:val="auto"/>
                      <w:sz w:val="21"/>
                      <w:lang w:eastAsia="zh-CN"/>
                    </w:rPr>
                  </w:pPr>
                  <w:r>
                    <w:rPr>
                      <w:rFonts w:hint="eastAsia" w:ascii="Times New Roman" w:hAnsi="Times New Roman" w:eastAsia="宋体"/>
                      <w:color w:val="auto"/>
                      <w:sz w:val="21"/>
                      <w:lang w:val="en-US" w:eastAsia="zh-CN"/>
                    </w:rPr>
                    <w:t>5</w:t>
                  </w:r>
                </w:p>
              </w:tc>
              <w:tc>
                <w:tcPr>
                  <w:tcW w:w="1595" w:type="pct"/>
                  <w:noWrap w:val="0"/>
                  <w:vAlign w:val="center"/>
                </w:tcPr>
                <w:p w14:paraId="40545F73">
                  <w:pPr>
                    <w:pStyle w:val="30"/>
                    <w:bidi w:val="0"/>
                    <w:rPr>
                      <w:rFonts w:hint="default" w:ascii="Times New Roman" w:hAnsi="Times New Roman" w:eastAsia="宋体"/>
                      <w:color w:val="auto"/>
                      <w:sz w:val="21"/>
                    </w:rPr>
                  </w:pPr>
                  <w:r>
                    <w:rPr>
                      <w:rFonts w:hint="default" w:ascii="Times New Roman" w:hAnsi="Times New Roman" w:eastAsia="宋体"/>
                      <w:color w:val="auto"/>
                      <w:sz w:val="21"/>
                    </w:rPr>
                    <w:t>监控点处1h平均浓度值</w:t>
                  </w:r>
                </w:p>
              </w:tc>
              <w:tc>
                <w:tcPr>
                  <w:tcW w:w="905" w:type="pct"/>
                  <w:vMerge w:val="restart"/>
                  <w:noWrap w:val="0"/>
                  <w:vAlign w:val="center"/>
                </w:tcPr>
                <w:p w14:paraId="2F15EE93">
                  <w:pPr>
                    <w:pStyle w:val="30"/>
                    <w:bidi w:val="0"/>
                    <w:rPr>
                      <w:rFonts w:hint="default" w:ascii="Times New Roman" w:hAnsi="Times New Roman" w:eastAsia="宋体"/>
                      <w:color w:val="auto"/>
                      <w:sz w:val="21"/>
                    </w:rPr>
                  </w:pPr>
                  <w:r>
                    <w:rPr>
                      <w:rFonts w:hint="default" w:ascii="Times New Roman" w:hAnsi="Times New Roman" w:eastAsia="宋体"/>
                      <w:color w:val="auto"/>
                      <w:sz w:val="21"/>
                    </w:rPr>
                    <w:t>在厂房外</w:t>
                  </w:r>
                </w:p>
                <w:p w14:paraId="5C103E3B">
                  <w:pPr>
                    <w:pStyle w:val="30"/>
                    <w:bidi w:val="0"/>
                    <w:rPr>
                      <w:rFonts w:hint="default" w:ascii="Times New Roman" w:hAnsi="Times New Roman" w:eastAsia="宋体"/>
                      <w:color w:val="auto"/>
                      <w:sz w:val="21"/>
                    </w:rPr>
                  </w:pPr>
                  <w:r>
                    <w:rPr>
                      <w:rFonts w:hint="default" w:ascii="Times New Roman" w:hAnsi="Times New Roman" w:eastAsia="宋体"/>
                      <w:color w:val="auto"/>
                      <w:sz w:val="21"/>
                    </w:rPr>
                    <w:t>设置监控点</w:t>
                  </w:r>
                </w:p>
              </w:tc>
              <w:tc>
                <w:tcPr>
                  <w:tcW w:w="1073" w:type="pct"/>
                  <w:vMerge w:val="restart"/>
                  <w:noWrap w:val="0"/>
                  <w:vAlign w:val="center"/>
                </w:tcPr>
                <w:p w14:paraId="346E75C4">
                  <w:pPr>
                    <w:pStyle w:val="30"/>
                    <w:bidi w:val="0"/>
                    <w:rPr>
                      <w:rFonts w:hint="eastAsia" w:ascii="Times New Roman" w:hAnsi="Times New Roman" w:eastAsia="宋体"/>
                      <w:color w:val="auto"/>
                      <w:sz w:val="21"/>
                      <w:lang w:eastAsia="zh-CN"/>
                    </w:rPr>
                  </w:pPr>
                  <w:r>
                    <w:rPr>
                      <w:rFonts w:hint="eastAsia" w:ascii="Times New Roman" w:hAnsi="Times New Roman" w:eastAsia="宋体"/>
                      <w:color w:val="auto"/>
                      <w:sz w:val="21"/>
                      <w:lang w:val="en-US" w:eastAsia="zh-CN"/>
                    </w:rPr>
                    <w:t>GB26453-2022</w:t>
                  </w:r>
                </w:p>
              </w:tc>
            </w:tr>
            <w:tr w14:paraId="57314E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560" w:type="pct"/>
                  <w:vMerge w:val="continue"/>
                  <w:noWrap w:val="0"/>
                  <w:vAlign w:val="center"/>
                </w:tcPr>
                <w:p w14:paraId="2CB43641">
                  <w:pPr>
                    <w:pStyle w:val="30"/>
                    <w:bidi w:val="0"/>
                    <w:rPr>
                      <w:rFonts w:hint="default" w:ascii="Times New Roman" w:hAnsi="Times New Roman" w:eastAsia="宋体"/>
                      <w:color w:val="auto"/>
                      <w:sz w:val="21"/>
                    </w:rPr>
                  </w:pPr>
                </w:p>
              </w:tc>
              <w:tc>
                <w:tcPr>
                  <w:tcW w:w="865" w:type="pct"/>
                  <w:noWrap w:val="0"/>
                  <w:vAlign w:val="center"/>
                </w:tcPr>
                <w:p w14:paraId="41F52852">
                  <w:pPr>
                    <w:pStyle w:val="30"/>
                    <w:bidi w:val="0"/>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15</w:t>
                  </w:r>
                </w:p>
              </w:tc>
              <w:tc>
                <w:tcPr>
                  <w:tcW w:w="1595" w:type="pct"/>
                  <w:noWrap w:val="0"/>
                  <w:vAlign w:val="center"/>
                </w:tcPr>
                <w:p w14:paraId="1D9E0DDD">
                  <w:pPr>
                    <w:pStyle w:val="30"/>
                    <w:bidi w:val="0"/>
                    <w:rPr>
                      <w:rFonts w:hint="default" w:ascii="Times New Roman" w:hAnsi="Times New Roman" w:eastAsia="宋体"/>
                      <w:color w:val="auto"/>
                      <w:sz w:val="21"/>
                    </w:rPr>
                  </w:pPr>
                  <w:r>
                    <w:rPr>
                      <w:rFonts w:hint="default" w:ascii="Times New Roman" w:hAnsi="Times New Roman" w:eastAsia="宋体"/>
                      <w:color w:val="auto"/>
                      <w:sz w:val="21"/>
                    </w:rPr>
                    <w:t>监控点处任意一次浓度值</w:t>
                  </w:r>
                </w:p>
              </w:tc>
              <w:tc>
                <w:tcPr>
                  <w:tcW w:w="905" w:type="pct"/>
                  <w:vMerge w:val="continue"/>
                  <w:noWrap w:val="0"/>
                  <w:vAlign w:val="center"/>
                </w:tcPr>
                <w:p w14:paraId="75AF43CC">
                  <w:pPr>
                    <w:pStyle w:val="30"/>
                    <w:bidi w:val="0"/>
                    <w:rPr>
                      <w:rFonts w:hint="default" w:ascii="Times New Roman" w:hAnsi="Times New Roman" w:eastAsia="宋体"/>
                      <w:color w:val="auto"/>
                      <w:sz w:val="21"/>
                    </w:rPr>
                  </w:pPr>
                </w:p>
              </w:tc>
              <w:tc>
                <w:tcPr>
                  <w:tcW w:w="1073" w:type="pct"/>
                  <w:vMerge w:val="continue"/>
                  <w:noWrap w:val="0"/>
                  <w:vAlign w:val="center"/>
                </w:tcPr>
                <w:p w14:paraId="711F522B">
                  <w:pPr>
                    <w:pStyle w:val="30"/>
                    <w:bidi w:val="0"/>
                    <w:rPr>
                      <w:rFonts w:hint="default" w:ascii="Times New Roman" w:hAnsi="Times New Roman" w:eastAsia="宋体"/>
                      <w:color w:val="auto"/>
                      <w:sz w:val="21"/>
                    </w:rPr>
                  </w:pPr>
                </w:p>
              </w:tc>
            </w:tr>
          </w:tbl>
          <w:p w14:paraId="0BE9A384">
            <w:pPr>
              <w:pStyle w:val="51"/>
              <w:bidi w:val="0"/>
              <w:rPr>
                <w:rFonts w:hint="eastAsia"/>
                <w:color w:val="auto"/>
              </w:rPr>
            </w:pPr>
            <w:bookmarkStart w:id="3" w:name="_Toc20270"/>
            <w:r>
              <w:rPr>
                <w:rFonts w:hint="default"/>
                <w:color w:val="auto"/>
              </w:rPr>
              <w:t>表3-</w:t>
            </w:r>
            <w:r>
              <w:rPr>
                <w:rFonts w:hint="eastAsia"/>
                <w:color w:val="auto"/>
                <w:lang w:val="en-US" w:eastAsia="zh-CN"/>
              </w:rPr>
              <w:t>4  厂界非甲烷总烃</w:t>
            </w:r>
            <w:r>
              <w:rPr>
                <w:rFonts w:hint="default"/>
                <w:color w:val="auto"/>
              </w:rPr>
              <w:t>无组织排放限值</w:t>
            </w:r>
            <w:bookmarkEnd w:id="3"/>
          </w:p>
          <w:tbl>
            <w:tblPr>
              <w:tblStyle w:val="22"/>
              <w:tblW w:w="845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2149"/>
              <w:gridCol w:w="2249"/>
              <w:gridCol w:w="2669"/>
            </w:tblGrid>
            <w:tr w14:paraId="35FB83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850" w:hRule="atLeast"/>
                <w:jc w:val="center"/>
              </w:trPr>
              <w:tc>
                <w:tcPr>
                  <w:tcW w:w="822" w:type="pct"/>
                  <w:noWrap w:val="0"/>
                  <w:vAlign w:val="center"/>
                </w:tcPr>
                <w:p w14:paraId="224F0EED">
                  <w:pPr>
                    <w:pStyle w:val="30"/>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olor w:val="auto"/>
                      <w:sz w:val="21"/>
                    </w:rPr>
                  </w:pPr>
                  <w:r>
                    <w:rPr>
                      <w:rFonts w:hint="default" w:ascii="Times New Roman" w:hAnsi="Times New Roman" w:eastAsia="宋体"/>
                      <w:color w:val="auto"/>
                      <w:sz w:val="21"/>
                    </w:rPr>
                    <w:t>污染物项目</w:t>
                  </w:r>
                </w:p>
              </w:tc>
              <w:tc>
                <w:tcPr>
                  <w:tcW w:w="1270" w:type="pct"/>
                  <w:noWrap w:val="0"/>
                  <w:vAlign w:val="center"/>
                </w:tcPr>
                <w:p w14:paraId="150504AF">
                  <w:pPr>
                    <w:pStyle w:val="30"/>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olor w:val="auto"/>
                      <w:sz w:val="21"/>
                    </w:rPr>
                  </w:pPr>
                  <w:r>
                    <w:rPr>
                      <w:rFonts w:hint="default" w:ascii="Times New Roman" w:hAnsi="Times New Roman" w:eastAsia="宋体"/>
                      <w:color w:val="auto"/>
                      <w:sz w:val="21"/>
                    </w:rPr>
                    <w:t>监控点限值</w:t>
                  </w:r>
                </w:p>
                <w:p w14:paraId="223F6196">
                  <w:pPr>
                    <w:pStyle w:val="30"/>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olor w:val="auto"/>
                      <w:sz w:val="21"/>
                      <w:lang w:eastAsia="zh-CN"/>
                    </w:rPr>
                  </w:pPr>
                  <w:r>
                    <w:rPr>
                      <w:rFonts w:hint="eastAsia" w:ascii="Times New Roman"/>
                      <w:color w:val="auto"/>
                      <w:sz w:val="21"/>
                      <w:lang w:eastAsia="zh-CN"/>
                    </w:rPr>
                    <w:t>(</w:t>
                  </w:r>
                  <w:r>
                    <w:rPr>
                      <w:rFonts w:hint="default" w:ascii="Times New Roman" w:hAnsi="Times New Roman" w:eastAsia="宋体"/>
                      <w:color w:val="auto"/>
                      <w:sz w:val="21"/>
                    </w:rPr>
                    <w:t>mg/m</w:t>
                  </w:r>
                  <w:r>
                    <w:rPr>
                      <w:rFonts w:hint="default" w:ascii="Times New Roman" w:hAnsi="Times New Roman" w:eastAsia="宋体"/>
                      <w:color w:val="auto"/>
                      <w:sz w:val="21"/>
                      <w:vertAlign w:val="superscript"/>
                    </w:rPr>
                    <w:t>3</w:t>
                  </w:r>
                  <w:r>
                    <w:rPr>
                      <w:rFonts w:hint="eastAsia" w:ascii="Times New Roman"/>
                      <w:color w:val="auto"/>
                      <w:sz w:val="21"/>
                      <w:vertAlign w:val="superscript"/>
                      <w:lang w:eastAsia="zh-CN"/>
                    </w:rPr>
                    <w:t>)</w:t>
                  </w:r>
                </w:p>
              </w:tc>
              <w:tc>
                <w:tcPr>
                  <w:tcW w:w="1329" w:type="pct"/>
                  <w:noWrap w:val="0"/>
                  <w:vAlign w:val="center"/>
                </w:tcPr>
                <w:p w14:paraId="5E5582A4">
                  <w:pPr>
                    <w:pStyle w:val="30"/>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olor w:val="auto"/>
                      <w:sz w:val="21"/>
                    </w:rPr>
                  </w:pPr>
                  <w:r>
                    <w:rPr>
                      <w:rFonts w:hint="default" w:ascii="Times New Roman" w:hAnsi="Times New Roman" w:eastAsia="宋体"/>
                      <w:color w:val="auto"/>
                      <w:sz w:val="21"/>
                    </w:rPr>
                    <w:t>无组织排放</w:t>
                  </w:r>
                </w:p>
                <w:p w14:paraId="6F398EF7">
                  <w:pPr>
                    <w:pStyle w:val="30"/>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olor w:val="auto"/>
                      <w:sz w:val="21"/>
                    </w:rPr>
                  </w:pPr>
                  <w:r>
                    <w:rPr>
                      <w:rFonts w:hint="default" w:ascii="Times New Roman" w:hAnsi="Times New Roman" w:eastAsia="宋体"/>
                      <w:color w:val="auto"/>
                      <w:sz w:val="21"/>
                    </w:rPr>
                    <w:t>监控位置</w:t>
                  </w:r>
                </w:p>
              </w:tc>
              <w:tc>
                <w:tcPr>
                  <w:tcW w:w="1577" w:type="pct"/>
                  <w:noWrap w:val="0"/>
                  <w:vAlign w:val="center"/>
                </w:tcPr>
                <w:p w14:paraId="58D545A0">
                  <w:pPr>
                    <w:pStyle w:val="30"/>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olor w:val="auto"/>
                      <w:sz w:val="21"/>
                    </w:rPr>
                  </w:pPr>
                  <w:r>
                    <w:rPr>
                      <w:rFonts w:hint="default" w:ascii="Times New Roman" w:hAnsi="Times New Roman" w:eastAsia="宋体"/>
                      <w:color w:val="auto"/>
                      <w:sz w:val="21"/>
                    </w:rPr>
                    <w:t>标准来源</w:t>
                  </w:r>
                </w:p>
              </w:tc>
            </w:tr>
            <w:tr w14:paraId="2112C7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22" w:type="pct"/>
                  <w:noWrap w:val="0"/>
                  <w:vAlign w:val="center"/>
                </w:tcPr>
                <w:p w14:paraId="73909D67">
                  <w:pPr>
                    <w:pStyle w:val="30"/>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非甲烷总烃</w:t>
                  </w:r>
                </w:p>
              </w:tc>
              <w:tc>
                <w:tcPr>
                  <w:tcW w:w="1270" w:type="pct"/>
                  <w:noWrap w:val="0"/>
                  <w:vAlign w:val="center"/>
                </w:tcPr>
                <w:p w14:paraId="5FAC923B">
                  <w:pPr>
                    <w:pStyle w:val="30"/>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Times New Roman" w:hAnsi="Times New Roman" w:eastAsia="宋体"/>
                      <w:color w:val="auto"/>
                      <w:sz w:val="21"/>
                      <w:lang w:eastAsia="zh-CN"/>
                    </w:rPr>
                  </w:pPr>
                  <w:r>
                    <w:rPr>
                      <w:rFonts w:hint="eastAsia" w:ascii="Times New Roman" w:hAnsi="Times New Roman" w:eastAsia="宋体"/>
                      <w:color w:val="auto"/>
                      <w:sz w:val="21"/>
                      <w:lang w:val="en-US" w:eastAsia="zh-CN"/>
                    </w:rPr>
                    <w:t>4</w:t>
                  </w:r>
                </w:p>
              </w:tc>
              <w:tc>
                <w:tcPr>
                  <w:tcW w:w="1329" w:type="pct"/>
                  <w:noWrap w:val="0"/>
                  <w:vAlign w:val="center"/>
                </w:tcPr>
                <w:p w14:paraId="5D16DA84">
                  <w:pPr>
                    <w:pStyle w:val="30"/>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olor w:val="auto"/>
                      <w:sz w:val="21"/>
                    </w:rPr>
                  </w:pPr>
                  <w:r>
                    <w:rPr>
                      <w:rFonts w:hint="eastAsia" w:ascii="Times New Roman" w:hAnsi="Times New Roman" w:eastAsia="宋体"/>
                      <w:color w:val="auto"/>
                      <w:sz w:val="21"/>
                      <w:lang w:val="en-US" w:eastAsia="zh-CN"/>
                    </w:rPr>
                    <w:t>边界外浓度最高</w:t>
                  </w:r>
                  <w:r>
                    <w:rPr>
                      <w:rFonts w:hint="default" w:ascii="Times New Roman" w:hAnsi="Times New Roman" w:eastAsia="宋体"/>
                      <w:color w:val="auto"/>
                      <w:sz w:val="21"/>
                    </w:rPr>
                    <w:t>点</w:t>
                  </w:r>
                </w:p>
              </w:tc>
              <w:tc>
                <w:tcPr>
                  <w:tcW w:w="1577" w:type="pct"/>
                  <w:noWrap w:val="0"/>
                  <w:vAlign w:val="center"/>
                </w:tcPr>
                <w:p w14:paraId="0A89D6C4">
                  <w:pPr>
                    <w:pStyle w:val="30"/>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olor w:val="auto"/>
                      <w:sz w:val="21"/>
                      <w:lang w:val="en-US" w:eastAsia="zh-CN"/>
                    </w:rPr>
                  </w:pPr>
                  <w:r>
                    <w:rPr>
                      <w:rFonts w:hint="eastAsia" w:ascii="Times New Roman" w:hAnsi="Times New Roman" w:eastAsia="宋体"/>
                      <w:color w:val="auto"/>
                      <w:sz w:val="21"/>
                      <w:lang w:eastAsia="zh-CN"/>
                    </w:rPr>
                    <w:t>DB32/4</w:t>
                  </w:r>
                  <w:r>
                    <w:rPr>
                      <w:rFonts w:hint="eastAsia" w:ascii="Times New Roman" w:hAnsi="Times New Roman" w:eastAsia="宋体"/>
                      <w:color w:val="auto"/>
                      <w:sz w:val="21"/>
                      <w:lang w:val="en-US" w:eastAsia="zh-CN"/>
                    </w:rPr>
                    <w:t>041-2021</w:t>
                  </w:r>
                </w:p>
              </w:tc>
            </w:tr>
          </w:tbl>
          <w:p w14:paraId="4806A82B">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rFonts w:ascii="Times New Roman" w:hAnsi="Times New Roman" w:eastAsia="宋体"/>
                <w:b w:val="0"/>
                <w:bCs w:val="0"/>
                <w:color w:val="auto"/>
              </w:rPr>
            </w:pPr>
            <w:r>
              <w:rPr>
                <w:rFonts w:hint="eastAsia" w:ascii="Times New Roman" w:hAnsi="Times New Roman" w:eastAsia="宋体"/>
                <w:b w:val="0"/>
                <w:bCs w:val="0"/>
                <w:color w:val="auto"/>
              </w:rPr>
              <w:t>2、水污染排放标准</w:t>
            </w:r>
          </w:p>
          <w:p w14:paraId="3E773F5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b/>
                <w:color w:val="auto"/>
                <w:szCs w:val="21"/>
                <w:highlight w:val="none"/>
              </w:rPr>
            </w:pPr>
            <w:r>
              <w:rPr>
                <w:rFonts w:hint="eastAsia"/>
                <w:color w:val="auto"/>
                <w:lang w:val="en-US" w:eastAsia="zh-CN"/>
              </w:rPr>
              <w:t>迁建</w:t>
            </w:r>
            <w:r>
              <w:rPr>
                <w:rFonts w:hint="eastAsia"/>
                <w:color w:val="auto"/>
              </w:rPr>
              <w:t>项目磨边废水、钻孔废水和清洗废水经沉淀后循环使用，不外排。</w:t>
            </w:r>
            <w:r>
              <w:rPr>
                <w:rFonts w:hint="eastAsia"/>
                <w:color w:val="auto"/>
                <w:lang w:val="en-US" w:eastAsia="zh-CN"/>
              </w:rPr>
              <w:t>迁建</w:t>
            </w:r>
            <w:r>
              <w:rPr>
                <w:rFonts w:hint="eastAsia"/>
                <w:color w:val="auto"/>
              </w:rPr>
              <w:t>后全厂外排废水为员工生活污水，生活污水经化粪池预处理后满足涟水经济开发区西区污水处理厂接管标准，污水处理厂尾水标准执行《城镇污水处理厂污染物排放标准》（GB18918-2002）表1中一级A标准，处理达标后尾水排入祁六沟，最终汇入公兴河。本项目回用水执行《城市污水再生利用 工业用水水质》（GB/T 19923-2005）表1洗涤用水标准。</w:t>
            </w:r>
            <w:r>
              <w:rPr>
                <w:rFonts w:hint="eastAsia"/>
                <w:color w:val="auto"/>
                <w:lang w:val="en-US" w:eastAsia="zh-CN"/>
              </w:rPr>
              <w:t>具体标准详见下表。</w:t>
            </w:r>
          </w:p>
          <w:p w14:paraId="47A84B75">
            <w:pPr>
              <w:pStyle w:val="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宋体"/>
                <w:color w:val="auto"/>
                <w:sz w:val="21"/>
                <w:szCs w:val="21"/>
              </w:rPr>
            </w:pPr>
            <w:r>
              <w:rPr>
                <w:rFonts w:hint="default" w:ascii="Times New Roman" w:hAnsi="Times New Roman" w:eastAsia="宋体" w:cs="宋体"/>
                <w:color w:val="auto"/>
                <w:sz w:val="21"/>
                <w:szCs w:val="21"/>
              </w:rPr>
              <w:t>表3-</w:t>
            </w:r>
            <w:r>
              <w:rPr>
                <w:rFonts w:hint="eastAsia" w:ascii="Times New Roman" w:hAnsi="Times New Roman" w:cs="宋体"/>
                <w:color w:val="auto"/>
                <w:sz w:val="21"/>
                <w:szCs w:val="21"/>
                <w:lang w:val="en-US" w:eastAsia="zh-CN"/>
              </w:rPr>
              <w:t>5</w:t>
            </w:r>
            <w:r>
              <w:rPr>
                <w:rFonts w:hint="eastAsia" w:ascii="Times New Roman" w:hAnsi="Times New Roman" w:eastAsia="宋体" w:cs="宋体"/>
                <w:color w:val="auto"/>
                <w:sz w:val="21"/>
                <w:szCs w:val="21"/>
                <w:lang w:val="en-US" w:eastAsia="zh-CN"/>
              </w:rPr>
              <w:t xml:space="preserve"> </w:t>
            </w:r>
            <w:r>
              <w:rPr>
                <w:rFonts w:hint="eastAsia" w:ascii="Times New Roman" w:hAnsi="Times New Roman" w:cs="宋体"/>
                <w:color w:val="auto"/>
                <w:sz w:val="21"/>
                <w:szCs w:val="21"/>
                <w:lang w:val="en-US" w:eastAsia="zh-CN"/>
              </w:rPr>
              <w:t xml:space="preserve"> </w:t>
            </w:r>
            <w:r>
              <w:rPr>
                <w:rFonts w:hint="default" w:ascii="Times New Roman" w:hAnsi="Times New Roman" w:eastAsia="宋体" w:cs="宋体"/>
                <w:color w:val="auto"/>
                <w:sz w:val="21"/>
                <w:szCs w:val="21"/>
              </w:rPr>
              <w:t>水污染物接管标准和</w:t>
            </w:r>
            <w:r>
              <w:rPr>
                <w:rFonts w:hint="eastAsia" w:ascii="Times New Roman" w:hAnsi="Times New Roman" w:eastAsia="宋体" w:cs="宋体"/>
                <w:color w:val="auto"/>
                <w:sz w:val="21"/>
                <w:szCs w:val="21"/>
                <w:lang w:val="en-US" w:eastAsia="zh-CN"/>
              </w:rPr>
              <w:t>尾水</w:t>
            </w:r>
            <w:r>
              <w:rPr>
                <w:rFonts w:hint="default" w:ascii="Times New Roman" w:hAnsi="Times New Roman" w:eastAsia="宋体" w:cs="宋体"/>
                <w:color w:val="auto"/>
                <w:sz w:val="21"/>
                <w:szCs w:val="21"/>
              </w:rPr>
              <w:t>排放标准（pH无量纲，其余单位为mg/L）</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237"/>
              <w:gridCol w:w="1164"/>
              <w:gridCol w:w="1131"/>
              <w:gridCol w:w="1353"/>
              <w:gridCol w:w="1090"/>
              <w:gridCol w:w="972"/>
            </w:tblGrid>
            <w:tr w14:paraId="75A798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873" w:type="pct"/>
                  <w:noWrap w:val="0"/>
                  <w:vAlign w:val="center"/>
                </w:tcPr>
                <w:p w14:paraId="3B849DE9">
                  <w:pPr>
                    <w:jc w:val="center"/>
                    <w:rPr>
                      <w:b w:val="0"/>
                      <w:bCs w:val="0"/>
                      <w:color w:val="auto"/>
                      <w:sz w:val="21"/>
                      <w:szCs w:val="21"/>
                      <w:highlight w:val="none"/>
                    </w:rPr>
                  </w:pPr>
                  <w:r>
                    <w:rPr>
                      <w:b w:val="0"/>
                      <w:bCs w:val="0"/>
                      <w:color w:val="auto"/>
                      <w:sz w:val="21"/>
                      <w:szCs w:val="21"/>
                      <w:highlight w:val="none"/>
                    </w:rPr>
                    <w:t>项目</w:t>
                  </w:r>
                </w:p>
              </w:tc>
              <w:tc>
                <w:tcPr>
                  <w:tcW w:w="734" w:type="pct"/>
                  <w:noWrap w:val="0"/>
                  <w:vAlign w:val="center"/>
                </w:tcPr>
                <w:p w14:paraId="79E8F774">
                  <w:pPr>
                    <w:jc w:val="center"/>
                    <w:rPr>
                      <w:b w:val="0"/>
                      <w:bCs w:val="0"/>
                      <w:color w:val="auto"/>
                      <w:sz w:val="21"/>
                      <w:szCs w:val="21"/>
                      <w:highlight w:val="none"/>
                    </w:rPr>
                  </w:pPr>
                  <w:r>
                    <w:rPr>
                      <w:b w:val="0"/>
                      <w:bCs w:val="0"/>
                      <w:color w:val="auto"/>
                      <w:sz w:val="21"/>
                      <w:szCs w:val="21"/>
                      <w:highlight w:val="none"/>
                    </w:rPr>
                    <w:t>pH</w:t>
                  </w:r>
                </w:p>
              </w:tc>
              <w:tc>
                <w:tcPr>
                  <w:tcW w:w="691" w:type="pct"/>
                  <w:noWrap w:val="0"/>
                  <w:vAlign w:val="center"/>
                </w:tcPr>
                <w:p w14:paraId="75273098">
                  <w:pPr>
                    <w:jc w:val="center"/>
                    <w:rPr>
                      <w:b w:val="0"/>
                      <w:bCs w:val="0"/>
                      <w:color w:val="auto"/>
                      <w:sz w:val="21"/>
                      <w:szCs w:val="21"/>
                      <w:highlight w:val="none"/>
                    </w:rPr>
                  </w:pPr>
                  <w:r>
                    <w:rPr>
                      <w:b w:val="0"/>
                      <w:bCs w:val="0"/>
                      <w:color w:val="auto"/>
                      <w:sz w:val="21"/>
                      <w:szCs w:val="21"/>
                      <w:highlight w:val="none"/>
                    </w:rPr>
                    <w:t>COD</w:t>
                  </w:r>
                </w:p>
              </w:tc>
              <w:tc>
                <w:tcPr>
                  <w:tcW w:w="671" w:type="pct"/>
                  <w:noWrap w:val="0"/>
                  <w:vAlign w:val="center"/>
                </w:tcPr>
                <w:p w14:paraId="097C3B13">
                  <w:pPr>
                    <w:jc w:val="center"/>
                    <w:rPr>
                      <w:b w:val="0"/>
                      <w:bCs w:val="0"/>
                      <w:color w:val="auto"/>
                      <w:sz w:val="21"/>
                      <w:szCs w:val="21"/>
                      <w:highlight w:val="none"/>
                    </w:rPr>
                  </w:pPr>
                  <w:r>
                    <w:rPr>
                      <w:b w:val="0"/>
                      <w:bCs w:val="0"/>
                      <w:color w:val="auto"/>
                      <w:sz w:val="21"/>
                      <w:szCs w:val="21"/>
                      <w:highlight w:val="none"/>
                    </w:rPr>
                    <w:t>SS</w:t>
                  </w:r>
                </w:p>
              </w:tc>
              <w:tc>
                <w:tcPr>
                  <w:tcW w:w="803" w:type="pct"/>
                  <w:noWrap w:val="0"/>
                  <w:vAlign w:val="center"/>
                </w:tcPr>
                <w:p w14:paraId="18763EC4">
                  <w:pPr>
                    <w:jc w:val="center"/>
                    <w:rPr>
                      <w:b w:val="0"/>
                      <w:bCs w:val="0"/>
                      <w:color w:val="auto"/>
                      <w:sz w:val="21"/>
                      <w:szCs w:val="21"/>
                      <w:highlight w:val="none"/>
                    </w:rPr>
                  </w:pPr>
                  <w:r>
                    <w:rPr>
                      <w:b w:val="0"/>
                      <w:bCs w:val="0"/>
                      <w:color w:val="auto"/>
                      <w:sz w:val="21"/>
                      <w:szCs w:val="21"/>
                      <w:highlight w:val="none"/>
                    </w:rPr>
                    <w:t>NH</w:t>
                  </w:r>
                  <w:r>
                    <w:rPr>
                      <w:b w:val="0"/>
                      <w:bCs w:val="0"/>
                      <w:color w:val="auto"/>
                      <w:sz w:val="21"/>
                      <w:szCs w:val="21"/>
                      <w:highlight w:val="none"/>
                      <w:vertAlign w:val="subscript"/>
                    </w:rPr>
                    <w:t>3</w:t>
                  </w:r>
                  <w:r>
                    <w:rPr>
                      <w:b w:val="0"/>
                      <w:bCs w:val="0"/>
                      <w:color w:val="auto"/>
                      <w:sz w:val="21"/>
                      <w:szCs w:val="21"/>
                      <w:highlight w:val="none"/>
                    </w:rPr>
                    <w:t>-N</w:t>
                  </w:r>
                </w:p>
              </w:tc>
              <w:tc>
                <w:tcPr>
                  <w:tcW w:w="647" w:type="pct"/>
                  <w:noWrap w:val="0"/>
                  <w:vAlign w:val="center"/>
                </w:tcPr>
                <w:p w14:paraId="013A9103">
                  <w:pPr>
                    <w:jc w:val="center"/>
                    <w:rPr>
                      <w:b w:val="0"/>
                      <w:bCs w:val="0"/>
                      <w:color w:val="auto"/>
                      <w:sz w:val="21"/>
                      <w:szCs w:val="21"/>
                      <w:highlight w:val="none"/>
                    </w:rPr>
                  </w:pPr>
                  <w:r>
                    <w:rPr>
                      <w:b w:val="0"/>
                      <w:bCs w:val="0"/>
                      <w:color w:val="auto"/>
                      <w:sz w:val="21"/>
                      <w:szCs w:val="21"/>
                      <w:highlight w:val="none"/>
                    </w:rPr>
                    <w:t>TP</w:t>
                  </w:r>
                </w:p>
              </w:tc>
              <w:tc>
                <w:tcPr>
                  <w:tcW w:w="577" w:type="pct"/>
                  <w:noWrap w:val="0"/>
                  <w:vAlign w:val="center"/>
                </w:tcPr>
                <w:p w14:paraId="66D2E88D">
                  <w:pPr>
                    <w:jc w:val="center"/>
                    <w:rPr>
                      <w:b w:val="0"/>
                      <w:bCs w:val="0"/>
                      <w:color w:val="auto"/>
                      <w:sz w:val="21"/>
                      <w:szCs w:val="21"/>
                      <w:highlight w:val="none"/>
                    </w:rPr>
                  </w:pPr>
                  <w:r>
                    <w:rPr>
                      <w:b w:val="0"/>
                      <w:bCs w:val="0"/>
                      <w:color w:val="auto"/>
                      <w:sz w:val="21"/>
                      <w:szCs w:val="21"/>
                      <w:highlight w:val="none"/>
                    </w:rPr>
                    <w:t>TN</w:t>
                  </w:r>
                </w:p>
              </w:tc>
            </w:tr>
            <w:tr w14:paraId="353C63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73" w:type="pct"/>
                  <w:noWrap w:val="0"/>
                  <w:vAlign w:val="center"/>
                </w:tcPr>
                <w:p w14:paraId="21DC42BB">
                  <w:pPr>
                    <w:jc w:val="center"/>
                    <w:rPr>
                      <w:b w:val="0"/>
                      <w:bCs w:val="0"/>
                      <w:color w:val="auto"/>
                      <w:sz w:val="21"/>
                      <w:szCs w:val="21"/>
                      <w:highlight w:val="none"/>
                    </w:rPr>
                  </w:pPr>
                  <w:r>
                    <w:rPr>
                      <w:b w:val="0"/>
                      <w:bCs w:val="0"/>
                      <w:color w:val="auto"/>
                      <w:sz w:val="21"/>
                      <w:szCs w:val="21"/>
                      <w:highlight w:val="none"/>
                    </w:rPr>
                    <w:t>接管标准</w:t>
                  </w:r>
                </w:p>
              </w:tc>
              <w:tc>
                <w:tcPr>
                  <w:tcW w:w="734" w:type="pct"/>
                  <w:noWrap w:val="0"/>
                  <w:vAlign w:val="center"/>
                </w:tcPr>
                <w:p w14:paraId="276DA136">
                  <w:pPr>
                    <w:jc w:val="center"/>
                    <w:rPr>
                      <w:rFonts w:hint="default" w:eastAsia="宋体"/>
                      <w:color w:val="auto"/>
                      <w:sz w:val="21"/>
                      <w:szCs w:val="21"/>
                      <w:highlight w:val="none"/>
                      <w:lang w:val="en-US" w:eastAsia="zh-CN"/>
                    </w:rPr>
                  </w:pPr>
                  <w:r>
                    <w:rPr>
                      <w:color w:val="auto"/>
                      <w:sz w:val="21"/>
                      <w:szCs w:val="21"/>
                      <w:highlight w:val="none"/>
                    </w:rPr>
                    <w:t>6~9</w:t>
                  </w:r>
                </w:p>
              </w:tc>
              <w:tc>
                <w:tcPr>
                  <w:tcW w:w="691" w:type="pct"/>
                  <w:noWrap w:val="0"/>
                  <w:vAlign w:val="center"/>
                </w:tcPr>
                <w:p w14:paraId="3FB3A7C7">
                  <w:pPr>
                    <w:jc w:val="center"/>
                    <w:rPr>
                      <w:color w:val="auto"/>
                      <w:sz w:val="21"/>
                      <w:szCs w:val="21"/>
                      <w:highlight w:val="none"/>
                    </w:rPr>
                  </w:pPr>
                  <w:r>
                    <w:rPr>
                      <w:rFonts w:hint="eastAsia"/>
                      <w:color w:val="auto"/>
                      <w:sz w:val="21"/>
                      <w:szCs w:val="21"/>
                      <w:highlight w:val="none"/>
                    </w:rPr>
                    <w:t>500</w:t>
                  </w:r>
                </w:p>
              </w:tc>
              <w:tc>
                <w:tcPr>
                  <w:tcW w:w="671" w:type="pct"/>
                  <w:noWrap w:val="0"/>
                  <w:vAlign w:val="center"/>
                </w:tcPr>
                <w:p w14:paraId="1BFECE80">
                  <w:pPr>
                    <w:jc w:val="center"/>
                    <w:rPr>
                      <w:color w:val="auto"/>
                      <w:sz w:val="21"/>
                      <w:szCs w:val="21"/>
                      <w:highlight w:val="none"/>
                    </w:rPr>
                  </w:pPr>
                  <w:r>
                    <w:rPr>
                      <w:rFonts w:hint="eastAsia"/>
                      <w:color w:val="auto"/>
                      <w:sz w:val="21"/>
                      <w:szCs w:val="21"/>
                      <w:highlight w:val="none"/>
                    </w:rPr>
                    <w:t>4</w:t>
                  </w:r>
                  <w:r>
                    <w:rPr>
                      <w:color w:val="auto"/>
                      <w:sz w:val="21"/>
                      <w:szCs w:val="21"/>
                      <w:highlight w:val="none"/>
                    </w:rPr>
                    <w:t>00</w:t>
                  </w:r>
                </w:p>
              </w:tc>
              <w:tc>
                <w:tcPr>
                  <w:tcW w:w="803" w:type="pct"/>
                  <w:noWrap w:val="0"/>
                  <w:vAlign w:val="center"/>
                </w:tcPr>
                <w:p w14:paraId="200C72A9">
                  <w:pPr>
                    <w:jc w:val="center"/>
                    <w:rPr>
                      <w:color w:val="auto"/>
                      <w:sz w:val="21"/>
                      <w:szCs w:val="21"/>
                      <w:highlight w:val="none"/>
                    </w:rPr>
                  </w:pPr>
                  <w:r>
                    <w:rPr>
                      <w:color w:val="auto"/>
                      <w:sz w:val="21"/>
                      <w:szCs w:val="21"/>
                      <w:highlight w:val="none"/>
                    </w:rPr>
                    <w:t>30</w:t>
                  </w:r>
                </w:p>
              </w:tc>
              <w:tc>
                <w:tcPr>
                  <w:tcW w:w="647" w:type="pct"/>
                  <w:noWrap w:val="0"/>
                  <w:vAlign w:val="center"/>
                </w:tcPr>
                <w:p w14:paraId="1EDDF7C9">
                  <w:pPr>
                    <w:jc w:val="center"/>
                    <w:rPr>
                      <w:rFonts w:hint="eastAsia"/>
                      <w:color w:val="auto"/>
                      <w:sz w:val="21"/>
                      <w:szCs w:val="21"/>
                      <w:highlight w:val="none"/>
                    </w:rPr>
                  </w:pPr>
                  <w:r>
                    <w:rPr>
                      <w:rFonts w:hint="eastAsia"/>
                      <w:color w:val="auto"/>
                      <w:sz w:val="21"/>
                      <w:szCs w:val="21"/>
                      <w:highlight w:val="none"/>
                    </w:rPr>
                    <w:t>8</w:t>
                  </w:r>
                </w:p>
              </w:tc>
              <w:tc>
                <w:tcPr>
                  <w:tcW w:w="577" w:type="pct"/>
                  <w:noWrap w:val="0"/>
                  <w:vAlign w:val="center"/>
                </w:tcPr>
                <w:p w14:paraId="20E2C325">
                  <w:pPr>
                    <w:jc w:val="center"/>
                    <w:rPr>
                      <w:color w:val="auto"/>
                      <w:sz w:val="21"/>
                      <w:szCs w:val="21"/>
                      <w:highlight w:val="none"/>
                    </w:rPr>
                  </w:pPr>
                  <w:r>
                    <w:rPr>
                      <w:rFonts w:hint="eastAsia"/>
                      <w:color w:val="auto"/>
                      <w:sz w:val="21"/>
                      <w:szCs w:val="21"/>
                      <w:highlight w:val="none"/>
                    </w:rPr>
                    <w:t>45</w:t>
                  </w:r>
                </w:p>
              </w:tc>
            </w:tr>
            <w:tr w14:paraId="58363A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873" w:type="pct"/>
                  <w:noWrap w:val="0"/>
                  <w:vAlign w:val="center"/>
                </w:tcPr>
                <w:p w14:paraId="314B81F5">
                  <w:pPr>
                    <w:jc w:val="center"/>
                    <w:rPr>
                      <w:b w:val="0"/>
                      <w:bCs w:val="0"/>
                      <w:color w:val="auto"/>
                      <w:sz w:val="21"/>
                      <w:szCs w:val="21"/>
                      <w:highlight w:val="none"/>
                    </w:rPr>
                  </w:pPr>
                  <w:r>
                    <w:rPr>
                      <w:b w:val="0"/>
                      <w:bCs w:val="0"/>
                      <w:color w:val="auto"/>
                      <w:sz w:val="21"/>
                      <w:szCs w:val="21"/>
                      <w:highlight w:val="none"/>
                    </w:rPr>
                    <w:t>排放标准</w:t>
                  </w:r>
                </w:p>
              </w:tc>
              <w:tc>
                <w:tcPr>
                  <w:tcW w:w="734" w:type="pct"/>
                  <w:noWrap w:val="0"/>
                  <w:vAlign w:val="center"/>
                </w:tcPr>
                <w:p w14:paraId="5E5182FD">
                  <w:pPr>
                    <w:jc w:val="center"/>
                    <w:rPr>
                      <w:color w:val="auto"/>
                      <w:sz w:val="21"/>
                      <w:szCs w:val="21"/>
                      <w:highlight w:val="none"/>
                    </w:rPr>
                  </w:pPr>
                  <w:r>
                    <w:rPr>
                      <w:color w:val="auto"/>
                      <w:sz w:val="21"/>
                      <w:szCs w:val="21"/>
                      <w:highlight w:val="none"/>
                    </w:rPr>
                    <w:t>6~9</w:t>
                  </w:r>
                </w:p>
              </w:tc>
              <w:tc>
                <w:tcPr>
                  <w:tcW w:w="691" w:type="pct"/>
                  <w:noWrap w:val="0"/>
                  <w:vAlign w:val="center"/>
                </w:tcPr>
                <w:p w14:paraId="7B61DF87">
                  <w:pPr>
                    <w:jc w:val="center"/>
                    <w:rPr>
                      <w:color w:val="auto"/>
                      <w:sz w:val="21"/>
                      <w:szCs w:val="21"/>
                      <w:highlight w:val="none"/>
                    </w:rPr>
                  </w:pPr>
                  <w:r>
                    <w:rPr>
                      <w:color w:val="auto"/>
                      <w:sz w:val="21"/>
                      <w:szCs w:val="21"/>
                      <w:highlight w:val="none"/>
                    </w:rPr>
                    <w:t>50</w:t>
                  </w:r>
                </w:p>
              </w:tc>
              <w:tc>
                <w:tcPr>
                  <w:tcW w:w="671" w:type="pct"/>
                  <w:noWrap w:val="0"/>
                  <w:vAlign w:val="center"/>
                </w:tcPr>
                <w:p w14:paraId="749F5D9C">
                  <w:pPr>
                    <w:jc w:val="center"/>
                    <w:rPr>
                      <w:color w:val="auto"/>
                      <w:sz w:val="21"/>
                      <w:szCs w:val="21"/>
                      <w:highlight w:val="none"/>
                    </w:rPr>
                  </w:pPr>
                  <w:r>
                    <w:rPr>
                      <w:color w:val="auto"/>
                      <w:sz w:val="21"/>
                      <w:szCs w:val="21"/>
                      <w:highlight w:val="none"/>
                    </w:rPr>
                    <w:t>10</w:t>
                  </w:r>
                </w:p>
              </w:tc>
              <w:tc>
                <w:tcPr>
                  <w:tcW w:w="803" w:type="pct"/>
                  <w:noWrap w:val="0"/>
                  <w:vAlign w:val="center"/>
                </w:tcPr>
                <w:p w14:paraId="0B8CF50F">
                  <w:pPr>
                    <w:jc w:val="center"/>
                    <w:rPr>
                      <w:color w:val="auto"/>
                      <w:sz w:val="21"/>
                      <w:szCs w:val="21"/>
                      <w:highlight w:val="none"/>
                    </w:rPr>
                  </w:pPr>
                  <w:r>
                    <w:rPr>
                      <w:color w:val="auto"/>
                      <w:sz w:val="21"/>
                      <w:szCs w:val="21"/>
                      <w:highlight w:val="none"/>
                    </w:rPr>
                    <w:t>5</w:t>
                  </w:r>
                  <w:r>
                    <w:rPr>
                      <w:rFonts w:hint="eastAsia"/>
                      <w:color w:val="auto"/>
                      <w:sz w:val="21"/>
                      <w:szCs w:val="21"/>
                      <w:highlight w:val="none"/>
                      <w:lang w:eastAsia="zh-CN"/>
                    </w:rPr>
                    <w:t>(</w:t>
                  </w:r>
                  <w:r>
                    <w:rPr>
                      <w:color w:val="auto"/>
                      <w:sz w:val="21"/>
                      <w:szCs w:val="21"/>
                      <w:highlight w:val="none"/>
                    </w:rPr>
                    <w:t>8</w:t>
                  </w:r>
                  <w:r>
                    <w:rPr>
                      <w:rFonts w:hint="eastAsia"/>
                      <w:color w:val="auto"/>
                      <w:sz w:val="21"/>
                      <w:szCs w:val="21"/>
                      <w:highlight w:val="none"/>
                      <w:lang w:eastAsia="zh-CN"/>
                    </w:rPr>
                    <w:t>)</w:t>
                  </w:r>
                </w:p>
              </w:tc>
              <w:tc>
                <w:tcPr>
                  <w:tcW w:w="647" w:type="pct"/>
                  <w:noWrap w:val="0"/>
                  <w:vAlign w:val="center"/>
                </w:tcPr>
                <w:p w14:paraId="1C8536AE">
                  <w:pPr>
                    <w:jc w:val="center"/>
                    <w:rPr>
                      <w:color w:val="auto"/>
                      <w:sz w:val="21"/>
                      <w:szCs w:val="21"/>
                      <w:highlight w:val="none"/>
                    </w:rPr>
                  </w:pPr>
                  <w:r>
                    <w:rPr>
                      <w:color w:val="auto"/>
                      <w:sz w:val="21"/>
                      <w:szCs w:val="21"/>
                      <w:highlight w:val="none"/>
                    </w:rPr>
                    <w:t>0.5</w:t>
                  </w:r>
                </w:p>
              </w:tc>
              <w:tc>
                <w:tcPr>
                  <w:tcW w:w="577" w:type="pct"/>
                  <w:noWrap w:val="0"/>
                  <w:vAlign w:val="center"/>
                </w:tcPr>
                <w:p w14:paraId="3BD2DDD5">
                  <w:pPr>
                    <w:jc w:val="center"/>
                    <w:rPr>
                      <w:color w:val="auto"/>
                      <w:sz w:val="21"/>
                      <w:szCs w:val="21"/>
                      <w:highlight w:val="none"/>
                    </w:rPr>
                  </w:pPr>
                  <w:r>
                    <w:rPr>
                      <w:color w:val="auto"/>
                      <w:sz w:val="21"/>
                      <w:szCs w:val="21"/>
                      <w:highlight w:val="none"/>
                    </w:rPr>
                    <w:t>15</w:t>
                  </w:r>
                </w:p>
              </w:tc>
            </w:tr>
          </w:tbl>
          <w:p w14:paraId="21AF56F1">
            <w:pPr>
              <w:spacing w:after="120" w:afterLines="50"/>
              <w:rPr>
                <w:rFonts w:hint="eastAsia"/>
                <w:color w:val="auto"/>
              </w:rPr>
            </w:pPr>
            <w:r>
              <w:rPr>
                <w:color w:val="auto"/>
                <w:sz w:val="18"/>
                <w:szCs w:val="18"/>
                <w:highlight w:val="none"/>
              </w:rPr>
              <w:t>注：括号外数值为水温＞12℃时的控制指标，括号内数值为水温≤12℃时的控制指标。</w:t>
            </w:r>
          </w:p>
          <w:p w14:paraId="2A442EAA">
            <w:pPr>
              <w:pStyle w:val="51"/>
              <w:bidi w:val="0"/>
              <w:rPr>
                <w:rFonts w:hint="default" w:ascii="Times New Roman" w:hAnsi="Times New Roman" w:eastAsia="宋体" w:cs="Times New Roman"/>
                <w:color w:val="auto"/>
                <w:lang w:val="zh-CN" w:eastAsia="zh-CN"/>
              </w:rPr>
            </w:pPr>
            <w:r>
              <w:rPr>
                <w:rFonts w:hint="eastAsia" w:ascii="Times New Roman" w:hAnsi="Times New Roman" w:eastAsia="宋体" w:cs="Times New Roman"/>
                <w:color w:val="auto"/>
                <w:lang w:val="zh-CN" w:eastAsia="zh-CN"/>
              </w:rPr>
              <w:t>表3-</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lang w:val="zh-CN" w:eastAsia="zh-CN"/>
              </w:rPr>
              <w:t xml:space="preserve"> </w:t>
            </w:r>
            <w:r>
              <w:rPr>
                <w:rFonts w:hint="eastAsia" w:ascii="Times New Roman" w:hAnsi="Times New Roman" w:eastAsia="宋体" w:cs="Times New Roman"/>
                <w:color w:val="auto"/>
                <w:lang w:val="en-US" w:eastAsia="zh-CN"/>
              </w:rPr>
              <w:t xml:space="preserve"> 回用水水质</w:t>
            </w:r>
            <w:r>
              <w:rPr>
                <w:rFonts w:hint="eastAsia" w:ascii="Times New Roman" w:hAnsi="Times New Roman" w:eastAsia="宋体" w:cs="Times New Roman"/>
                <w:color w:val="auto"/>
                <w:lang w:val="zh-CN" w:eastAsia="zh-CN"/>
              </w:rPr>
              <w:t>标准</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3393"/>
              <w:gridCol w:w="2512"/>
            </w:tblGrid>
            <w:tr w14:paraId="47DE6D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2" w:type="pct"/>
                  <w:tcBorders>
                    <w:bottom w:val="single" w:color="auto" w:sz="4" w:space="0"/>
                  </w:tcBorders>
                  <w:noWrap w:val="0"/>
                  <w:vAlign w:val="center"/>
                </w:tcPr>
                <w:p w14:paraId="51EB640C">
                  <w:pPr>
                    <w:pStyle w:val="30"/>
                    <w:bidi w:val="0"/>
                    <w:rPr>
                      <w:rFonts w:hint="eastAsia" w:ascii="Times New Roman" w:hAnsi="Times New Roman" w:eastAsia="宋体" w:cs="Times New Roman"/>
                      <w:color w:val="auto"/>
                    </w:rPr>
                  </w:pPr>
                  <w:r>
                    <w:rPr>
                      <w:rFonts w:hint="default" w:ascii="Times New Roman" w:hAnsi="Times New Roman" w:eastAsia="宋体" w:cs="Times New Roman"/>
                      <w:color w:val="auto"/>
                    </w:rPr>
                    <w:t>项目</w:t>
                  </w:r>
                </w:p>
              </w:tc>
              <w:tc>
                <w:tcPr>
                  <w:tcW w:w="2015" w:type="pct"/>
                  <w:tcBorders>
                    <w:bottom w:val="single" w:color="auto" w:sz="4" w:space="0"/>
                  </w:tcBorders>
                  <w:noWrap w:val="0"/>
                  <w:vAlign w:val="center"/>
                </w:tcPr>
                <w:p w14:paraId="7FB33A78">
                  <w:pPr>
                    <w:pStyle w:val="30"/>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洗涤用水</w:t>
                  </w:r>
                </w:p>
              </w:tc>
              <w:tc>
                <w:tcPr>
                  <w:tcW w:w="1492" w:type="pct"/>
                  <w:tcBorders>
                    <w:bottom w:val="single" w:color="auto" w:sz="4" w:space="0"/>
                  </w:tcBorders>
                  <w:noWrap w:val="0"/>
                  <w:vAlign w:val="center"/>
                </w:tcPr>
                <w:p w14:paraId="38713742">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单位</w:t>
                  </w:r>
                </w:p>
              </w:tc>
            </w:tr>
            <w:tr w14:paraId="378A1E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2" w:type="pct"/>
                  <w:tcBorders>
                    <w:top w:val="single" w:color="auto" w:sz="4" w:space="0"/>
                  </w:tcBorders>
                  <w:noWrap w:val="0"/>
                  <w:vAlign w:val="center"/>
                </w:tcPr>
                <w:p w14:paraId="1F36C21C">
                  <w:pPr>
                    <w:pStyle w:val="30"/>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PH</w:t>
                  </w:r>
                </w:p>
              </w:tc>
              <w:tc>
                <w:tcPr>
                  <w:tcW w:w="2015" w:type="pct"/>
                  <w:tcBorders>
                    <w:top w:val="single" w:color="auto" w:sz="4" w:space="0"/>
                  </w:tcBorders>
                  <w:noWrap w:val="0"/>
                  <w:vAlign w:val="center"/>
                </w:tcPr>
                <w:p w14:paraId="088369B3">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6.5-9.5</w:t>
                  </w:r>
                </w:p>
              </w:tc>
              <w:tc>
                <w:tcPr>
                  <w:tcW w:w="1492" w:type="pct"/>
                  <w:tcBorders>
                    <w:top w:val="single" w:color="auto" w:sz="4" w:space="0"/>
                  </w:tcBorders>
                  <w:noWrap w:val="0"/>
                  <w:vAlign w:val="center"/>
                </w:tcPr>
                <w:p w14:paraId="4F9126B2">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无量纲</w:t>
                  </w:r>
                </w:p>
              </w:tc>
            </w:tr>
            <w:tr w14:paraId="574095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2" w:type="pct"/>
                  <w:noWrap w:val="0"/>
                  <w:vAlign w:val="center"/>
                </w:tcPr>
                <w:p w14:paraId="2371D8BC">
                  <w:pPr>
                    <w:pStyle w:val="30"/>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悬浮物（SS）</w:t>
                  </w:r>
                </w:p>
              </w:tc>
              <w:tc>
                <w:tcPr>
                  <w:tcW w:w="2015" w:type="pct"/>
                  <w:noWrap w:val="0"/>
                  <w:vAlign w:val="center"/>
                </w:tcPr>
                <w:p w14:paraId="56314EC3">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30</w:t>
                  </w:r>
                </w:p>
              </w:tc>
              <w:tc>
                <w:tcPr>
                  <w:tcW w:w="1492" w:type="pct"/>
                  <w:noWrap w:val="0"/>
                  <w:vAlign w:val="center"/>
                </w:tcPr>
                <w:p w14:paraId="70907462">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mg/L</w:t>
                  </w:r>
                </w:p>
              </w:tc>
            </w:tr>
            <w:tr w14:paraId="7205CB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107712EB">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色度</w:t>
                  </w:r>
                </w:p>
              </w:tc>
              <w:tc>
                <w:tcPr>
                  <w:tcW w:w="0" w:type="auto"/>
                  <w:vAlign w:val="center"/>
                </w:tcPr>
                <w:p w14:paraId="2E0D7736">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30</w:t>
                  </w:r>
                </w:p>
              </w:tc>
              <w:tc>
                <w:tcPr>
                  <w:tcW w:w="0" w:type="auto"/>
                  <w:vAlign w:val="center"/>
                </w:tcPr>
                <w:p w14:paraId="6C253F1B">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度</w:t>
                  </w:r>
                </w:p>
              </w:tc>
            </w:tr>
            <w:tr w14:paraId="149824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7D102D73">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COD</w:t>
                  </w:r>
                </w:p>
              </w:tc>
              <w:tc>
                <w:tcPr>
                  <w:tcW w:w="0" w:type="auto"/>
                  <w:vAlign w:val="top"/>
                </w:tcPr>
                <w:p w14:paraId="3CCC59DA">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0" w:type="auto"/>
                  <w:vAlign w:val="center"/>
                </w:tcPr>
                <w:p w14:paraId="14E49B8D">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mg/L</w:t>
                  </w:r>
                </w:p>
              </w:tc>
            </w:tr>
            <w:tr w14:paraId="0C4B15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09094E94">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总硬度</w:t>
                  </w:r>
                </w:p>
              </w:tc>
              <w:tc>
                <w:tcPr>
                  <w:tcW w:w="0" w:type="auto"/>
                  <w:vAlign w:val="top"/>
                </w:tcPr>
                <w:p w14:paraId="09DA08C7">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450</w:t>
                  </w:r>
                </w:p>
              </w:tc>
              <w:tc>
                <w:tcPr>
                  <w:tcW w:w="0" w:type="auto"/>
                  <w:vAlign w:val="center"/>
                </w:tcPr>
                <w:p w14:paraId="3A34E085">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mg/L</w:t>
                  </w:r>
                </w:p>
              </w:tc>
            </w:tr>
            <w:tr w14:paraId="5672DB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5FF6ADD0">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氨氮</w:t>
                  </w:r>
                </w:p>
              </w:tc>
              <w:tc>
                <w:tcPr>
                  <w:tcW w:w="0" w:type="auto"/>
                  <w:vAlign w:val="top"/>
                </w:tcPr>
                <w:p w14:paraId="6CD121E4">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0" w:type="auto"/>
                  <w:vAlign w:val="center"/>
                </w:tcPr>
                <w:p w14:paraId="65F4EF6B">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mg/L</w:t>
                  </w:r>
                </w:p>
              </w:tc>
            </w:tr>
            <w:tr w14:paraId="79FD2D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33EF5AF2">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溶解性总固体</w:t>
                  </w:r>
                </w:p>
              </w:tc>
              <w:tc>
                <w:tcPr>
                  <w:tcW w:w="0" w:type="auto"/>
                  <w:vAlign w:val="top"/>
                </w:tcPr>
                <w:p w14:paraId="04C263EC">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1000</w:t>
                  </w:r>
                </w:p>
              </w:tc>
              <w:tc>
                <w:tcPr>
                  <w:tcW w:w="0" w:type="auto"/>
                  <w:vAlign w:val="center"/>
                </w:tcPr>
                <w:p w14:paraId="0B43B302">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mg/L</w:t>
                  </w:r>
                </w:p>
              </w:tc>
            </w:tr>
            <w:tr w14:paraId="1BC8A4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14:paraId="1E65FF3B">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氯离子</w:t>
                  </w:r>
                </w:p>
              </w:tc>
              <w:tc>
                <w:tcPr>
                  <w:tcW w:w="0" w:type="auto"/>
                  <w:vAlign w:val="center"/>
                </w:tcPr>
                <w:p w14:paraId="104C29FE">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250</w:t>
                  </w:r>
                </w:p>
              </w:tc>
              <w:tc>
                <w:tcPr>
                  <w:tcW w:w="0" w:type="auto"/>
                  <w:vAlign w:val="center"/>
                </w:tcPr>
                <w:p w14:paraId="06A18059">
                  <w:pPr>
                    <w:pStyle w:val="30"/>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mg/L</w:t>
                  </w:r>
                </w:p>
              </w:tc>
            </w:tr>
          </w:tbl>
          <w:p w14:paraId="7DC3463A">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b w:val="0"/>
                <w:bCs w:val="0"/>
                <w:color w:val="auto"/>
              </w:rPr>
            </w:pPr>
            <w:r>
              <w:rPr>
                <w:rFonts w:hint="eastAsia"/>
                <w:b w:val="0"/>
                <w:bCs w:val="0"/>
                <w:color w:val="auto"/>
              </w:rPr>
              <w:t>3、环境噪声排放标准</w:t>
            </w:r>
          </w:p>
          <w:p w14:paraId="1F725162">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本项目位于涟水</w:t>
            </w:r>
            <w:r>
              <w:rPr>
                <w:rFonts w:hint="eastAsia"/>
                <w:color w:val="auto"/>
                <w:lang w:val="en-US" w:eastAsia="zh-CN"/>
              </w:rPr>
              <w:t>经济开发区内</w:t>
            </w:r>
            <w:r>
              <w:rPr>
                <w:rFonts w:hint="eastAsia"/>
                <w:color w:val="auto"/>
              </w:rPr>
              <w:t>，其声环境功能区为</w:t>
            </w:r>
            <w:r>
              <w:rPr>
                <w:rFonts w:hint="eastAsia"/>
                <w:color w:val="auto"/>
                <w:lang w:val="en-US" w:eastAsia="zh-CN"/>
              </w:rPr>
              <w:t>3</w:t>
            </w:r>
            <w:r>
              <w:rPr>
                <w:rFonts w:hint="eastAsia"/>
                <w:color w:val="auto"/>
              </w:rPr>
              <w:t>类区，营运期四周厂界噪声执行《工业企业厂界环境噪声排放标准》（GB12348-2008）中的</w:t>
            </w:r>
            <w:r>
              <w:rPr>
                <w:rFonts w:hint="eastAsia"/>
                <w:color w:val="auto"/>
                <w:lang w:val="en-US" w:eastAsia="zh-CN"/>
              </w:rPr>
              <w:t>3</w:t>
            </w:r>
            <w:r>
              <w:rPr>
                <w:rFonts w:hint="eastAsia"/>
                <w:color w:val="auto"/>
              </w:rPr>
              <w:t>类标准，具体见下表。</w:t>
            </w:r>
          </w:p>
          <w:p w14:paraId="423CE153">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auto"/>
                <w:sz w:val="21"/>
                <w:szCs w:val="21"/>
              </w:rPr>
            </w:pPr>
            <w:r>
              <w:rPr>
                <w:rFonts w:hint="eastAsia" w:ascii="Times New Roman" w:hAnsi="Times New Roman" w:eastAsia="宋体" w:cs="宋体"/>
                <w:b/>
                <w:color w:val="auto"/>
                <w:kern w:val="2"/>
                <w:sz w:val="21"/>
                <w:szCs w:val="21"/>
                <w:lang w:val="en-US" w:eastAsia="zh-CN" w:bidi="ar-SA"/>
              </w:rPr>
              <w:t>表3-</w:t>
            </w:r>
            <w:r>
              <w:rPr>
                <w:rFonts w:hint="eastAsia" w:cs="宋体"/>
                <w:b/>
                <w:color w:val="auto"/>
                <w:kern w:val="2"/>
                <w:sz w:val="21"/>
                <w:szCs w:val="21"/>
                <w:lang w:val="en-US" w:eastAsia="zh-CN" w:bidi="ar-SA"/>
              </w:rPr>
              <w:t>7</w:t>
            </w:r>
            <w:r>
              <w:rPr>
                <w:rFonts w:hint="eastAsia" w:eastAsia="宋体" w:cs="宋体"/>
                <w:b/>
                <w:color w:val="auto"/>
                <w:kern w:val="2"/>
                <w:sz w:val="21"/>
                <w:szCs w:val="21"/>
                <w:lang w:val="en-US" w:eastAsia="zh-CN" w:bidi="ar-SA"/>
              </w:rPr>
              <w:t xml:space="preserve"> </w:t>
            </w:r>
            <w:r>
              <w:rPr>
                <w:rFonts w:hint="eastAsia" w:cs="宋体"/>
                <w:b/>
                <w:color w:val="auto"/>
                <w:kern w:val="2"/>
                <w:sz w:val="21"/>
                <w:szCs w:val="21"/>
                <w:lang w:val="en-US" w:eastAsia="zh-CN" w:bidi="ar-SA"/>
              </w:rPr>
              <w:t xml:space="preserve"> </w:t>
            </w:r>
            <w:r>
              <w:rPr>
                <w:rFonts w:hint="eastAsia" w:ascii="Times New Roman" w:hAnsi="Times New Roman" w:eastAsia="宋体" w:cs="宋体"/>
                <w:b/>
                <w:color w:val="auto"/>
                <w:kern w:val="2"/>
                <w:sz w:val="21"/>
                <w:szCs w:val="21"/>
                <w:lang w:val="en-US" w:eastAsia="zh-CN" w:bidi="ar-SA"/>
              </w:rPr>
              <w:t>噪声排放标准限值单位：dB（A）</w:t>
            </w:r>
          </w:p>
          <w:tbl>
            <w:tblPr>
              <w:tblStyle w:val="22"/>
              <w:tblW w:w="835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36"/>
              <w:gridCol w:w="1758"/>
              <w:gridCol w:w="1675"/>
              <w:gridCol w:w="1676"/>
              <w:gridCol w:w="1812"/>
            </w:tblGrid>
            <w:tr w14:paraId="465EC6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vMerge w:val="restart"/>
                  <w:noWrap w:val="0"/>
                  <w:tcMar>
                    <w:top w:w="0" w:type="dxa"/>
                    <w:left w:w="108" w:type="dxa"/>
                    <w:bottom w:w="0" w:type="dxa"/>
                    <w:right w:w="108" w:type="dxa"/>
                  </w:tcMar>
                  <w:vAlign w:val="center"/>
                </w:tcPr>
                <w:p w14:paraId="0E548E94">
                  <w:pPr>
                    <w:jc w:val="center"/>
                    <w:rPr>
                      <w:color w:val="auto"/>
                    </w:rPr>
                  </w:pPr>
                  <w:r>
                    <w:rPr>
                      <w:color w:val="auto"/>
                    </w:rPr>
                    <w:t>位置</w:t>
                  </w:r>
                </w:p>
              </w:tc>
              <w:tc>
                <w:tcPr>
                  <w:tcW w:w="1758" w:type="dxa"/>
                  <w:vMerge w:val="restart"/>
                  <w:noWrap w:val="0"/>
                  <w:tcMar>
                    <w:top w:w="0" w:type="dxa"/>
                    <w:left w:w="108" w:type="dxa"/>
                    <w:bottom w:w="0" w:type="dxa"/>
                    <w:right w:w="108" w:type="dxa"/>
                  </w:tcMar>
                  <w:vAlign w:val="center"/>
                </w:tcPr>
                <w:p w14:paraId="158D0E06">
                  <w:pPr>
                    <w:jc w:val="center"/>
                    <w:rPr>
                      <w:color w:val="auto"/>
                    </w:rPr>
                  </w:pPr>
                  <w:r>
                    <w:rPr>
                      <w:color w:val="auto"/>
                    </w:rPr>
                    <w:t>声环境功能区</w:t>
                  </w:r>
                </w:p>
              </w:tc>
              <w:tc>
                <w:tcPr>
                  <w:tcW w:w="3351" w:type="dxa"/>
                  <w:gridSpan w:val="2"/>
                  <w:noWrap w:val="0"/>
                  <w:vAlign w:val="center"/>
                </w:tcPr>
                <w:p w14:paraId="75267EE9">
                  <w:pPr>
                    <w:jc w:val="center"/>
                    <w:rPr>
                      <w:color w:val="auto"/>
                    </w:rPr>
                  </w:pPr>
                  <w:r>
                    <w:rPr>
                      <w:color w:val="auto"/>
                    </w:rPr>
                    <w:t>标准值</w:t>
                  </w:r>
                </w:p>
              </w:tc>
              <w:tc>
                <w:tcPr>
                  <w:tcW w:w="1812" w:type="dxa"/>
                  <w:vMerge w:val="restart"/>
                  <w:noWrap w:val="0"/>
                  <w:vAlign w:val="center"/>
                </w:tcPr>
                <w:p w14:paraId="21DD0EDC">
                  <w:pPr>
                    <w:jc w:val="center"/>
                    <w:rPr>
                      <w:color w:val="auto"/>
                    </w:rPr>
                  </w:pPr>
                  <w:r>
                    <w:rPr>
                      <w:color w:val="auto"/>
                    </w:rPr>
                    <w:t>标准来源</w:t>
                  </w:r>
                </w:p>
              </w:tc>
            </w:tr>
            <w:tr w14:paraId="59F433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vMerge w:val="continue"/>
                  <w:noWrap w:val="0"/>
                  <w:tcMar>
                    <w:top w:w="0" w:type="dxa"/>
                    <w:left w:w="108" w:type="dxa"/>
                    <w:bottom w:w="0" w:type="dxa"/>
                    <w:right w:w="108" w:type="dxa"/>
                  </w:tcMar>
                  <w:vAlign w:val="center"/>
                </w:tcPr>
                <w:p w14:paraId="18F64F01">
                  <w:pPr>
                    <w:jc w:val="center"/>
                    <w:rPr>
                      <w:color w:val="auto"/>
                    </w:rPr>
                  </w:pPr>
                </w:p>
              </w:tc>
              <w:tc>
                <w:tcPr>
                  <w:tcW w:w="1758" w:type="dxa"/>
                  <w:vMerge w:val="continue"/>
                  <w:noWrap w:val="0"/>
                  <w:tcMar>
                    <w:top w:w="0" w:type="dxa"/>
                    <w:left w:w="108" w:type="dxa"/>
                    <w:bottom w:w="0" w:type="dxa"/>
                    <w:right w:w="108" w:type="dxa"/>
                  </w:tcMar>
                  <w:vAlign w:val="center"/>
                </w:tcPr>
                <w:p w14:paraId="3392CCD5">
                  <w:pPr>
                    <w:jc w:val="center"/>
                    <w:rPr>
                      <w:color w:val="auto"/>
                    </w:rPr>
                  </w:pPr>
                </w:p>
              </w:tc>
              <w:tc>
                <w:tcPr>
                  <w:tcW w:w="1675" w:type="dxa"/>
                  <w:noWrap w:val="0"/>
                  <w:vAlign w:val="center"/>
                </w:tcPr>
                <w:p w14:paraId="4A5A05C6">
                  <w:pPr>
                    <w:jc w:val="center"/>
                    <w:rPr>
                      <w:color w:val="auto"/>
                    </w:rPr>
                  </w:pPr>
                  <w:r>
                    <w:rPr>
                      <w:color w:val="auto"/>
                    </w:rPr>
                    <w:t>昼间</w:t>
                  </w:r>
                </w:p>
              </w:tc>
              <w:tc>
                <w:tcPr>
                  <w:tcW w:w="1676" w:type="dxa"/>
                  <w:noWrap w:val="0"/>
                  <w:vAlign w:val="center"/>
                </w:tcPr>
                <w:p w14:paraId="7EEA8AE1">
                  <w:pPr>
                    <w:jc w:val="center"/>
                    <w:rPr>
                      <w:color w:val="auto"/>
                    </w:rPr>
                  </w:pPr>
                  <w:r>
                    <w:rPr>
                      <w:color w:val="auto"/>
                    </w:rPr>
                    <w:t>夜间</w:t>
                  </w:r>
                </w:p>
              </w:tc>
              <w:tc>
                <w:tcPr>
                  <w:tcW w:w="1812" w:type="dxa"/>
                  <w:vMerge w:val="continue"/>
                  <w:noWrap w:val="0"/>
                  <w:vAlign w:val="center"/>
                </w:tcPr>
                <w:p w14:paraId="4482213F">
                  <w:pPr>
                    <w:jc w:val="center"/>
                    <w:rPr>
                      <w:color w:val="auto"/>
                    </w:rPr>
                  </w:pPr>
                </w:p>
              </w:tc>
            </w:tr>
            <w:tr w14:paraId="37843C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noWrap w:val="0"/>
                  <w:tcMar>
                    <w:top w:w="0" w:type="dxa"/>
                    <w:left w:w="108" w:type="dxa"/>
                    <w:bottom w:w="0" w:type="dxa"/>
                    <w:right w:w="108" w:type="dxa"/>
                  </w:tcMar>
                  <w:vAlign w:val="center"/>
                </w:tcPr>
                <w:p w14:paraId="3325AD10">
                  <w:pPr>
                    <w:jc w:val="center"/>
                    <w:rPr>
                      <w:color w:val="auto"/>
                    </w:rPr>
                  </w:pPr>
                  <w:r>
                    <w:rPr>
                      <w:color w:val="auto"/>
                    </w:rPr>
                    <w:t>东厂界</w:t>
                  </w:r>
                </w:p>
              </w:tc>
              <w:tc>
                <w:tcPr>
                  <w:tcW w:w="1758" w:type="dxa"/>
                  <w:noWrap w:val="0"/>
                  <w:tcMar>
                    <w:top w:w="0" w:type="dxa"/>
                    <w:left w:w="108" w:type="dxa"/>
                    <w:bottom w:w="0" w:type="dxa"/>
                    <w:right w:w="108" w:type="dxa"/>
                  </w:tcMar>
                  <w:vAlign w:val="center"/>
                </w:tcPr>
                <w:p w14:paraId="6110CA99">
                  <w:pPr>
                    <w:jc w:val="center"/>
                    <w:rPr>
                      <w:color w:val="auto"/>
                    </w:rPr>
                  </w:pPr>
                  <w:r>
                    <w:rPr>
                      <w:rFonts w:hint="eastAsia"/>
                      <w:color w:val="auto"/>
                      <w:lang w:val="en-US" w:eastAsia="zh-CN"/>
                    </w:rPr>
                    <w:t>3</w:t>
                  </w:r>
                  <w:r>
                    <w:rPr>
                      <w:color w:val="auto"/>
                    </w:rPr>
                    <w:t>类</w:t>
                  </w:r>
                </w:p>
              </w:tc>
              <w:tc>
                <w:tcPr>
                  <w:tcW w:w="1675" w:type="dxa"/>
                  <w:noWrap w:val="0"/>
                  <w:vAlign w:val="center"/>
                </w:tcPr>
                <w:p w14:paraId="0179B3CD">
                  <w:pPr>
                    <w:jc w:val="center"/>
                    <w:rPr>
                      <w:rFonts w:hint="eastAsia" w:eastAsia="宋体"/>
                      <w:color w:val="auto"/>
                      <w:lang w:val="en-US" w:eastAsia="zh-CN"/>
                    </w:rPr>
                  </w:pPr>
                  <w:r>
                    <w:rPr>
                      <w:rFonts w:hint="eastAsia"/>
                      <w:color w:val="auto"/>
                    </w:rPr>
                    <w:t>6</w:t>
                  </w:r>
                  <w:r>
                    <w:rPr>
                      <w:rFonts w:hint="eastAsia"/>
                      <w:color w:val="auto"/>
                      <w:lang w:val="en-US" w:eastAsia="zh-CN"/>
                    </w:rPr>
                    <w:t>5</w:t>
                  </w:r>
                </w:p>
              </w:tc>
              <w:tc>
                <w:tcPr>
                  <w:tcW w:w="1676" w:type="dxa"/>
                  <w:noWrap w:val="0"/>
                  <w:vAlign w:val="center"/>
                </w:tcPr>
                <w:p w14:paraId="3F5AFDFF">
                  <w:pPr>
                    <w:jc w:val="center"/>
                    <w:rPr>
                      <w:rFonts w:hint="default" w:eastAsia="宋体"/>
                      <w:color w:val="auto"/>
                      <w:lang w:val="en-US" w:eastAsia="zh-CN"/>
                    </w:rPr>
                  </w:pPr>
                  <w:r>
                    <w:rPr>
                      <w:rFonts w:hint="eastAsia" w:eastAsia="宋体"/>
                      <w:color w:val="auto"/>
                      <w:lang w:val="en-US" w:eastAsia="zh-CN"/>
                    </w:rPr>
                    <w:t>55</w:t>
                  </w:r>
                </w:p>
              </w:tc>
              <w:tc>
                <w:tcPr>
                  <w:tcW w:w="1812" w:type="dxa"/>
                  <w:vMerge w:val="restart"/>
                  <w:noWrap w:val="0"/>
                  <w:vAlign w:val="center"/>
                </w:tcPr>
                <w:p w14:paraId="68AB8C8E">
                  <w:pPr>
                    <w:jc w:val="center"/>
                    <w:rPr>
                      <w:color w:val="auto"/>
                    </w:rPr>
                  </w:pPr>
                  <w:r>
                    <w:rPr>
                      <w:color w:val="auto"/>
                    </w:rPr>
                    <w:t>《工业企业厂界环境噪声排放标准》GB12348-2008</w:t>
                  </w:r>
                </w:p>
              </w:tc>
            </w:tr>
            <w:tr w14:paraId="79F93B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noWrap w:val="0"/>
                  <w:tcMar>
                    <w:top w:w="0" w:type="dxa"/>
                    <w:left w:w="108" w:type="dxa"/>
                    <w:bottom w:w="0" w:type="dxa"/>
                    <w:right w:w="108" w:type="dxa"/>
                  </w:tcMar>
                  <w:vAlign w:val="center"/>
                </w:tcPr>
                <w:p w14:paraId="0FD34227">
                  <w:pPr>
                    <w:jc w:val="center"/>
                    <w:rPr>
                      <w:color w:val="auto"/>
                    </w:rPr>
                  </w:pPr>
                  <w:r>
                    <w:rPr>
                      <w:color w:val="auto"/>
                    </w:rPr>
                    <w:t>南厂界</w:t>
                  </w:r>
                </w:p>
              </w:tc>
              <w:tc>
                <w:tcPr>
                  <w:tcW w:w="1758" w:type="dxa"/>
                  <w:noWrap w:val="0"/>
                  <w:vAlign w:val="center"/>
                </w:tcPr>
                <w:p w14:paraId="64C9D6DB">
                  <w:pPr>
                    <w:jc w:val="center"/>
                    <w:rPr>
                      <w:color w:val="auto"/>
                    </w:rPr>
                  </w:pPr>
                  <w:r>
                    <w:rPr>
                      <w:rFonts w:hint="eastAsia"/>
                      <w:color w:val="auto"/>
                      <w:lang w:val="en-US" w:eastAsia="zh-CN"/>
                    </w:rPr>
                    <w:t>3</w:t>
                  </w:r>
                  <w:r>
                    <w:rPr>
                      <w:color w:val="auto"/>
                    </w:rPr>
                    <w:t>类</w:t>
                  </w:r>
                </w:p>
              </w:tc>
              <w:tc>
                <w:tcPr>
                  <w:tcW w:w="1675" w:type="dxa"/>
                  <w:noWrap w:val="0"/>
                  <w:vAlign w:val="center"/>
                </w:tcPr>
                <w:p w14:paraId="072322DF">
                  <w:pPr>
                    <w:jc w:val="center"/>
                    <w:rPr>
                      <w:rFonts w:hint="default" w:eastAsia="宋体"/>
                      <w:color w:val="auto"/>
                      <w:lang w:val="en-US" w:eastAsia="zh-CN"/>
                    </w:rPr>
                  </w:pPr>
                  <w:r>
                    <w:rPr>
                      <w:rFonts w:hint="eastAsia" w:eastAsia="宋体"/>
                      <w:color w:val="auto"/>
                      <w:lang w:val="en-US" w:eastAsia="zh-CN"/>
                    </w:rPr>
                    <w:t>65</w:t>
                  </w:r>
                </w:p>
              </w:tc>
              <w:tc>
                <w:tcPr>
                  <w:tcW w:w="1676" w:type="dxa"/>
                  <w:noWrap w:val="0"/>
                  <w:vAlign w:val="center"/>
                </w:tcPr>
                <w:p w14:paraId="0A0C4292">
                  <w:pPr>
                    <w:jc w:val="center"/>
                    <w:rPr>
                      <w:rFonts w:hint="default" w:eastAsia="宋体"/>
                      <w:color w:val="auto"/>
                      <w:lang w:val="en-US" w:eastAsia="zh-CN"/>
                    </w:rPr>
                  </w:pPr>
                  <w:r>
                    <w:rPr>
                      <w:rFonts w:hint="eastAsia" w:eastAsia="宋体"/>
                      <w:color w:val="auto"/>
                      <w:lang w:val="en-US" w:eastAsia="zh-CN"/>
                    </w:rPr>
                    <w:t>55</w:t>
                  </w:r>
                </w:p>
              </w:tc>
              <w:tc>
                <w:tcPr>
                  <w:tcW w:w="1812" w:type="dxa"/>
                  <w:vMerge w:val="continue"/>
                  <w:noWrap w:val="0"/>
                  <w:vAlign w:val="center"/>
                </w:tcPr>
                <w:p w14:paraId="525BF0E4">
                  <w:pPr>
                    <w:jc w:val="center"/>
                    <w:rPr>
                      <w:color w:val="auto"/>
                    </w:rPr>
                  </w:pPr>
                </w:p>
              </w:tc>
            </w:tr>
            <w:tr w14:paraId="430A72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noWrap w:val="0"/>
                  <w:tcMar>
                    <w:top w:w="0" w:type="dxa"/>
                    <w:left w:w="108" w:type="dxa"/>
                    <w:bottom w:w="0" w:type="dxa"/>
                    <w:right w:w="108" w:type="dxa"/>
                  </w:tcMar>
                  <w:vAlign w:val="center"/>
                </w:tcPr>
                <w:p w14:paraId="2FE09D2E">
                  <w:pPr>
                    <w:jc w:val="center"/>
                    <w:rPr>
                      <w:color w:val="auto"/>
                    </w:rPr>
                  </w:pPr>
                  <w:r>
                    <w:rPr>
                      <w:color w:val="auto"/>
                    </w:rPr>
                    <w:t>西厂界</w:t>
                  </w:r>
                </w:p>
              </w:tc>
              <w:tc>
                <w:tcPr>
                  <w:tcW w:w="1758" w:type="dxa"/>
                  <w:noWrap w:val="0"/>
                  <w:vAlign w:val="center"/>
                </w:tcPr>
                <w:p w14:paraId="0D36644F">
                  <w:pPr>
                    <w:jc w:val="center"/>
                    <w:rPr>
                      <w:color w:val="auto"/>
                    </w:rPr>
                  </w:pPr>
                  <w:r>
                    <w:rPr>
                      <w:rFonts w:hint="eastAsia"/>
                      <w:color w:val="auto"/>
                      <w:lang w:val="en-US" w:eastAsia="zh-CN"/>
                    </w:rPr>
                    <w:t>3</w:t>
                  </w:r>
                  <w:r>
                    <w:rPr>
                      <w:color w:val="auto"/>
                    </w:rPr>
                    <w:t>类</w:t>
                  </w:r>
                </w:p>
              </w:tc>
              <w:tc>
                <w:tcPr>
                  <w:tcW w:w="1675" w:type="dxa"/>
                  <w:noWrap w:val="0"/>
                  <w:vAlign w:val="center"/>
                </w:tcPr>
                <w:p w14:paraId="54328895">
                  <w:pPr>
                    <w:jc w:val="center"/>
                    <w:rPr>
                      <w:rFonts w:hint="default" w:eastAsia="宋体"/>
                      <w:color w:val="auto"/>
                      <w:lang w:val="en-US" w:eastAsia="zh-CN"/>
                    </w:rPr>
                  </w:pPr>
                  <w:r>
                    <w:rPr>
                      <w:rFonts w:hint="eastAsia" w:eastAsia="宋体"/>
                      <w:color w:val="auto"/>
                      <w:lang w:val="en-US" w:eastAsia="zh-CN"/>
                    </w:rPr>
                    <w:t>65</w:t>
                  </w:r>
                </w:p>
              </w:tc>
              <w:tc>
                <w:tcPr>
                  <w:tcW w:w="1676" w:type="dxa"/>
                  <w:noWrap w:val="0"/>
                  <w:vAlign w:val="center"/>
                </w:tcPr>
                <w:p w14:paraId="1754336C">
                  <w:pPr>
                    <w:jc w:val="center"/>
                    <w:rPr>
                      <w:rFonts w:hint="default" w:eastAsia="宋体"/>
                      <w:color w:val="auto"/>
                      <w:lang w:val="en-US" w:eastAsia="zh-CN"/>
                    </w:rPr>
                  </w:pPr>
                  <w:r>
                    <w:rPr>
                      <w:rFonts w:hint="eastAsia" w:eastAsia="宋体"/>
                      <w:color w:val="auto"/>
                      <w:lang w:val="en-US" w:eastAsia="zh-CN"/>
                    </w:rPr>
                    <w:t>55</w:t>
                  </w:r>
                </w:p>
              </w:tc>
              <w:tc>
                <w:tcPr>
                  <w:tcW w:w="1812" w:type="dxa"/>
                  <w:vMerge w:val="continue"/>
                  <w:noWrap w:val="0"/>
                  <w:vAlign w:val="center"/>
                </w:tcPr>
                <w:p w14:paraId="12A85150">
                  <w:pPr>
                    <w:jc w:val="center"/>
                    <w:rPr>
                      <w:color w:val="auto"/>
                    </w:rPr>
                  </w:pPr>
                </w:p>
              </w:tc>
            </w:tr>
            <w:tr w14:paraId="6A3A35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436" w:type="dxa"/>
                  <w:noWrap w:val="0"/>
                  <w:tcMar>
                    <w:top w:w="0" w:type="dxa"/>
                    <w:left w:w="108" w:type="dxa"/>
                    <w:bottom w:w="0" w:type="dxa"/>
                    <w:right w:w="108" w:type="dxa"/>
                  </w:tcMar>
                  <w:vAlign w:val="center"/>
                </w:tcPr>
                <w:p w14:paraId="5EB53ACC">
                  <w:pPr>
                    <w:jc w:val="center"/>
                    <w:rPr>
                      <w:color w:val="auto"/>
                    </w:rPr>
                  </w:pPr>
                  <w:r>
                    <w:rPr>
                      <w:color w:val="auto"/>
                    </w:rPr>
                    <w:t>北厂界</w:t>
                  </w:r>
                </w:p>
              </w:tc>
              <w:tc>
                <w:tcPr>
                  <w:tcW w:w="1758" w:type="dxa"/>
                  <w:noWrap w:val="0"/>
                  <w:vAlign w:val="center"/>
                </w:tcPr>
                <w:p w14:paraId="37E1538F">
                  <w:pPr>
                    <w:jc w:val="center"/>
                    <w:rPr>
                      <w:color w:val="auto"/>
                    </w:rPr>
                  </w:pPr>
                  <w:r>
                    <w:rPr>
                      <w:rFonts w:hint="eastAsia"/>
                      <w:color w:val="auto"/>
                      <w:lang w:val="en-US" w:eastAsia="zh-CN"/>
                    </w:rPr>
                    <w:t>3</w:t>
                  </w:r>
                  <w:r>
                    <w:rPr>
                      <w:color w:val="auto"/>
                    </w:rPr>
                    <w:t>类</w:t>
                  </w:r>
                </w:p>
              </w:tc>
              <w:tc>
                <w:tcPr>
                  <w:tcW w:w="1675" w:type="dxa"/>
                  <w:noWrap w:val="0"/>
                  <w:vAlign w:val="center"/>
                </w:tcPr>
                <w:p w14:paraId="522E24C7">
                  <w:pPr>
                    <w:jc w:val="center"/>
                    <w:rPr>
                      <w:rFonts w:hint="default" w:eastAsia="宋体"/>
                      <w:color w:val="auto"/>
                      <w:lang w:val="en-US" w:eastAsia="zh-CN"/>
                    </w:rPr>
                  </w:pPr>
                  <w:r>
                    <w:rPr>
                      <w:rFonts w:hint="eastAsia" w:eastAsia="宋体"/>
                      <w:color w:val="auto"/>
                      <w:lang w:val="en-US" w:eastAsia="zh-CN"/>
                    </w:rPr>
                    <w:t>65</w:t>
                  </w:r>
                </w:p>
              </w:tc>
              <w:tc>
                <w:tcPr>
                  <w:tcW w:w="1676" w:type="dxa"/>
                  <w:noWrap w:val="0"/>
                  <w:vAlign w:val="center"/>
                </w:tcPr>
                <w:p w14:paraId="73AA4424">
                  <w:pPr>
                    <w:jc w:val="center"/>
                    <w:rPr>
                      <w:rFonts w:hint="default" w:eastAsia="宋体"/>
                      <w:color w:val="auto"/>
                      <w:lang w:val="en-US" w:eastAsia="zh-CN"/>
                    </w:rPr>
                  </w:pPr>
                  <w:r>
                    <w:rPr>
                      <w:rFonts w:hint="eastAsia" w:eastAsia="宋体"/>
                      <w:color w:val="auto"/>
                      <w:lang w:val="en-US" w:eastAsia="zh-CN"/>
                    </w:rPr>
                    <w:t>55</w:t>
                  </w:r>
                </w:p>
              </w:tc>
              <w:tc>
                <w:tcPr>
                  <w:tcW w:w="1812" w:type="dxa"/>
                  <w:vMerge w:val="continue"/>
                  <w:noWrap w:val="0"/>
                  <w:vAlign w:val="center"/>
                </w:tcPr>
                <w:p w14:paraId="15E4EC77">
                  <w:pPr>
                    <w:jc w:val="center"/>
                    <w:rPr>
                      <w:color w:val="auto"/>
                    </w:rPr>
                  </w:pPr>
                </w:p>
              </w:tc>
            </w:tr>
          </w:tbl>
          <w:p w14:paraId="704745F4">
            <w:pPr>
              <w:pStyle w:val="6"/>
              <w:keepNext w:val="0"/>
              <w:keepLines w:val="0"/>
              <w:pageBreakBefore w:val="0"/>
              <w:widowControl w:val="0"/>
              <w:kinsoku/>
              <w:wordWrap/>
              <w:overflowPunct/>
              <w:topLinePunct w:val="0"/>
              <w:autoSpaceDE/>
              <w:autoSpaceDN/>
              <w:bidi w:val="0"/>
              <w:spacing w:after="0" w:line="360" w:lineRule="auto"/>
              <w:ind w:left="0" w:leftChars="0" w:firstLine="482"/>
              <w:textAlignment w:val="auto"/>
              <w:rPr>
                <w:b w:val="0"/>
                <w:bCs w:val="0"/>
                <w:color w:val="auto"/>
              </w:rPr>
            </w:pPr>
            <w:r>
              <w:rPr>
                <w:b w:val="0"/>
                <w:bCs w:val="0"/>
                <w:color w:val="auto"/>
              </w:rPr>
              <w:t>4、固体废物排放标准</w:t>
            </w:r>
          </w:p>
          <w:p w14:paraId="00F67C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Cs w:val="21"/>
              </w:rPr>
            </w:pPr>
            <w:r>
              <w:rPr>
                <w:color w:val="auto"/>
                <w:sz w:val="24"/>
                <w:szCs w:val="24"/>
              </w:rPr>
              <w:t>项目固体废物属性鉴别执行《固体废物鉴别标准通则》（GB34330-2017）中相关规定；生活垃圾的储存与处置参照执行《城市生活垃圾管理办法》（建设部令2007年第157号）中相关规定；一般工业固废储存执行《一般工业固体废物贮存和填埋污染控制标准》（GB18599-2020）中相关规定；</w:t>
            </w:r>
            <w:r>
              <w:rPr>
                <w:rFonts w:hint="eastAsia"/>
                <w:color w:val="auto"/>
                <w:sz w:val="24"/>
                <w:szCs w:val="24"/>
              </w:rPr>
              <w:t>危险废物执行</w:t>
            </w:r>
            <w:r>
              <w:rPr>
                <w:rFonts w:hint="eastAsia"/>
                <w:color w:val="auto"/>
                <w:sz w:val="24"/>
                <w:szCs w:val="24"/>
                <w:lang w:eastAsia="zh-CN"/>
              </w:rPr>
              <w:t>《</w:t>
            </w:r>
            <w:r>
              <w:rPr>
                <w:rFonts w:hint="eastAsia"/>
                <w:color w:val="auto"/>
                <w:sz w:val="24"/>
                <w:szCs w:val="24"/>
              </w:rPr>
              <w:t>危险废物贮存污染控制标准</w:t>
            </w:r>
            <w:r>
              <w:rPr>
                <w:rFonts w:hint="eastAsia"/>
                <w:color w:val="auto"/>
                <w:sz w:val="24"/>
                <w:szCs w:val="24"/>
                <w:lang w:eastAsia="zh-CN"/>
              </w:rPr>
              <w:t>》</w:t>
            </w:r>
            <w:r>
              <w:rPr>
                <w:rFonts w:hint="eastAsia"/>
                <w:color w:val="auto"/>
                <w:sz w:val="24"/>
                <w:szCs w:val="24"/>
              </w:rPr>
              <w:t>（GB18597-20</w:t>
            </w:r>
            <w:r>
              <w:rPr>
                <w:rFonts w:hint="eastAsia"/>
                <w:color w:val="auto"/>
                <w:sz w:val="24"/>
                <w:szCs w:val="24"/>
                <w:lang w:val="en-US" w:eastAsia="zh-CN"/>
              </w:rPr>
              <w:t>23</w:t>
            </w:r>
            <w:r>
              <w:rPr>
                <w:rFonts w:hint="eastAsia"/>
                <w:color w:val="auto"/>
                <w:sz w:val="24"/>
                <w:szCs w:val="24"/>
              </w:rPr>
              <w:t>）</w:t>
            </w:r>
            <w:r>
              <w:rPr>
                <w:color w:val="auto"/>
                <w:sz w:val="24"/>
                <w:szCs w:val="24"/>
              </w:rPr>
              <w:t>的相关规定</w:t>
            </w:r>
            <w:r>
              <w:rPr>
                <w:rFonts w:hint="eastAsia"/>
                <w:color w:val="auto"/>
                <w:sz w:val="24"/>
                <w:szCs w:val="24"/>
                <w:lang w:eastAsia="zh-CN"/>
              </w:rPr>
              <w:t>，</w:t>
            </w:r>
            <w:r>
              <w:rPr>
                <w:color w:val="auto"/>
                <w:sz w:val="24"/>
                <w:szCs w:val="24"/>
              </w:rPr>
              <w:t>危废暂存间污染防治工作执行《危险废物收集贮存运输技术规范》（HJ2025-2012）以及《关于进一步加强危险废物污染防治工作的实施意见》（苏环办</w:t>
            </w:r>
            <w:r>
              <w:rPr>
                <w:rFonts w:hint="eastAsia"/>
                <w:color w:val="auto"/>
                <w:sz w:val="24"/>
                <w:szCs w:val="24"/>
                <w:lang w:eastAsia="zh-CN"/>
              </w:rPr>
              <w:t>〔2019〕327号</w:t>
            </w:r>
            <w:r>
              <w:rPr>
                <w:color w:val="auto"/>
                <w:sz w:val="24"/>
                <w:szCs w:val="24"/>
              </w:rPr>
              <w:t>文）的相关规定</w:t>
            </w:r>
            <w:r>
              <w:rPr>
                <w:color w:val="auto"/>
                <w:sz w:val="24"/>
              </w:rPr>
              <w:t>。</w:t>
            </w:r>
          </w:p>
        </w:tc>
      </w:tr>
      <w:tr w14:paraId="54D2A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12" w:hRule="atLeast"/>
          <w:jc w:val="center"/>
        </w:trPr>
        <w:tc>
          <w:tcPr>
            <w:tcW w:w="800" w:type="dxa"/>
            <w:noWrap w:val="0"/>
            <w:vAlign w:val="center"/>
          </w:tcPr>
          <w:p w14:paraId="1CC0C0BF">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总量</w:t>
            </w:r>
          </w:p>
          <w:p w14:paraId="22179B8F">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控制</w:t>
            </w:r>
          </w:p>
          <w:p w14:paraId="7649DD99">
            <w:pPr>
              <w:adjustRightInd w:val="0"/>
              <w:snapToGrid w:val="0"/>
              <w:jc w:val="center"/>
              <w:rPr>
                <w:rFonts w:ascii="宋体" w:hAnsi="宋体" w:cs="宋体"/>
                <w:color w:val="auto"/>
                <w:kern w:val="0"/>
                <w:szCs w:val="21"/>
              </w:rPr>
            </w:pPr>
            <w:r>
              <w:rPr>
                <w:rFonts w:hint="eastAsia" w:ascii="宋体" w:hAnsi="宋体" w:cs="宋体"/>
                <w:color w:val="auto"/>
                <w:kern w:val="0"/>
                <w:szCs w:val="21"/>
              </w:rPr>
              <w:t>指标</w:t>
            </w:r>
          </w:p>
        </w:tc>
        <w:tc>
          <w:tcPr>
            <w:tcW w:w="8190" w:type="dxa"/>
            <w:noWrap w:val="0"/>
            <w:vAlign w:val="top"/>
          </w:tcPr>
          <w:p w14:paraId="1FB960C5">
            <w:pPr>
              <w:pStyle w:val="2"/>
              <w:keepNext w:val="0"/>
              <w:keepLines w:val="0"/>
              <w:pageBreakBefore w:val="0"/>
              <w:widowControl w:val="0"/>
              <w:kinsoku/>
              <w:wordWrap/>
              <w:overflowPunct/>
              <w:topLinePunct w:val="0"/>
              <w:bidi w:val="0"/>
              <w:spacing w:line="360" w:lineRule="auto"/>
              <w:jc w:val="both"/>
              <w:textAlignment w:val="auto"/>
              <w:rPr>
                <w:b w:val="0"/>
                <w:bCs/>
                <w:color w:val="auto"/>
              </w:rPr>
            </w:pPr>
            <w:r>
              <w:rPr>
                <w:rFonts w:hint="eastAsia"/>
                <w:b w:val="0"/>
                <w:bCs/>
                <w:color w:val="auto"/>
              </w:rPr>
              <w:t>1、建设项目污染物排放情况</w:t>
            </w:r>
          </w:p>
          <w:p w14:paraId="0174563A">
            <w:pPr>
              <w:pStyle w:val="6"/>
              <w:keepNext w:val="0"/>
              <w:keepLines w:val="0"/>
              <w:pageBreakBefore w:val="0"/>
              <w:widowControl w:val="0"/>
              <w:kinsoku/>
              <w:wordWrap/>
              <w:overflowPunct/>
              <w:topLinePunct w:val="0"/>
              <w:bidi w:val="0"/>
              <w:spacing w:after="0" w:line="360" w:lineRule="auto"/>
              <w:ind w:left="0" w:leftChars="0" w:firstLine="480"/>
              <w:jc w:val="both"/>
              <w:textAlignment w:val="auto"/>
              <w:rPr>
                <w:color w:val="auto"/>
              </w:rPr>
            </w:pPr>
            <w:r>
              <w:rPr>
                <w:rFonts w:hint="eastAsia"/>
                <w:color w:val="auto"/>
              </w:rPr>
              <w:t>本项目污染物排放情况汇总见下表。</w:t>
            </w:r>
          </w:p>
          <w:p w14:paraId="21A26F20">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auto"/>
                <w:sz w:val="21"/>
                <w:szCs w:val="21"/>
              </w:rPr>
            </w:pPr>
            <w:r>
              <w:rPr>
                <w:rFonts w:hint="eastAsia"/>
                <w:b/>
                <w:bCs/>
                <w:color w:val="auto"/>
                <w:sz w:val="21"/>
                <w:szCs w:val="21"/>
              </w:rPr>
              <w:t>表3-</w:t>
            </w:r>
            <w:r>
              <w:rPr>
                <w:rFonts w:hint="eastAsia"/>
                <w:b/>
                <w:bCs/>
                <w:color w:val="auto"/>
                <w:sz w:val="21"/>
                <w:szCs w:val="21"/>
                <w:lang w:val="en-US" w:eastAsia="zh-CN"/>
              </w:rPr>
              <w:t>8  本</w:t>
            </w:r>
            <w:r>
              <w:rPr>
                <w:rFonts w:hint="eastAsia"/>
                <w:b/>
                <w:bCs/>
                <w:color w:val="auto"/>
                <w:sz w:val="21"/>
                <w:szCs w:val="21"/>
              </w:rPr>
              <w:t>项目污染物排放情况汇总一览表单位：t/a</w:t>
            </w:r>
          </w:p>
          <w:tbl>
            <w:tblPr>
              <w:tblStyle w:val="23"/>
              <w:tblW w:w="835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991"/>
              <w:gridCol w:w="1445"/>
              <w:gridCol w:w="957"/>
              <w:gridCol w:w="1007"/>
              <w:gridCol w:w="1024"/>
              <w:gridCol w:w="2385"/>
            </w:tblGrid>
            <w:tr w14:paraId="1AFD93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2984" w:type="dxa"/>
                  <w:gridSpan w:val="3"/>
                  <w:noWrap w:val="0"/>
                  <w:vAlign w:val="center"/>
                </w:tcPr>
                <w:p w14:paraId="4B0761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污染物</w:t>
                  </w:r>
                </w:p>
              </w:tc>
              <w:tc>
                <w:tcPr>
                  <w:tcW w:w="957" w:type="dxa"/>
                  <w:noWrap w:val="0"/>
                  <w:vAlign w:val="center"/>
                </w:tcPr>
                <w:p w14:paraId="6D657A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产生量</w:t>
                  </w:r>
                </w:p>
              </w:tc>
              <w:tc>
                <w:tcPr>
                  <w:tcW w:w="1007" w:type="dxa"/>
                  <w:noWrap w:val="0"/>
                  <w:vAlign w:val="center"/>
                </w:tcPr>
                <w:p w14:paraId="5CFD2C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削减量</w:t>
                  </w:r>
                </w:p>
              </w:tc>
              <w:tc>
                <w:tcPr>
                  <w:tcW w:w="1024" w:type="dxa"/>
                  <w:noWrap w:val="0"/>
                  <w:vAlign w:val="center"/>
                </w:tcPr>
                <w:p w14:paraId="0A502E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接管量</w:t>
                  </w:r>
                </w:p>
              </w:tc>
              <w:tc>
                <w:tcPr>
                  <w:tcW w:w="2385" w:type="dxa"/>
                  <w:noWrap w:val="0"/>
                  <w:vAlign w:val="center"/>
                </w:tcPr>
                <w:p w14:paraId="63409E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s="宋体"/>
                      <w:color w:val="auto"/>
                      <w:kern w:val="0"/>
                      <w:szCs w:val="21"/>
                      <w:lang w:val="en-US" w:eastAsia="zh-CN"/>
                    </w:rPr>
                  </w:pPr>
                  <w:r>
                    <w:rPr>
                      <w:rFonts w:hint="eastAsia" w:cs="宋体"/>
                      <w:color w:val="auto"/>
                      <w:kern w:val="0"/>
                      <w:szCs w:val="21"/>
                    </w:rPr>
                    <w:t>排入环境量</w:t>
                  </w:r>
                </w:p>
              </w:tc>
            </w:tr>
            <w:tr w14:paraId="0C2AF7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exact"/>
              </w:trPr>
              <w:tc>
                <w:tcPr>
                  <w:tcW w:w="548" w:type="dxa"/>
                  <w:vMerge w:val="restart"/>
                  <w:noWrap w:val="0"/>
                  <w:vAlign w:val="center"/>
                </w:tcPr>
                <w:p w14:paraId="6698EA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废气</w:t>
                  </w:r>
                </w:p>
              </w:tc>
              <w:tc>
                <w:tcPr>
                  <w:tcW w:w="991" w:type="dxa"/>
                  <w:noWrap w:val="0"/>
                  <w:vAlign w:val="center"/>
                </w:tcPr>
                <w:p w14:paraId="3C081F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有组织</w:t>
                  </w:r>
                </w:p>
              </w:tc>
              <w:tc>
                <w:tcPr>
                  <w:tcW w:w="1445" w:type="dxa"/>
                  <w:noWrap w:val="0"/>
                  <w:vAlign w:val="center"/>
                </w:tcPr>
                <w:p w14:paraId="461CFE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color w:val="auto"/>
                      <w:kern w:val="0"/>
                      <w:szCs w:val="21"/>
                      <w:lang w:val="en-US" w:eastAsia="zh-CN"/>
                    </w:rPr>
                  </w:pPr>
                  <w:r>
                    <w:rPr>
                      <w:rFonts w:hint="eastAsia" w:cs="宋体"/>
                      <w:color w:val="auto"/>
                      <w:kern w:val="0"/>
                      <w:szCs w:val="21"/>
                      <w:lang w:val="en-US" w:eastAsia="zh-CN"/>
                    </w:rPr>
                    <w:t>非甲烷总烃</w:t>
                  </w:r>
                </w:p>
              </w:tc>
              <w:tc>
                <w:tcPr>
                  <w:tcW w:w="957" w:type="dxa"/>
                  <w:noWrap w:val="0"/>
                  <w:vAlign w:val="center"/>
                </w:tcPr>
                <w:p w14:paraId="75CB3AAB">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0.509</w:t>
                  </w:r>
                </w:p>
              </w:tc>
              <w:tc>
                <w:tcPr>
                  <w:tcW w:w="1007" w:type="dxa"/>
                  <w:noWrap w:val="0"/>
                  <w:vAlign w:val="center"/>
                </w:tcPr>
                <w:p w14:paraId="29584A01">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0.458</w:t>
                  </w:r>
                </w:p>
              </w:tc>
              <w:tc>
                <w:tcPr>
                  <w:tcW w:w="1024" w:type="dxa"/>
                  <w:noWrap w:val="0"/>
                  <w:vAlign w:val="center"/>
                </w:tcPr>
                <w:p w14:paraId="1E2E42FC">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2385" w:type="dxa"/>
                  <w:noWrap w:val="0"/>
                  <w:vAlign w:val="center"/>
                </w:tcPr>
                <w:p w14:paraId="33EBBAD4">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0.051</w:t>
                  </w:r>
                </w:p>
              </w:tc>
            </w:tr>
            <w:tr w14:paraId="2348DD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5" w:hRule="exact"/>
              </w:trPr>
              <w:tc>
                <w:tcPr>
                  <w:tcW w:w="548" w:type="dxa"/>
                  <w:vMerge w:val="continue"/>
                  <w:noWrap w:val="0"/>
                  <w:vAlign w:val="center"/>
                </w:tcPr>
                <w:p w14:paraId="3203CA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991" w:type="dxa"/>
                  <w:noWrap w:val="0"/>
                  <w:vAlign w:val="center"/>
                </w:tcPr>
                <w:p w14:paraId="78EE3B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s="宋体"/>
                      <w:color w:val="auto"/>
                      <w:kern w:val="0"/>
                      <w:szCs w:val="21"/>
                      <w:lang w:val="en-US" w:eastAsia="zh-CN"/>
                    </w:rPr>
                  </w:pPr>
                  <w:r>
                    <w:rPr>
                      <w:rFonts w:hint="eastAsia" w:cs="宋体"/>
                      <w:color w:val="auto"/>
                      <w:kern w:val="0"/>
                      <w:szCs w:val="21"/>
                      <w:lang w:val="en-US" w:eastAsia="zh-CN"/>
                    </w:rPr>
                    <w:t>无组织</w:t>
                  </w:r>
                </w:p>
              </w:tc>
              <w:tc>
                <w:tcPr>
                  <w:tcW w:w="1445" w:type="dxa"/>
                  <w:noWrap w:val="0"/>
                  <w:vAlign w:val="center"/>
                </w:tcPr>
                <w:p w14:paraId="1A2F38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lang w:val="en-US" w:eastAsia="zh-CN"/>
                    </w:rPr>
                  </w:pPr>
                  <w:r>
                    <w:rPr>
                      <w:rFonts w:hint="eastAsia" w:cs="宋体"/>
                      <w:color w:val="auto"/>
                      <w:kern w:val="0"/>
                      <w:szCs w:val="21"/>
                      <w:lang w:val="en-US" w:eastAsia="zh-CN"/>
                    </w:rPr>
                    <w:t>非甲烷总烃</w:t>
                  </w:r>
                </w:p>
              </w:tc>
              <w:tc>
                <w:tcPr>
                  <w:tcW w:w="957" w:type="dxa"/>
                  <w:noWrap w:val="0"/>
                  <w:vAlign w:val="center"/>
                </w:tcPr>
                <w:p w14:paraId="0026408C">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0.057</w:t>
                  </w:r>
                </w:p>
              </w:tc>
              <w:tc>
                <w:tcPr>
                  <w:tcW w:w="1007" w:type="dxa"/>
                  <w:noWrap w:val="0"/>
                  <w:vAlign w:val="center"/>
                </w:tcPr>
                <w:p w14:paraId="56BBEB81">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c>
                <w:tcPr>
                  <w:tcW w:w="1024" w:type="dxa"/>
                  <w:noWrap w:val="0"/>
                  <w:vAlign w:val="center"/>
                </w:tcPr>
                <w:p w14:paraId="35546E55">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2385" w:type="dxa"/>
                  <w:noWrap w:val="0"/>
                  <w:vAlign w:val="center"/>
                </w:tcPr>
                <w:p w14:paraId="33544081">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0.057</w:t>
                  </w:r>
                </w:p>
              </w:tc>
            </w:tr>
            <w:tr w14:paraId="4EA9A4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exact"/>
              </w:trPr>
              <w:tc>
                <w:tcPr>
                  <w:tcW w:w="548" w:type="dxa"/>
                  <w:vMerge w:val="restart"/>
                  <w:noWrap w:val="0"/>
                  <w:vAlign w:val="center"/>
                </w:tcPr>
                <w:p w14:paraId="318104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废水</w:t>
                  </w:r>
                </w:p>
              </w:tc>
              <w:tc>
                <w:tcPr>
                  <w:tcW w:w="991" w:type="dxa"/>
                  <w:vMerge w:val="restart"/>
                  <w:noWrap w:val="0"/>
                  <w:vAlign w:val="center"/>
                </w:tcPr>
                <w:p w14:paraId="1B6AC5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lang w:val="en-US" w:eastAsia="zh-CN"/>
                    </w:rPr>
                  </w:pPr>
                  <w:r>
                    <w:rPr>
                      <w:rFonts w:hint="eastAsia" w:cs="宋体"/>
                      <w:color w:val="auto"/>
                      <w:kern w:val="0"/>
                      <w:szCs w:val="21"/>
                      <w:lang w:val="en-US" w:eastAsia="zh-CN"/>
                    </w:rPr>
                    <w:t>生活</w:t>
                  </w:r>
                </w:p>
                <w:p w14:paraId="1529D3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s="宋体"/>
                      <w:color w:val="auto"/>
                      <w:kern w:val="0"/>
                      <w:szCs w:val="21"/>
                      <w:lang w:val="en-US" w:eastAsia="zh-CN"/>
                    </w:rPr>
                  </w:pPr>
                  <w:r>
                    <w:rPr>
                      <w:rFonts w:hint="eastAsia" w:cs="宋体"/>
                      <w:color w:val="auto"/>
                      <w:kern w:val="0"/>
                      <w:szCs w:val="21"/>
                      <w:lang w:val="en-US" w:eastAsia="zh-CN"/>
                    </w:rPr>
                    <w:t>污水</w:t>
                  </w:r>
                </w:p>
              </w:tc>
              <w:tc>
                <w:tcPr>
                  <w:tcW w:w="1445" w:type="dxa"/>
                  <w:noWrap w:val="0"/>
                  <w:vAlign w:val="center"/>
                </w:tcPr>
                <w:p w14:paraId="044BD7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废水量</w:t>
                  </w:r>
                </w:p>
              </w:tc>
              <w:tc>
                <w:tcPr>
                  <w:tcW w:w="957" w:type="dxa"/>
                  <w:noWrap w:val="0"/>
                  <w:vAlign w:val="center"/>
                </w:tcPr>
                <w:p w14:paraId="13C10FFB">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360</w:t>
                  </w:r>
                </w:p>
              </w:tc>
              <w:tc>
                <w:tcPr>
                  <w:tcW w:w="1007" w:type="dxa"/>
                  <w:noWrap w:val="0"/>
                  <w:vAlign w:val="center"/>
                </w:tcPr>
                <w:p w14:paraId="3F7E2C9C">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c>
                <w:tcPr>
                  <w:tcW w:w="1024" w:type="dxa"/>
                  <w:noWrap w:val="0"/>
                  <w:vAlign w:val="center"/>
                </w:tcPr>
                <w:p w14:paraId="563575E8">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360</w:t>
                  </w:r>
                </w:p>
              </w:tc>
              <w:tc>
                <w:tcPr>
                  <w:tcW w:w="2385" w:type="dxa"/>
                  <w:noWrap w:val="0"/>
                  <w:vAlign w:val="center"/>
                </w:tcPr>
                <w:p w14:paraId="4643896E">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360</w:t>
                  </w:r>
                </w:p>
              </w:tc>
            </w:tr>
            <w:tr w14:paraId="5AF80F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548" w:type="dxa"/>
                  <w:vMerge w:val="continue"/>
                  <w:noWrap w:val="0"/>
                  <w:vAlign w:val="center"/>
                </w:tcPr>
                <w:p w14:paraId="170C9B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991" w:type="dxa"/>
                  <w:vMerge w:val="continue"/>
                  <w:noWrap w:val="0"/>
                  <w:vAlign w:val="center"/>
                </w:tcPr>
                <w:p w14:paraId="5D8FEB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1445" w:type="dxa"/>
                  <w:noWrap w:val="0"/>
                  <w:vAlign w:val="center"/>
                </w:tcPr>
                <w:p w14:paraId="1400EB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COD</w:t>
                  </w:r>
                </w:p>
              </w:tc>
              <w:tc>
                <w:tcPr>
                  <w:tcW w:w="957" w:type="dxa"/>
                  <w:noWrap w:val="0"/>
                  <w:vAlign w:val="center"/>
                </w:tcPr>
                <w:p w14:paraId="431D064D">
                  <w:pPr>
                    <w:keepNext w:val="0"/>
                    <w:keepLines w:val="0"/>
                    <w:widowControl/>
                    <w:suppressLineNumbers w:val="0"/>
                    <w:jc w:val="center"/>
                    <w:textAlignment w:val="center"/>
                    <w:rPr>
                      <w:rFonts w:hint="default"/>
                      <w:color w:val="auto"/>
                      <w:sz w:val="21"/>
                      <w:szCs w:val="21"/>
                      <w:lang w:val="en-US" w:eastAsia="zh-CN"/>
                    </w:rPr>
                  </w:pPr>
                  <w:r>
                    <w:rPr>
                      <w:rFonts w:hint="eastAsia"/>
                      <w:color w:val="auto"/>
                      <w:sz w:val="21"/>
                      <w:szCs w:val="21"/>
                      <w:lang w:val="en-US" w:eastAsia="zh-CN"/>
                    </w:rPr>
                    <w:t>0.126</w:t>
                  </w:r>
                </w:p>
              </w:tc>
              <w:tc>
                <w:tcPr>
                  <w:tcW w:w="1007" w:type="dxa"/>
                  <w:noWrap w:val="0"/>
                  <w:vAlign w:val="center"/>
                </w:tcPr>
                <w:p w14:paraId="756C0994">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0.036</w:t>
                  </w:r>
                </w:p>
              </w:tc>
              <w:tc>
                <w:tcPr>
                  <w:tcW w:w="1024" w:type="dxa"/>
                  <w:noWrap w:val="0"/>
                  <w:vAlign w:val="center"/>
                </w:tcPr>
                <w:p w14:paraId="4EEA36D2">
                  <w:pPr>
                    <w:keepNext w:val="0"/>
                    <w:keepLines w:val="0"/>
                    <w:widowControl/>
                    <w:suppressLineNumbers w:val="0"/>
                    <w:jc w:val="center"/>
                    <w:textAlignment w:val="center"/>
                    <w:rPr>
                      <w:rFonts w:hint="default"/>
                      <w:color w:val="auto"/>
                      <w:sz w:val="21"/>
                      <w:szCs w:val="21"/>
                      <w:lang w:val="en-US" w:eastAsia="zh-CN"/>
                    </w:rPr>
                  </w:pPr>
                  <w:r>
                    <w:rPr>
                      <w:rFonts w:hint="eastAsia"/>
                      <w:color w:val="auto"/>
                      <w:sz w:val="21"/>
                      <w:szCs w:val="21"/>
                      <w:lang w:val="en-US" w:eastAsia="zh-CN"/>
                    </w:rPr>
                    <w:t>0.09</w:t>
                  </w:r>
                </w:p>
              </w:tc>
              <w:tc>
                <w:tcPr>
                  <w:tcW w:w="2385" w:type="dxa"/>
                  <w:noWrap w:val="0"/>
                  <w:vAlign w:val="center"/>
                </w:tcPr>
                <w:p w14:paraId="3ED577E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0.0180</w:t>
                  </w:r>
                </w:p>
              </w:tc>
            </w:tr>
            <w:tr w14:paraId="117007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exact"/>
              </w:trPr>
              <w:tc>
                <w:tcPr>
                  <w:tcW w:w="548" w:type="dxa"/>
                  <w:vMerge w:val="continue"/>
                  <w:noWrap w:val="0"/>
                  <w:vAlign w:val="center"/>
                </w:tcPr>
                <w:p w14:paraId="1F274A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991" w:type="dxa"/>
                  <w:vMerge w:val="continue"/>
                  <w:noWrap w:val="0"/>
                  <w:vAlign w:val="center"/>
                </w:tcPr>
                <w:p w14:paraId="78CBA4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1445" w:type="dxa"/>
                  <w:noWrap w:val="0"/>
                  <w:vAlign w:val="center"/>
                </w:tcPr>
                <w:p w14:paraId="2C5849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SS</w:t>
                  </w:r>
                </w:p>
              </w:tc>
              <w:tc>
                <w:tcPr>
                  <w:tcW w:w="957" w:type="dxa"/>
                  <w:noWrap w:val="0"/>
                  <w:vAlign w:val="center"/>
                </w:tcPr>
                <w:p w14:paraId="3F1B8A05">
                  <w:pPr>
                    <w:keepNext w:val="0"/>
                    <w:keepLines w:val="0"/>
                    <w:widowControl/>
                    <w:suppressLineNumbers w:val="0"/>
                    <w:jc w:val="center"/>
                    <w:textAlignment w:val="center"/>
                    <w:rPr>
                      <w:rFonts w:hint="default"/>
                      <w:color w:val="auto"/>
                      <w:sz w:val="21"/>
                      <w:szCs w:val="21"/>
                      <w:lang w:val="en-US" w:eastAsia="zh-CN"/>
                    </w:rPr>
                  </w:pPr>
                  <w:r>
                    <w:rPr>
                      <w:rFonts w:hint="eastAsia"/>
                      <w:color w:val="auto"/>
                      <w:sz w:val="21"/>
                      <w:szCs w:val="21"/>
                      <w:lang w:val="en-US" w:eastAsia="zh-CN"/>
                    </w:rPr>
                    <w:t>0.09</w:t>
                  </w:r>
                </w:p>
              </w:tc>
              <w:tc>
                <w:tcPr>
                  <w:tcW w:w="1007" w:type="dxa"/>
                  <w:noWrap w:val="0"/>
                  <w:vAlign w:val="center"/>
                </w:tcPr>
                <w:p w14:paraId="16E56CEC">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0.025</w:t>
                  </w:r>
                </w:p>
              </w:tc>
              <w:tc>
                <w:tcPr>
                  <w:tcW w:w="1024" w:type="dxa"/>
                  <w:noWrap w:val="0"/>
                  <w:vAlign w:val="center"/>
                </w:tcPr>
                <w:p w14:paraId="38C5C3D3">
                  <w:pPr>
                    <w:keepNext w:val="0"/>
                    <w:keepLines w:val="0"/>
                    <w:widowControl/>
                    <w:suppressLineNumbers w:val="0"/>
                    <w:jc w:val="center"/>
                    <w:textAlignment w:val="center"/>
                    <w:rPr>
                      <w:rFonts w:hint="default"/>
                      <w:color w:val="auto"/>
                      <w:sz w:val="21"/>
                      <w:szCs w:val="21"/>
                      <w:lang w:val="en-US" w:eastAsia="zh-CN"/>
                    </w:rPr>
                  </w:pPr>
                  <w:r>
                    <w:rPr>
                      <w:rFonts w:hint="eastAsia"/>
                      <w:color w:val="auto"/>
                      <w:sz w:val="21"/>
                      <w:szCs w:val="21"/>
                      <w:lang w:val="en-US" w:eastAsia="zh-CN"/>
                    </w:rPr>
                    <w:t>0.065</w:t>
                  </w:r>
                </w:p>
              </w:tc>
              <w:tc>
                <w:tcPr>
                  <w:tcW w:w="2385" w:type="dxa"/>
                  <w:noWrap w:val="0"/>
                  <w:vAlign w:val="center"/>
                </w:tcPr>
                <w:p w14:paraId="1ACEF33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0.0036</w:t>
                  </w:r>
                </w:p>
              </w:tc>
            </w:tr>
            <w:tr w14:paraId="5CA7EC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exact"/>
              </w:trPr>
              <w:tc>
                <w:tcPr>
                  <w:tcW w:w="548" w:type="dxa"/>
                  <w:vMerge w:val="continue"/>
                  <w:noWrap w:val="0"/>
                  <w:vAlign w:val="center"/>
                </w:tcPr>
                <w:p w14:paraId="7EE6EE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991" w:type="dxa"/>
                  <w:vMerge w:val="continue"/>
                  <w:noWrap w:val="0"/>
                  <w:vAlign w:val="center"/>
                </w:tcPr>
                <w:p w14:paraId="350DC7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1445" w:type="dxa"/>
                  <w:noWrap w:val="0"/>
                  <w:vAlign w:val="center"/>
                </w:tcPr>
                <w:p w14:paraId="62754D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r>
                    <w:rPr>
                      <w:rFonts w:hint="eastAsia" w:cs="宋体"/>
                      <w:color w:val="auto"/>
                      <w:kern w:val="0"/>
                      <w:szCs w:val="21"/>
                    </w:rPr>
                    <w:t>NH</w:t>
                  </w:r>
                  <w:r>
                    <w:rPr>
                      <w:rFonts w:hint="eastAsia" w:cs="宋体"/>
                      <w:color w:val="auto"/>
                      <w:kern w:val="0"/>
                      <w:szCs w:val="21"/>
                      <w:vertAlign w:val="subscript"/>
                    </w:rPr>
                    <w:t>3</w:t>
                  </w:r>
                  <w:r>
                    <w:rPr>
                      <w:rFonts w:hint="eastAsia" w:cs="宋体"/>
                      <w:color w:val="auto"/>
                      <w:kern w:val="0"/>
                      <w:szCs w:val="21"/>
                    </w:rPr>
                    <w:t>-N</w:t>
                  </w:r>
                </w:p>
              </w:tc>
              <w:tc>
                <w:tcPr>
                  <w:tcW w:w="957" w:type="dxa"/>
                  <w:noWrap w:val="0"/>
                  <w:vAlign w:val="center"/>
                </w:tcPr>
                <w:p w14:paraId="3A5388C6">
                  <w:pPr>
                    <w:keepNext w:val="0"/>
                    <w:keepLines w:val="0"/>
                    <w:widowControl/>
                    <w:suppressLineNumbers w:val="0"/>
                    <w:jc w:val="center"/>
                    <w:textAlignment w:val="center"/>
                    <w:rPr>
                      <w:rFonts w:hint="default"/>
                      <w:color w:val="auto"/>
                      <w:sz w:val="21"/>
                      <w:szCs w:val="21"/>
                      <w:lang w:val="en-US" w:eastAsia="zh-CN"/>
                    </w:rPr>
                  </w:pPr>
                  <w:r>
                    <w:rPr>
                      <w:rFonts w:hint="eastAsia"/>
                      <w:color w:val="auto"/>
                      <w:sz w:val="21"/>
                      <w:szCs w:val="21"/>
                      <w:lang w:val="en-US" w:eastAsia="zh-CN"/>
                    </w:rPr>
                    <w:t>0.009</w:t>
                  </w:r>
                </w:p>
              </w:tc>
              <w:tc>
                <w:tcPr>
                  <w:tcW w:w="1007" w:type="dxa"/>
                  <w:noWrap w:val="0"/>
                  <w:vAlign w:val="center"/>
                </w:tcPr>
                <w:p w14:paraId="1CE10D11">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c>
                <w:tcPr>
                  <w:tcW w:w="1024" w:type="dxa"/>
                  <w:noWrap w:val="0"/>
                  <w:vAlign w:val="center"/>
                </w:tcPr>
                <w:p w14:paraId="6FC8F16A">
                  <w:pPr>
                    <w:keepNext w:val="0"/>
                    <w:keepLines w:val="0"/>
                    <w:widowControl/>
                    <w:suppressLineNumbers w:val="0"/>
                    <w:jc w:val="center"/>
                    <w:textAlignment w:val="center"/>
                    <w:rPr>
                      <w:rFonts w:hint="default"/>
                      <w:color w:val="auto"/>
                      <w:sz w:val="21"/>
                      <w:szCs w:val="21"/>
                      <w:lang w:val="en-US" w:eastAsia="zh-CN"/>
                    </w:rPr>
                  </w:pPr>
                  <w:r>
                    <w:rPr>
                      <w:rFonts w:hint="eastAsia"/>
                      <w:color w:val="auto"/>
                      <w:sz w:val="21"/>
                      <w:szCs w:val="21"/>
                      <w:lang w:val="en-US" w:eastAsia="zh-CN"/>
                    </w:rPr>
                    <w:t>0.009</w:t>
                  </w:r>
                </w:p>
              </w:tc>
              <w:tc>
                <w:tcPr>
                  <w:tcW w:w="2385" w:type="dxa"/>
                  <w:noWrap w:val="0"/>
                  <w:vAlign w:val="center"/>
                </w:tcPr>
                <w:p w14:paraId="3B0FA7A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0.0018</w:t>
                  </w:r>
                </w:p>
              </w:tc>
            </w:tr>
            <w:tr w14:paraId="1A1899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exact"/>
              </w:trPr>
              <w:tc>
                <w:tcPr>
                  <w:tcW w:w="548" w:type="dxa"/>
                  <w:vMerge w:val="continue"/>
                  <w:noWrap w:val="0"/>
                  <w:vAlign w:val="center"/>
                </w:tcPr>
                <w:p w14:paraId="10C994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991" w:type="dxa"/>
                  <w:vMerge w:val="continue"/>
                  <w:noWrap w:val="0"/>
                  <w:vAlign w:val="center"/>
                </w:tcPr>
                <w:p w14:paraId="11736E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1445" w:type="dxa"/>
                  <w:noWrap w:val="0"/>
                  <w:vAlign w:val="center"/>
                </w:tcPr>
                <w:p w14:paraId="0471D1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TN</w:t>
                  </w:r>
                </w:p>
              </w:tc>
              <w:tc>
                <w:tcPr>
                  <w:tcW w:w="957" w:type="dxa"/>
                  <w:noWrap w:val="0"/>
                  <w:vAlign w:val="center"/>
                </w:tcPr>
                <w:p w14:paraId="0DEB8E06">
                  <w:pPr>
                    <w:keepNext w:val="0"/>
                    <w:keepLines w:val="0"/>
                    <w:widowControl/>
                    <w:suppressLineNumbers w:val="0"/>
                    <w:jc w:val="center"/>
                    <w:textAlignment w:val="center"/>
                    <w:rPr>
                      <w:rFonts w:hint="default"/>
                      <w:color w:val="auto"/>
                      <w:sz w:val="21"/>
                      <w:szCs w:val="21"/>
                      <w:lang w:val="en-US" w:eastAsia="zh-CN"/>
                    </w:rPr>
                  </w:pPr>
                  <w:r>
                    <w:rPr>
                      <w:rFonts w:hint="eastAsia"/>
                      <w:color w:val="auto"/>
                      <w:sz w:val="21"/>
                      <w:szCs w:val="21"/>
                      <w:lang w:val="en-US" w:eastAsia="zh-CN"/>
                    </w:rPr>
                    <w:t>0.013</w:t>
                  </w:r>
                </w:p>
              </w:tc>
              <w:tc>
                <w:tcPr>
                  <w:tcW w:w="1007" w:type="dxa"/>
                  <w:noWrap w:val="0"/>
                  <w:vAlign w:val="center"/>
                </w:tcPr>
                <w:p w14:paraId="14760D10">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c>
                <w:tcPr>
                  <w:tcW w:w="1024" w:type="dxa"/>
                  <w:noWrap w:val="0"/>
                  <w:vAlign w:val="center"/>
                </w:tcPr>
                <w:p w14:paraId="7D7E545B">
                  <w:pPr>
                    <w:keepNext w:val="0"/>
                    <w:keepLines w:val="0"/>
                    <w:widowControl/>
                    <w:suppressLineNumbers w:val="0"/>
                    <w:jc w:val="center"/>
                    <w:textAlignment w:val="center"/>
                    <w:rPr>
                      <w:rFonts w:hint="default"/>
                      <w:color w:val="auto"/>
                      <w:sz w:val="21"/>
                      <w:szCs w:val="21"/>
                      <w:lang w:val="en-US" w:eastAsia="zh-CN"/>
                    </w:rPr>
                  </w:pPr>
                  <w:r>
                    <w:rPr>
                      <w:rFonts w:hint="eastAsia"/>
                      <w:color w:val="auto"/>
                      <w:sz w:val="21"/>
                      <w:szCs w:val="21"/>
                      <w:lang w:val="en-US" w:eastAsia="zh-CN"/>
                    </w:rPr>
                    <w:t>0.013</w:t>
                  </w:r>
                </w:p>
              </w:tc>
              <w:tc>
                <w:tcPr>
                  <w:tcW w:w="2385" w:type="dxa"/>
                  <w:noWrap w:val="0"/>
                  <w:vAlign w:val="center"/>
                </w:tcPr>
                <w:p w14:paraId="763CEB9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0.0054</w:t>
                  </w:r>
                </w:p>
              </w:tc>
            </w:tr>
            <w:tr w14:paraId="24B038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548" w:type="dxa"/>
                  <w:vMerge w:val="continue"/>
                  <w:noWrap w:val="0"/>
                  <w:vAlign w:val="center"/>
                </w:tcPr>
                <w:p w14:paraId="35D041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991" w:type="dxa"/>
                  <w:vMerge w:val="continue"/>
                  <w:noWrap w:val="0"/>
                  <w:vAlign w:val="center"/>
                </w:tcPr>
                <w:p w14:paraId="4CC0DA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1445" w:type="dxa"/>
                  <w:noWrap w:val="0"/>
                  <w:vAlign w:val="center"/>
                </w:tcPr>
                <w:p w14:paraId="0BA4EB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TP</w:t>
                  </w:r>
                </w:p>
              </w:tc>
              <w:tc>
                <w:tcPr>
                  <w:tcW w:w="957" w:type="dxa"/>
                  <w:noWrap w:val="0"/>
                  <w:vAlign w:val="center"/>
                </w:tcPr>
                <w:p w14:paraId="5A4F37ED">
                  <w:pPr>
                    <w:keepNext w:val="0"/>
                    <w:keepLines w:val="0"/>
                    <w:widowControl/>
                    <w:suppressLineNumbers w:val="0"/>
                    <w:jc w:val="center"/>
                    <w:textAlignment w:val="center"/>
                    <w:rPr>
                      <w:rFonts w:hint="default"/>
                      <w:color w:val="auto"/>
                      <w:sz w:val="21"/>
                      <w:szCs w:val="21"/>
                      <w:lang w:val="en-US" w:eastAsia="zh-CN"/>
                    </w:rPr>
                  </w:pPr>
                  <w:r>
                    <w:rPr>
                      <w:rFonts w:hint="eastAsia"/>
                      <w:color w:val="auto"/>
                      <w:sz w:val="21"/>
                      <w:szCs w:val="21"/>
                      <w:lang w:val="en-US" w:eastAsia="zh-CN"/>
                    </w:rPr>
                    <w:t>0.001</w:t>
                  </w:r>
                </w:p>
              </w:tc>
              <w:tc>
                <w:tcPr>
                  <w:tcW w:w="1007" w:type="dxa"/>
                  <w:noWrap w:val="0"/>
                  <w:vAlign w:val="center"/>
                </w:tcPr>
                <w:p w14:paraId="719C5D72">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c>
                <w:tcPr>
                  <w:tcW w:w="1024" w:type="dxa"/>
                  <w:noWrap w:val="0"/>
                  <w:vAlign w:val="center"/>
                </w:tcPr>
                <w:p w14:paraId="404C70B7">
                  <w:pPr>
                    <w:keepNext w:val="0"/>
                    <w:keepLines w:val="0"/>
                    <w:widowControl/>
                    <w:suppressLineNumbers w:val="0"/>
                    <w:jc w:val="center"/>
                    <w:textAlignment w:val="center"/>
                    <w:rPr>
                      <w:rFonts w:hint="default"/>
                      <w:color w:val="auto"/>
                      <w:sz w:val="21"/>
                      <w:szCs w:val="21"/>
                      <w:lang w:val="en-US" w:eastAsia="zh-CN"/>
                    </w:rPr>
                  </w:pPr>
                  <w:r>
                    <w:rPr>
                      <w:rFonts w:hint="eastAsia"/>
                      <w:color w:val="auto"/>
                      <w:sz w:val="21"/>
                      <w:szCs w:val="21"/>
                      <w:lang w:val="en-US" w:eastAsia="zh-CN"/>
                    </w:rPr>
                    <w:t>0.001</w:t>
                  </w:r>
                </w:p>
              </w:tc>
              <w:tc>
                <w:tcPr>
                  <w:tcW w:w="2385" w:type="dxa"/>
                  <w:noWrap w:val="0"/>
                  <w:vAlign w:val="center"/>
                </w:tcPr>
                <w:p w14:paraId="4F38702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0.000</w:t>
                  </w:r>
                  <w:r>
                    <w:rPr>
                      <w:rFonts w:hint="eastAsia" w:ascii="Times New Roman" w:hAnsi="Times New Roman" w:cs="宋体"/>
                      <w:i w:val="0"/>
                      <w:iCs w:val="0"/>
                      <w:color w:val="000000"/>
                      <w:kern w:val="0"/>
                      <w:sz w:val="22"/>
                      <w:szCs w:val="22"/>
                      <w:u w:val="none"/>
                      <w:lang w:val="en-US" w:eastAsia="zh-CN" w:bidi="ar"/>
                    </w:rPr>
                    <w:t>2</w:t>
                  </w:r>
                </w:p>
              </w:tc>
            </w:tr>
            <w:tr w14:paraId="4AE3CD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exact"/>
              </w:trPr>
              <w:tc>
                <w:tcPr>
                  <w:tcW w:w="548" w:type="dxa"/>
                  <w:vMerge w:val="restart"/>
                  <w:noWrap w:val="0"/>
                  <w:vAlign w:val="center"/>
                </w:tcPr>
                <w:p w14:paraId="05FBDD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r>
                    <w:rPr>
                      <w:rFonts w:hint="eastAsia" w:cs="宋体"/>
                      <w:color w:val="auto"/>
                      <w:kern w:val="0"/>
                      <w:szCs w:val="21"/>
                    </w:rPr>
                    <w:t>固废</w:t>
                  </w:r>
                </w:p>
              </w:tc>
              <w:tc>
                <w:tcPr>
                  <w:tcW w:w="2436" w:type="dxa"/>
                  <w:gridSpan w:val="2"/>
                  <w:noWrap w:val="0"/>
                  <w:vAlign w:val="center"/>
                </w:tcPr>
                <w:p w14:paraId="4889C0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r>
                    <w:rPr>
                      <w:rFonts w:hint="eastAsia" w:cs="宋体"/>
                      <w:color w:val="auto"/>
                      <w:kern w:val="0"/>
                      <w:szCs w:val="21"/>
                      <w:lang w:val="en-US" w:eastAsia="zh-CN"/>
                    </w:rPr>
                    <w:t>一般工业固废</w:t>
                  </w:r>
                </w:p>
              </w:tc>
              <w:tc>
                <w:tcPr>
                  <w:tcW w:w="957" w:type="dxa"/>
                  <w:noWrap w:val="0"/>
                  <w:vAlign w:val="center"/>
                </w:tcPr>
                <w:p w14:paraId="2EF3240C">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86.4</w:t>
                  </w:r>
                </w:p>
              </w:tc>
              <w:tc>
                <w:tcPr>
                  <w:tcW w:w="1007" w:type="dxa"/>
                  <w:noWrap w:val="0"/>
                  <w:vAlign w:val="center"/>
                </w:tcPr>
                <w:p w14:paraId="728F7190">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86.4</w:t>
                  </w:r>
                </w:p>
              </w:tc>
              <w:tc>
                <w:tcPr>
                  <w:tcW w:w="1024" w:type="dxa"/>
                  <w:noWrap w:val="0"/>
                  <w:vAlign w:val="center"/>
                </w:tcPr>
                <w:p w14:paraId="05CE16A7">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2385" w:type="dxa"/>
                  <w:noWrap w:val="0"/>
                  <w:vAlign w:val="center"/>
                </w:tcPr>
                <w:p w14:paraId="1A36D666">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r>
            <w:tr w14:paraId="449C19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exact"/>
              </w:trPr>
              <w:tc>
                <w:tcPr>
                  <w:tcW w:w="548" w:type="dxa"/>
                  <w:vMerge w:val="continue"/>
                  <w:noWrap w:val="0"/>
                  <w:vAlign w:val="center"/>
                </w:tcPr>
                <w:p w14:paraId="012B4B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auto"/>
                      <w:kern w:val="0"/>
                      <w:szCs w:val="21"/>
                    </w:rPr>
                  </w:pPr>
                </w:p>
              </w:tc>
              <w:tc>
                <w:tcPr>
                  <w:tcW w:w="2436" w:type="dxa"/>
                  <w:gridSpan w:val="2"/>
                  <w:noWrap w:val="0"/>
                  <w:vAlign w:val="center"/>
                </w:tcPr>
                <w:p w14:paraId="54C210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color w:val="auto"/>
                      <w:kern w:val="0"/>
                      <w:szCs w:val="21"/>
                      <w:lang w:val="en-US" w:eastAsia="zh-CN"/>
                    </w:rPr>
                  </w:pPr>
                  <w:r>
                    <w:rPr>
                      <w:rFonts w:hint="eastAsia" w:cs="宋体"/>
                      <w:color w:val="auto"/>
                      <w:kern w:val="0"/>
                      <w:szCs w:val="21"/>
                      <w:lang w:val="en-US" w:eastAsia="zh-CN"/>
                    </w:rPr>
                    <w:t>危险固废</w:t>
                  </w:r>
                </w:p>
              </w:tc>
              <w:tc>
                <w:tcPr>
                  <w:tcW w:w="957" w:type="dxa"/>
                  <w:noWrap w:val="0"/>
                  <w:vAlign w:val="center"/>
                </w:tcPr>
                <w:p w14:paraId="79CFA086">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2.96</w:t>
                  </w:r>
                </w:p>
              </w:tc>
              <w:tc>
                <w:tcPr>
                  <w:tcW w:w="1007" w:type="dxa"/>
                  <w:noWrap w:val="0"/>
                  <w:vAlign w:val="center"/>
                </w:tcPr>
                <w:p w14:paraId="039499A2">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2.96</w:t>
                  </w:r>
                </w:p>
              </w:tc>
              <w:tc>
                <w:tcPr>
                  <w:tcW w:w="1024" w:type="dxa"/>
                  <w:noWrap w:val="0"/>
                  <w:vAlign w:val="center"/>
                </w:tcPr>
                <w:p w14:paraId="1F9C865D">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2385" w:type="dxa"/>
                  <w:noWrap w:val="0"/>
                  <w:vAlign w:val="center"/>
                </w:tcPr>
                <w:p w14:paraId="2C5F03FF">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r>
            <w:tr w14:paraId="08339F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exact"/>
              </w:trPr>
              <w:tc>
                <w:tcPr>
                  <w:tcW w:w="548" w:type="dxa"/>
                  <w:vMerge w:val="continue"/>
                  <w:noWrap w:val="0"/>
                  <w:vAlign w:val="center"/>
                </w:tcPr>
                <w:p w14:paraId="4C7148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auto"/>
                      <w:kern w:val="0"/>
                      <w:szCs w:val="21"/>
                    </w:rPr>
                  </w:pPr>
                </w:p>
              </w:tc>
              <w:tc>
                <w:tcPr>
                  <w:tcW w:w="2436" w:type="dxa"/>
                  <w:gridSpan w:val="2"/>
                  <w:noWrap w:val="0"/>
                  <w:vAlign w:val="center"/>
                </w:tcPr>
                <w:p w14:paraId="20EE04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s="宋体"/>
                      <w:color w:val="auto"/>
                      <w:kern w:val="0"/>
                      <w:szCs w:val="21"/>
                      <w:lang w:eastAsia="zh-CN"/>
                    </w:rPr>
                  </w:pPr>
                  <w:r>
                    <w:rPr>
                      <w:rFonts w:hint="eastAsia" w:cs="宋体"/>
                      <w:color w:val="auto"/>
                      <w:kern w:val="0"/>
                      <w:szCs w:val="21"/>
                      <w:lang w:val="en-US" w:eastAsia="zh-CN"/>
                    </w:rPr>
                    <w:t>生活垃圾</w:t>
                  </w:r>
                </w:p>
              </w:tc>
              <w:tc>
                <w:tcPr>
                  <w:tcW w:w="957" w:type="dxa"/>
                  <w:noWrap w:val="0"/>
                  <w:vAlign w:val="center"/>
                </w:tcPr>
                <w:p w14:paraId="7BDC911B">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4.5</w:t>
                  </w:r>
                </w:p>
              </w:tc>
              <w:tc>
                <w:tcPr>
                  <w:tcW w:w="1007" w:type="dxa"/>
                  <w:noWrap w:val="0"/>
                  <w:vAlign w:val="center"/>
                </w:tcPr>
                <w:p w14:paraId="178C2BFE">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4.5</w:t>
                  </w:r>
                </w:p>
              </w:tc>
              <w:tc>
                <w:tcPr>
                  <w:tcW w:w="1024" w:type="dxa"/>
                  <w:noWrap w:val="0"/>
                  <w:vAlign w:val="center"/>
                </w:tcPr>
                <w:p w14:paraId="0A1BA23D">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2385" w:type="dxa"/>
                  <w:noWrap w:val="0"/>
                  <w:vAlign w:val="center"/>
                </w:tcPr>
                <w:p w14:paraId="30F0254B">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w:t>
                  </w:r>
                </w:p>
              </w:tc>
            </w:tr>
          </w:tbl>
          <w:p w14:paraId="5889C44D">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2"/>
              <w:jc w:val="both"/>
              <w:textAlignment w:val="auto"/>
              <w:rPr>
                <w:b w:val="0"/>
                <w:bCs w:val="0"/>
                <w:color w:val="auto"/>
              </w:rPr>
            </w:pPr>
            <w:r>
              <w:rPr>
                <w:b w:val="0"/>
                <w:bCs w:val="0"/>
                <w:color w:val="auto"/>
              </w:rPr>
              <w:t>2、总量控制指标</w:t>
            </w:r>
          </w:p>
          <w:p w14:paraId="0C1B37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根据《江苏省排污权有偿使用和交易管理暂行办法》和《江苏省排污权有偿使用和交易实施细则（试行）》，</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按照《固定污染源排污许可分类管理名录（2019年版）》，在排污许可证中载明许可排放量的排污单位，应在申领排污许可证时取得排污权。</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对照《固定污染源排污许可分类管理名录（2019年版）》，本项目</w:t>
            </w:r>
            <w:r>
              <w:rPr>
                <w:rFonts w:hint="eastAsia" w:cs="Times New Roman"/>
                <w:color w:val="auto"/>
                <w:sz w:val="24"/>
                <w:lang w:eastAsia="zh-CN"/>
              </w:rPr>
              <w:t>属于</w:t>
            </w:r>
            <w:r>
              <w:rPr>
                <w:rFonts w:hint="eastAsia" w:cs="Times New Roman"/>
                <w:color w:val="auto"/>
                <w:sz w:val="24"/>
                <w:lang w:val="en-US" w:eastAsia="zh-CN"/>
              </w:rPr>
              <w:t>名录中“65玻璃制造 304”中的“特种玻璃制造3042”类别，应进行简化管理</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建设项目管理类别详见下表：</w:t>
            </w:r>
          </w:p>
          <w:p w14:paraId="7C2049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vertAlign w:val="baseline"/>
                <w:lang w:val="en-US" w:eastAsia="zh-CN"/>
              </w:rPr>
            </w:pPr>
            <w:r>
              <w:rPr>
                <w:rFonts w:hint="default" w:ascii="Times New Roman" w:hAnsi="Times New Roman" w:eastAsia="宋体" w:cs="Times New Roman"/>
                <w:b/>
                <w:bCs/>
                <w:color w:val="auto"/>
                <w:sz w:val="21"/>
                <w:szCs w:val="24"/>
              </w:rPr>
              <w:t>表3-</w:t>
            </w:r>
            <w:r>
              <w:rPr>
                <w:rFonts w:hint="eastAsia" w:cs="Times New Roman"/>
                <w:b/>
                <w:bCs/>
                <w:color w:val="auto"/>
                <w:sz w:val="21"/>
                <w:szCs w:val="24"/>
                <w:lang w:val="en-US" w:eastAsia="zh-CN"/>
              </w:rPr>
              <w:t xml:space="preserve">9  </w:t>
            </w:r>
            <w:r>
              <w:rPr>
                <w:rFonts w:hint="default" w:ascii="Times New Roman" w:hAnsi="Times New Roman" w:eastAsia="宋体" w:cs="Times New Roman"/>
                <w:b/>
                <w:bCs/>
                <w:color w:val="auto"/>
                <w:sz w:val="21"/>
                <w:szCs w:val="24"/>
                <w:lang w:val="en-US" w:eastAsia="zh-CN"/>
              </w:rPr>
              <w:t>建设</w:t>
            </w:r>
            <w:r>
              <w:rPr>
                <w:rFonts w:hint="default" w:ascii="Times New Roman" w:hAnsi="Times New Roman" w:eastAsia="宋体" w:cs="Times New Roman"/>
                <w:b/>
                <w:bCs/>
                <w:color w:val="auto"/>
                <w:sz w:val="21"/>
                <w:szCs w:val="24"/>
              </w:rPr>
              <w:t>项目</w:t>
            </w:r>
            <w:r>
              <w:rPr>
                <w:rFonts w:hint="default" w:ascii="Times New Roman" w:hAnsi="Times New Roman" w:eastAsia="宋体" w:cs="Times New Roman"/>
                <w:b/>
                <w:bCs/>
                <w:color w:val="auto"/>
                <w:sz w:val="21"/>
                <w:szCs w:val="24"/>
                <w:lang w:val="en-US" w:eastAsia="zh-CN"/>
              </w:rPr>
              <w:t>排污许可分类管理类别</w:t>
            </w:r>
          </w:p>
          <w:tbl>
            <w:tblPr>
              <w:tblStyle w:val="23"/>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196"/>
              <w:gridCol w:w="1560"/>
              <w:gridCol w:w="1845"/>
              <w:gridCol w:w="1755"/>
              <w:gridCol w:w="1498"/>
            </w:tblGrid>
            <w:tr w14:paraId="5BB329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14:paraId="291FC2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序号</w:t>
                  </w:r>
                </w:p>
              </w:tc>
              <w:tc>
                <w:tcPr>
                  <w:tcW w:w="1196" w:type="dxa"/>
                  <w:vAlign w:val="center"/>
                </w:tcPr>
                <w:p w14:paraId="7D2E19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行业</w:t>
                  </w:r>
                </w:p>
                <w:p w14:paraId="0C055D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类别</w:t>
                  </w:r>
                </w:p>
              </w:tc>
              <w:tc>
                <w:tcPr>
                  <w:tcW w:w="1560" w:type="dxa"/>
                  <w:vAlign w:val="center"/>
                </w:tcPr>
                <w:p w14:paraId="63B67A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重点管理</w:t>
                  </w:r>
                </w:p>
              </w:tc>
              <w:tc>
                <w:tcPr>
                  <w:tcW w:w="1845" w:type="dxa"/>
                  <w:vAlign w:val="center"/>
                </w:tcPr>
                <w:p w14:paraId="081D68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简化管理</w:t>
                  </w:r>
                </w:p>
              </w:tc>
              <w:tc>
                <w:tcPr>
                  <w:tcW w:w="1755" w:type="dxa"/>
                  <w:vAlign w:val="center"/>
                </w:tcPr>
                <w:p w14:paraId="2CEDC2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登记管理</w:t>
                  </w:r>
                </w:p>
              </w:tc>
              <w:tc>
                <w:tcPr>
                  <w:tcW w:w="1498" w:type="dxa"/>
                  <w:vAlign w:val="center"/>
                </w:tcPr>
                <w:p w14:paraId="1BB738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本项目情况</w:t>
                  </w:r>
                </w:p>
              </w:tc>
            </w:tr>
            <w:tr w14:paraId="5A4ED1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14:paraId="4E72B4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65</w:t>
                  </w:r>
                </w:p>
              </w:tc>
              <w:tc>
                <w:tcPr>
                  <w:tcW w:w="1196" w:type="dxa"/>
                  <w:vAlign w:val="center"/>
                </w:tcPr>
                <w:p w14:paraId="0E17EC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玻璃制造304</w:t>
                  </w:r>
                </w:p>
              </w:tc>
              <w:tc>
                <w:tcPr>
                  <w:tcW w:w="1560" w:type="dxa"/>
                  <w:vAlign w:val="center"/>
                </w:tcPr>
                <w:p w14:paraId="266155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平板玻璃制造3041</w:t>
                  </w:r>
                </w:p>
              </w:tc>
              <w:tc>
                <w:tcPr>
                  <w:tcW w:w="1845" w:type="dxa"/>
                  <w:vAlign w:val="center"/>
                </w:tcPr>
                <w:p w14:paraId="737046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特种玻璃制造3042</w:t>
                  </w:r>
                </w:p>
              </w:tc>
              <w:tc>
                <w:tcPr>
                  <w:tcW w:w="1755" w:type="dxa"/>
                  <w:vAlign w:val="center"/>
                </w:tcPr>
                <w:p w14:paraId="06F1AB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其他玻璃制造3049</w:t>
                  </w:r>
                </w:p>
              </w:tc>
              <w:tc>
                <w:tcPr>
                  <w:tcW w:w="1498" w:type="dxa"/>
                  <w:vAlign w:val="center"/>
                </w:tcPr>
                <w:p w14:paraId="598A94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属于简化管理</w:t>
                  </w:r>
                </w:p>
              </w:tc>
            </w:tr>
          </w:tbl>
          <w:p w14:paraId="2724F102">
            <w:pPr>
              <w:pStyle w:val="6"/>
              <w:keepNext w:val="0"/>
              <w:keepLines w:val="0"/>
              <w:pageBreakBefore w:val="0"/>
              <w:widowControl w:val="0"/>
              <w:kinsoku/>
              <w:wordWrap/>
              <w:overflowPunct/>
              <w:topLinePunct w:val="0"/>
              <w:autoSpaceDE/>
              <w:autoSpaceDN/>
              <w:bidi w:val="0"/>
              <w:spacing w:after="0" w:line="360" w:lineRule="auto"/>
              <w:ind w:left="0" w:leftChars="0" w:firstLine="480"/>
              <w:jc w:val="both"/>
              <w:textAlignment w:val="auto"/>
              <w:rPr>
                <w:rFonts w:hint="eastAsia"/>
                <w:color w:val="auto"/>
                <w:lang w:val="en-US" w:eastAsia="zh-CN"/>
              </w:rPr>
            </w:pPr>
            <w:r>
              <w:rPr>
                <w:rFonts w:hint="eastAsia"/>
                <w:color w:val="auto"/>
                <w:lang w:val="en-US" w:eastAsia="zh-CN"/>
              </w:rPr>
              <w:t>根据上表可知，本项目在投入运行前，应按照排污许可证管理规定，进行排污许可简化管理申报。</w:t>
            </w:r>
          </w:p>
          <w:p w14:paraId="662A7582">
            <w:pPr>
              <w:pStyle w:val="6"/>
              <w:keepNext w:val="0"/>
              <w:keepLines w:val="0"/>
              <w:pageBreakBefore w:val="0"/>
              <w:widowControl w:val="0"/>
              <w:kinsoku/>
              <w:wordWrap/>
              <w:overflowPunct/>
              <w:topLinePunct w:val="0"/>
              <w:autoSpaceDE/>
              <w:autoSpaceDN/>
              <w:bidi w:val="0"/>
              <w:spacing w:after="0" w:line="360" w:lineRule="auto"/>
              <w:ind w:left="0" w:leftChars="0" w:firstLine="480"/>
              <w:jc w:val="both"/>
              <w:textAlignment w:val="auto"/>
              <w:rPr>
                <w:color w:val="auto"/>
              </w:rPr>
            </w:pPr>
            <w:r>
              <w:rPr>
                <w:color w:val="auto"/>
              </w:rPr>
              <w:t>结合本项目排污特征，确定本项目总量控制指标如下：</w:t>
            </w:r>
          </w:p>
          <w:p w14:paraId="3506C9E0">
            <w:pPr>
              <w:pStyle w:val="6"/>
              <w:keepNext w:val="0"/>
              <w:keepLines w:val="0"/>
              <w:pageBreakBefore w:val="0"/>
              <w:widowControl w:val="0"/>
              <w:kinsoku/>
              <w:wordWrap/>
              <w:overflowPunct/>
              <w:topLinePunct w:val="0"/>
              <w:autoSpaceDE/>
              <w:autoSpaceDN/>
              <w:bidi w:val="0"/>
              <w:spacing w:after="0" w:line="360" w:lineRule="auto"/>
              <w:ind w:left="0" w:leftChars="0" w:firstLine="480"/>
              <w:jc w:val="both"/>
              <w:textAlignment w:val="auto"/>
              <w:rPr>
                <w:rFonts w:hint="eastAsia"/>
                <w:color w:val="auto"/>
                <w:lang w:val="en-US" w:eastAsia="zh-CN"/>
              </w:rPr>
            </w:pPr>
            <w:r>
              <w:rPr>
                <w:color w:val="auto"/>
              </w:rPr>
              <w:t>废气：</w:t>
            </w:r>
            <w:r>
              <w:rPr>
                <w:rFonts w:hint="eastAsia"/>
                <w:color w:val="auto"/>
                <w:lang w:val="en-US" w:eastAsia="zh-CN"/>
              </w:rPr>
              <w:t>非甲烷总烃控制总量为0.108t/a（有组织0.051t/a，无组织0.057t/a），空气污染物总量在涟水县内平衡。</w:t>
            </w:r>
          </w:p>
          <w:p w14:paraId="77E14FFD">
            <w:pPr>
              <w:pStyle w:val="6"/>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480"/>
              <w:jc w:val="both"/>
              <w:textAlignment w:val="auto"/>
              <w:rPr>
                <w:color w:val="auto"/>
              </w:rPr>
            </w:pPr>
            <w:r>
              <w:rPr>
                <w:color w:val="auto"/>
              </w:rPr>
              <w:t>废水：</w:t>
            </w:r>
            <w:r>
              <w:rPr>
                <w:rFonts w:hint="eastAsia"/>
                <w:color w:val="auto"/>
                <w:lang w:val="en-US" w:eastAsia="zh-CN"/>
              </w:rPr>
              <w:t>废水总量为360t/a，废水总量控制因子为：COD、NH</w:t>
            </w:r>
            <w:r>
              <w:rPr>
                <w:rFonts w:hint="eastAsia"/>
                <w:color w:val="auto"/>
                <w:vertAlign w:val="subscript"/>
                <w:lang w:val="en-US" w:eastAsia="zh-CN"/>
              </w:rPr>
              <w:t>3</w:t>
            </w:r>
            <w:r>
              <w:rPr>
                <w:rFonts w:hint="eastAsia"/>
                <w:color w:val="auto"/>
                <w:lang w:val="en-US" w:eastAsia="zh-CN"/>
              </w:rPr>
              <w:t>-N、TP和TN，</w:t>
            </w:r>
            <w:r>
              <w:rPr>
                <w:rFonts w:hint="eastAsia"/>
                <w:color w:val="auto"/>
              </w:rPr>
              <w:t>废水接管量为：COD</w:t>
            </w:r>
            <w:r>
              <w:rPr>
                <w:rFonts w:hint="eastAsia"/>
                <w:color w:val="auto"/>
                <w:lang w:val="en-US" w:eastAsia="zh-CN"/>
              </w:rPr>
              <w:t>0.09</w:t>
            </w:r>
            <w:r>
              <w:rPr>
                <w:rFonts w:hint="eastAsia"/>
                <w:color w:val="auto"/>
              </w:rPr>
              <w:t>t/a</w:t>
            </w:r>
            <w:r>
              <w:rPr>
                <w:rFonts w:hint="eastAsia"/>
                <w:color w:val="auto"/>
                <w:lang w:val="en-US" w:eastAsia="zh-CN"/>
              </w:rPr>
              <w:t>、NH</w:t>
            </w:r>
            <w:r>
              <w:rPr>
                <w:rFonts w:hint="eastAsia"/>
                <w:color w:val="auto"/>
                <w:vertAlign w:val="subscript"/>
                <w:lang w:val="en-US" w:eastAsia="zh-CN"/>
              </w:rPr>
              <w:t>3</w:t>
            </w:r>
            <w:r>
              <w:rPr>
                <w:rFonts w:hint="eastAsia"/>
                <w:color w:val="auto"/>
                <w:lang w:val="en-US" w:eastAsia="zh-CN"/>
              </w:rPr>
              <w:t>-N0.009</w:t>
            </w:r>
            <w:r>
              <w:rPr>
                <w:rFonts w:hint="eastAsia"/>
                <w:color w:val="auto"/>
              </w:rPr>
              <w:t>t/a、</w:t>
            </w:r>
            <w:r>
              <w:rPr>
                <w:rFonts w:hint="eastAsia"/>
                <w:color w:val="auto"/>
                <w:lang w:val="en-US" w:eastAsia="zh-CN"/>
              </w:rPr>
              <w:t>TN0.013t</w:t>
            </w:r>
            <w:r>
              <w:rPr>
                <w:rFonts w:hint="eastAsia"/>
                <w:color w:val="auto"/>
              </w:rPr>
              <w:t>/a、</w:t>
            </w:r>
            <w:r>
              <w:rPr>
                <w:rFonts w:hint="eastAsia"/>
                <w:color w:val="auto"/>
                <w:lang w:val="en-US" w:eastAsia="zh-CN"/>
              </w:rPr>
              <w:t>TP0.001</w:t>
            </w:r>
            <w:r>
              <w:rPr>
                <w:rFonts w:hint="eastAsia"/>
                <w:color w:val="auto"/>
              </w:rPr>
              <w:t>t/a；废水环境排放量为：COD</w:t>
            </w:r>
            <w:r>
              <w:rPr>
                <w:rFonts w:hint="eastAsia"/>
                <w:color w:val="auto"/>
                <w:lang w:val="en-US" w:eastAsia="zh-CN"/>
              </w:rPr>
              <w:t>0.018</w:t>
            </w:r>
            <w:r>
              <w:rPr>
                <w:rFonts w:hint="eastAsia"/>
                <w:color w:val="auto"/>
              </w:rPr>
              <w:t>t/a、</w:t>
            </w:r>
            <w:r>
              <w:rPr>
                <w:rFonts w:hint="eastAsia"/>
                <w:color w:val="auto"/>
                <w:lang w:val="en-US" w:eastAsia="zh-CN"/>
              </w:rPr>
              <w:t>NH</w:t>
            </w:r>
            <w:r>
              <w:rPr>
                <w:rFonts w:hint="eastAsia"/>
                <w:color w:val="auto"/>
                <w:vertAlign w:val="subscript"/>
                <w:lang w:val="en-US" w:eastAsia="zh-CN"/>
              </w:rPr>
              <w:t>3</w:t>
            </w:r>
            <w:r>
              <w:rPr>
                <w:rFonts w:hint="eastAsia"/>
                <w:color w:val="auto"/>
                <w:lang w:val="en-US" w:eastAsia="zh-CN"/>
              </w:rPr>
              <w:t>-N0.0018</w:t>
            </w:r>
            <w:r>
              <w:rPr>
                <w:rFonts w:hint="eastAsia"/>
                <w:color w:val="auto"/>
              </w:rPr>
              <w:t>t/a、</w:t>
            </w:r>
            <w:r>
              <w:rPr>
                <w:rFonts w:hint="eastAsia"/>
                <w:color w:val="auto"/>
                <w:lang w:val="en-US" w:eastAsia="zh-CN"/>
              </w:rPr>
              <w:t>TN0.0054t</w:t>
            </w:r>
            <w:r>
              <w:rPr>
                <w:rFonts w:hint="eastAsia"/>
                <w:color w:val="auto"/>
              </w:rPr>
              <w:t>/a、</w:t>
            </w:r>
            <w:r>
              <w:rPr>
                <w:rFonts w:hint="eastAsia"/>
                <w:color w:val="auto"/>
                <w:lang w:val="en-US" w:eastAsia="zh-CN"/>
              </w:rPr>
              <w:t>TP0.0002</w:t>
            </w:r>
            <w:r>
              <w:rPr>
                <w:rFonts w:hint="eastAsia"/>
                <w:color w:val="auto"/>
              </w:rPr>
              <w:t>t/a。</w:t>
            </w:r>
            <w:r>
              <w:rPr>
                <w:rFonts w:hint="eastAsia"/>
                <w:color w:val="auto"/>
                <w:lang w:val="en-US" w:eastAsia="zh-CN"/>
              </w:rPr>
              <w:t>废水在涟水经济开发区西区污水处理厂内平衡。</w:t>
            </w:r>
          </w:p>
          <w:p w14:paraId="293541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Cs w:val="21"/>
              </w:rPr>
            </w:pPr>
            <w:r>
              <w:rPr>
                <w:rFonts w:hint="eastAsia"/>
                <w:color w:val="auto"/>
                <w:sz w:val="24"/>
              </w:rPr>
              <w:t>固废：本项目的固体废物全部合理处置，可以实现零排放。</w:t>
            </w:r>
          </w:p>
        </w:tc>
      </w:tr>
    </w:tbl>
    <w:p w14:paraId="7E99B072">
      <w:pPr>
        <w:pStyle w:val="20"/>
        <w:jc w:val="center"/>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r>
        <w:rPr>
          <w:rFonts w:hint="eastAsia" w:ascii="黑体" w:hAnsi="黑体" w:eastAsia="黑体"/>
          <w:snapToGrid w:val="0"/>
          <w:color w:val="auto"/>
          <w:sz w:val="30"/>
          <w:szCs w:val="30"/>
        </w:rPr>
        <w:t>四、主要环境影响和保护措施</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456EC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9" w:hRule="atLeast"/>
          <w:jc w:val="center"/>
        </w:trPr>
        <w:tc>
          <w:tcPr>
            <w:tcW w:w="746" w:type="dxa"/>
            <w:noWrap w:val="0"/>
            <w:tcMar>
              <w:left w:w="28" w:type="dxa"/>
              <w:right w:w="28" w:type="dxa"/>
            </w:tcMar>
            <w:vAlign w:val="center"/>
          </w:tcPr>
          <w:p w14:paraId="1886FA60">
            <w:pPr>
              <w:pStyle w:val="20"/>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施工</w:t>
            </w:r>
          </w:p>
          <w:p w14:paraId="1D007DFB">
            <w:pPr>
              <w:pStyle w:val="20"/>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期环</w:t>
            </w:r>
          </w:p>
          <w:p w14:paraId="3822EF30">
            <w:pPr>
              <w:pStyle w:val="20"/>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境保</w:t>
            </w:r>
          </w:p>
          <w:p w14:paraId="43DF0627">
            <w:pPr>
              <w:pStyle w:val="20"/>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护措</w:t>
            </w:r>
          </w:p>
          <w:p w14:paraId="48AE3B09">
            <w:pPr>
              <w:pStyle w:val="20"/>
              <w:adjustRightInd w:val="0"/>
              <w:snapToGrid w:val="0"/>
              <w:spacing w:before="0" w:beforeAutospacing="0" w:after="0" w:afterAutospacing="0"/>
              <w:jc w:val="center"/>
              <w:rPr>
                <w:rFonts w:hint="eastAsia" w:cs="宋体"/>
                <w:bCs/>
                <w:color w:val="auto"/>
                <w:kern w:val="2"/>
                <w:sz w:val="21"/>
                <w:szCs w:val="21"/>
              </w:rPr>
            </w:pPr>
            <w:r>
              <w:rPr>
                <w:rFonts w:hint="eastAsia" w:cs="宋体"/>
                <w:color w:val="auto"/>
                <w:kern w:val="2"/>
                <w:sz w:val="21"/>
                <w:szCs w:val="21"/>
              </w:rPr>
              <w:t>施</w:t>
            </w:r>
          </w:p>
        </w:tc>
        <w:tc>
          <w:tcPr>
            <w:tcW w:w="8162" w:type="dxa"/>
            <w:noWrap w:val="0"/>
            <w:vAlign w:val="top"/>
          </w:tcPr>
          <w:p w14:paraId="74D86D88">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b w:val="0"/>
                <w:bCs/>
                <w:color w:val="auto"/>
              </w:rPr>
            </w:pPr>
            <w:r>
              <w:rPr>
                <w:rFonts w:hint="eastAsia"/>
                <w:color w:val="auto"/>
              </w:rPr>
              <w:t>本项目为</w:t>
            </w:r>
            <w:r>
              <w:rPr>
                <w:rFonts w:hint="eastAsia"/>
                <w:color w:val="auto"/>
                <w:lang w:val="en-US" w:eastAsia="zh-CN"/>
              </w:rPr>
              <w:t>租赁江苏涟水经济开发区</w:t>
            </w:r>
            <w:r>
              <w:rPr>
                <w:rFonts w:hint="eastAsia"/>
                <w:color w:val="auto"/>
              </w:rPr>
              <w:t>内现有空置厂房进行</w:t>
            </w:r>
            <w:r>
              <w:rPr>
                <w:rFonts w:hint="eastAsia"/>
                <w:color w:val="auto"/>
                <w:lang w:val="en-US" w:eastAsia="zh-CN"/>
              </w:rPr>
              <w:t>玻璃制品</w:t>
            </w:r>
            <w:r>
              <w:rPr>
                <w:rFonts w:hint="eastAsia"/>
                <w:color w:val="auto"/>
              </w:rPr>
              <w:t>的</w:t>
            </w:r>
            <w:r>
              <w:rPr>
                <w:rFonts w:hint="eastAsia"/>
                <w:color w:val="auto"/>
                <w:lang w:val="en-US" w:eastAsia="zh-CN"/>
              </w:rPr>
              <w:t>生产</w:t>
            </w:r>
            <w:r>
              <w:rPr>
                <w:rFonts w:hint="eastAsia"/>
                <w:color w:val="auto"/>
              </w:rPr>
              <w:t>，施工期主要为生产设备的安装与调试，施工期较短，对外界环境影响随着施工期的结束而结束，本次环评不对施工期进行评价。</w:t>
            </w:r>
          </w:p>
          <w:p w14:paraId="0EE8B5EB">
            <w:pPr>
              <w:pStyle w:val="2"/>
              <w:spacing w:line="240" w:lineRule="auto"/>
              <w:ind w:leftChars="0" w:firstLine="0" w:firstLineChars="0"/>
              <w:jc w:val="center"/>
              <w:rPr>
                <w:rFonts w:hint="eastAsia"/>
                <w:b w:val="0"/>
                <w:bCs/>
                <w:color w:val="auto"/>
              </w:rPr>
            </w:pPr>
          </w:p>
          <w:p w14:paraId="6BF45260">
            <w:pPr>
              <w:pStyle w:val="2"/>
              <w:ind w:left="0" w:leftChars="0" w:firstLine="0" w:firstLineChars="0"/>
              <w:jc w:val="center"/>
              <w:rPr>
                <w:rFonts w:hint="eastAsia"/>
                <w:b w:val="0"/>
                <w:bCs/>
                <w:color w:val="auto"/>
              </w:rPr>
            </w:pPr>
          </w:p>
          <w:p w14:paraId="401737C0">
            <w:pPr>
              <w:pStyle w:val="6"/>
              <w:ind w:firstLine="480"/>
              <w:jc w:val="center"/>
              <w:rPr>
                <w:rFonts w:hint="eastAsia"/>
                <w:b w:val="0"/>
                <w:bCs/>
                <w:color w:val="auto"/>
              </w:rPr>
            </w:pPr>
          </w:p>
          <w:p w14:paraId="72B3F509">
            <w:pPr>
              <w:pStyle w:val="2"/>
              <w:jc w:val="center"/>
              <w:rPr>
                <w:rFonts w:hint="eastAsia"/>
                <w:b w:val="0"/>
                <w:bCs/>
                <w:color w:val="auto"/>
              </w:rPr>
            </w:pPr>
          </w:p>
          <w:p w14:paraId="1299C83E">
            <w:pPr>
              <w:pStyle w:val="2"/>
              <w:ind w:left="0" w:leftChars="0" w:firstLine="0" w:firstLineChars="0"/>
              <w:jc w:val="center"/>
              <w:rPr>
                <w:color w:val="auto"/>
              </w:rPr>
            </w:pPr>
          </w:p>
          <w:p w14:paraId="586F4B8C">
            <w:pPr>
              <w:pStyle w:val="6"/>
              <w:rPr>
                <w:color w:val="auto"/>
              </w:rPr>
            </w:pPr>
          </w:p>
          <w:p w14:paraId="23183C43">
            <w:pPr>
              <w:pStyle w:val="2"/>
              <w:rPr>
                <w:color w:val="auto"/>
              </w:rPr>
            </w:pPr>
          </w:p>
          <w:p w14:paraId="56FBF7DC">
            <w:pPr>
              <w:pStyle w:val="6"/>
              <w:rPr>
                <w:color w:val="auto"/>
              </w:rPr>
            </w:pPr>
          </w:p>
          <w:p w14:paraId="5800A760">
            <w:pPr>
              <w:pStyle w:val="2"/>
              <w:rPr>
                <w:color w:val="auto"/>
              </w:rPr>
            </w:pPr>
          </w:p>
          <w:p w14:paraId="6AD4E132">
            <w:pPr>
              <w:pStyle w:val="6"/>
              <w:rPr>
                <w:color w:val="auto"/>
              </w:rPr>
            </w:pPr>
          </w:p>
          <w:p w14:paraId="5AAF7B15">
            <w:pPr>
              <w:pStyle w:val="2"/>
              <w:rPr>
                <w:color w:val="auto"/>
              </w:rPr>
            </w:pPr>
          </w:p>
          <w:p w14:paraId="1237A16C">
            <w:pPr>
              <w:pStyle w:val="6"/>
              <w:rPr>
                <w:color w:val="auto"/>
              </w:rPr>
            </w:pPr>
          </w:p>
          <w:p w14:paraId="5298888E">
            <w:pPr>
              <w:pStyle w:val="2"/>
              <w:rPr>
                <w:color w:val="auto"/>
              </w:rPr>
            </w:pPr>
          </w:p>
          <w:p w14:paraId="63415E3E">
            <w:pPr>
              <w:pStyle w:val="6"/>
              <w:rPr>
                <w:color w:val="auto"/>
              </w:rPr>
            </w:pPr>
          </w:p>
          <w:p w14:paraId="1FE87B7F">
            <w:pPr>
              <w:pStyle w:val="2"/>
              <w:rPr>
                <w:color w:val="auto"/>
              </w:rPr>
            </w:pPr>
          </w:p>
          <w:p w14:paraId="33CDEB5A">
            <w:pPr>
              <w:pStyle w:val="6"/>
              <w:rPr>
                <w:color w:val="auto"/>
              </w:rPr>
            </w:pPr>
          </w:p>
          <w:p w14:paraId="7C9ABA18">
            <w:pPr>
              <w:pStyle w:val="2"/>
              <w:rPr>
                <w:color w:val="auto"/>
              </w:rPr>
            </w:pPr>
          </w:p>
          <w:p w14:paraId="58F83028">
            <w:pPr>
              <w:pStyle w:val="6"/>
              <w:rPr>
                <w:color w:val="auto"/>
              </w:rPr>
            </w:pPr>
          </w:p>
          <w:p w14:paraId="261145D7">
            <w:pPr>
              <w:pStyle w:val="2"/>
              <w:rPr>
                <w:color w:val="auto"/>
              </w:rPr>
            </w:pPr>
          </w:p>
          <w:p w14:paraId="3A088B08">
            <w:pPr>
              <w:pStyle w:val="6"/>
              <w:rPr>
                <w:color w:val="auto"/>
              </w:rPr>
            </w:pPr>
          </w:p>
          <w:p w14:paraId="61EE6B54">
            <w:pPr>
              <w:pStyle w:val="2"/>
              <w:rPr>
                <w:color w:val="auto"/>
              </w:rPr>
            </w:pPr>
          </w:p>
          <w:p w14:paraId="0D3EBA0E">
            <w:pPr>
              <w:pStyle w:val="6"/>
              <w:rPr>
                <w:color w:val="auto"/>
              </w:rPr>
            </w:pPr>
          </w:p>
          <w:p w14:paraId="6CF775E5">
            <w:pPr>
              <w:pStyle w:val="2"/>
              <w:rPr>
                <w:color w:val="auto"/>
              </w:rPr>
            </w:pPr>
          </w:p>
        </w:tc>
      </w:tr>
      <w:tr w14:paraId="74047C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50" w:hRule="atLeast"/>
          <w:jc w:val="center"/>
        </w:trPr>
        <w:tc>
          <w:tcPr>
            <w:tcW w:w="746" w:type="dxa"/>
            <w:noWrap w:val="0"/>
            <w:tcMar>
              <w:left w:w="28" w:type="dxa"/>
              <w:right w:w="28" w:type="dxa"/>
            </w:tcMar>
            <w:vAlign w:val="center"/>
          </w:tcPr>
          <w:p w14:paraId="7562E3B5">
            <w:pPr>
              <w:adjustRightInd w:val="0"/>
              <w:snapToGrid w:val="0"/>
              <w:jc w:val="center"/>
              <w:rPr>
                <w:rFonts w:hint="eastAsia" w:ascii="宋体" w:hAnsi="宋体" w:cs="宋体"/>
                <w:bCs/>
                <w:color w:val="auto"/>
                <w:szCs w:val="21"/>
              </w:rPr>
            </w:pPr>
            <w:r>
              <w:rPr>
                <w:rFonts w:hint="eastAsia" w:ascii="宋体" w:hAnsi="宋体" w:cs="宋体"/>
                <w:bCs/>
                <w:color w:val="auto"/>
                <w:szCs w:val="21"/>
              </w:rPr>
              <w:t>运营</w:t>
            </w:r>
          </w:p>
          <w:p w14:paraId="00706970">
            <w:pPr>
              <w:adjustRightInd w:val="0"/>
              <w:snapToGrid w:val="0"/>
              <w:jc w:val="center"/>
              <w:rPr>
                <w:rFonts w:hint="eastAsia" w:ascii="宋体" w:hAnsi="宋体" w:cs="宋体"/>
                <w:bCs/>
                <w:color w:val="auto"/>
                <w:szCs w:val="21"/>
              </w:rPr>
            </w:pPr>
            <w:r>
              <w:rPr>
                <w:rFonts w:hint="eastAsia" w:ascii="宋体" w:hAnsi="宋体" w:cs="宋体"/>
                <w:bCs/>
                <w:color w:val="auto"/>
                <w:szCs w:val="21"/>
              </w:rPr>
              <w:t>期环</w:t>
            </w:r>
          </w:p>
          <w:p w14:paraId="7D48DE21">
            <w:pPr>
              <w:adjustRightInd w:val="0"/>
              <w:snapToGrid w:val="0"/>
              <w:jc w:val="center"/>
              <w:rPr>
                <w:rFonts w:hint="eastAsia" w:ascii="宋体" w:hAnsi="宋体" w:cs="宋体"/>
                <w:bCs/>
                <w:color w:val="auto"/>
                <w:szCs w:val="21"/>
              </w:rPr>
            </w:pPr>
            <w:r>
              <w:rPr>
                <w:rFonts w:hint="eastAsia" w:ascii="宋体" w:hAnsi="宋体" w:cs="宋体"/>
                <w:bCs/>
                <w:color w:val="auto"/>
                <w:szCs w:val="21"/>
              </w:rPr>
              <w:t>境影</w:t>
            </w:r>
          </w:p>
          <w:p w14:paraId="52A03613">
            <w:pPr>
              <w:adjustRightInd w:val="0"/>
              <w:snapToGrid w:val="0"/>
              <w:jc w:val="center"/>
              <w:rPr>
                <w:rFonts w:hint="eastAsia" w:ascii="宋体" w:hAnsi="宋体" w:cs="宋体"/>
                <w:bCs/>
                <w:color w:val="auto"/>
                <w:szCs w:val="21"/>
              </w:rPr>
            </w:pPr>
            <w:r>
              <w:rPr>
                <w:rFonts w:hint="eastAsia" w:ascii="宋体" w:hAnsi="宋体" w:cs="宋体"/>
                <w:bCs/>
                <w:color w:val="auto"/>
                <w:szCs w:val="21"/>
              </w:rPr>
              <w:t>响和</w:t>
            </w:r>
          </w:p>
          <w:p w14:paraId="15F06D78">
            <w:pPr>
              <w:adjustRightInd w:val="0"/>
              <w:snapToGrid w:val="0"/>
              <w:jc w:val="center"/>
              <w:rPr>
                <w:rFonts w:hint="eastAsia" w:ascii="宋体" w:hAnsi="宋体" w:cs="宋体"/>
                <w:bCs/>
                <w:color w:val="auto"/>
                <w:szCs w:val="21"/>
              </w:rPr>
            </w:pPr>
            <w:r>
              <w:rPr>
                <w:rFonts w:hint="eastAsia" w:ascii="宋体" w:hAnsi="宋体" w:cs="宋体"/>
                <w:bCs/>
                <w:color w:val="auto"/>
                <w:szCs w:val="21"/>
              </w:rPr>
              <w:t>保护</w:t>
            </w:r>
          </w:p>
          <w:p w14:paraId="12ECBA55">
            <w:pPr>
              <w:adjustRightInd w:val="0"/>
              <w:snapToGrid w:val="0"/>
              <w:jc w:val="center"/>
              <w:rPr>
                <w:rFonts w:ascii="宋体" w:hAnsi="宋体" w:cs="宋体"/>
                <w:bCs/>
                <w:color w:val="auto"/>
                <w:szCs w:val="21"/>
              </w:rPr>
            </w:pPr>
            <w:r>
              <w:rPr>
                <w:rFonts w:hint="eastAsia" w:ascii="宋体" w:hAnsi="宋体" w:cs="宋体"/>
                <w:bCs/>
                <w:color w:val="auto"/>
                <w:szCs w:val="21"/>
              </w:rPr>
              <w:t>措施</w:t>
            </w:r>
          </w:p>
        </w:tc>
        <w:tc>
          <w:tcPr>
            <w:tcW w:w="8162" w:type="dxa"/>
            <w:noWrap w:val="0"/>
            <w:vAlign w:val="center"/>
          </w:tcPr>
          <w:p w14:paraId="1E9FC372">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b/>
                <w:bCs/>
                <w:color w:val="auto"/>
                <w:sz w:val="24"/>
              </w:rPr>
            </w:pPr>
            <w:r>
              <w:rPr>
                <w:rFonts w:hint="eastAsia"/>
                <w:b/>
                <w:bCs/>
                <w:color w:val="auto"/>
                <w:sz w:val="24"/>
              </w:rPr>
              <w:t>一、废气</w:t>
            </w:r>
          </w:p>
          <w:p w14:paraId="3174BDF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eastAsia="宋体"/>
                <w:color w:val="auto"/>
                <w:sz w:val="24"/>
                <w:lang w:eastAsia="zh-CN"/>
              </w:rPr>
            </w:pPr>
            <w:r>
              <w:rPr>
                <w:rFonts w:hint="eastAsia"/>
                <w:color w:val="auto"/>
                <w:sz w:val="24"/>
              </w:rPr>
              <w:t>本项目营运期产生的废气污染物主要是</w:t>
            </w:r>
            <w:r>
              <w:rPr>
                <w:rFonts w:hint="eastAsia"/>
                <w:color w:val="auto"/>
                <w:sz w:val="24"/>
                <w:lang w:val="en-US" w:eastAsia="zh-CN"/>
              </w:rPr>
              <w:t>灌装合胶、密封、合片和加热工序产生的</w:t>
            </w:r>
            <w:r>
              <w:rPr>
                <w:rFonts w:hint="eastAsia"/>
                <w:color w:val="auto"/>
                <w:sz w:val="24"/>
              </w:rPr>
              <w:t>有机废气。具体分析如下</w:t>
            </w:r>
            <w:r>
              <w:rPr>
                <w:rFonts w:hint="eastAsia"/>
                <w:color w:val="auto"/>
                <w:sz w:val="24"/>
                <w:lang w:eastAsia="zh-CN"/>
              </w:rPr>
              <w:t>：</w:t>
            </w:r>
          </w:p>
          <w:p w14:paraId="50DAC48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eastAsia="宋体"/>
                <w:b w:val="0"/>
                <w:bCs w:val="0"/>
                <w:color w:val="auto"/>
                <w:sz w:val="24"/>
                <w:lang w:eastAsia="zh-CN"/>
              </w:rPr>
            </w:pPr>
            <w:r>
              <w:rPr>
                <w:rFonts w:hint="eastAsia"/>
                <w:b w:val="0"/>
                <w:bCs w:val="0"/>
                <w:color w:val="auto"/>
                <w:sz w:val="24"/>
              </w:rPr>
              <w:t>1、废气污染源强分析</w:t>
            </w:r>
          </w:p>
          <w:p w14:paraId="0EC9645E">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cs="Times New Roman"/>
                <w:color w:val="auto"/>
                <w:sz w:val="24"/>
                <w:lang w:eastAsia="zh-CN"/>
              </w:rPr>
            </w:pPr>
            <w:r>
              <w:rPr>
                <w:rFonts w:hint="eastAsia" w:cs="Times New Roman"/>
                <w:color w:val="auto"/>
                <w:sz w:val="24"/>
                <w:lang w:eastAsia="zh-CN"/>
              </w:rPr>
              <w:t>（1）非甲烷总烃（G</w:t>
            </w:r>
            <w:r>
              <w:rPr>
                <w:rFonts w:hint="eastAsia" w:cs="Times New Roman"/>
                <w:color w:val="auto"/>
                <w:sz w:val="24"/>
                <w:vertAlign w:val="subscript"/>
                <w:lang w:val="en-US" w:eastAsia="zh-CN"/>
              </w:rPr>
              <w:t>1</w:t>
            </w:r>
            <w:r>
              <w:rPr>
                <w:rFonts w:hint="eastAsia" w:cs="Times New Roman"/>
                <w:color w:val="auto"/>
                <w:sz w:val="24"/>
                <w:vertAlign w:val="subscript"/>
                <w:lang w:eastAsia="zh-CN"/>
              </w:rPr>
              <w:t>-1</w:t>
            </w:r>
            <w:r>
              <w:rPr>
                <w:rFonts w:hint="eastAsia" w:cs="Times New Roman"/>
                <w:color w:val="auto"/>
                <w:sz w:val="24"/>
                <w:lang w:eastAsia="zh-CN"/>
              </w:rPr>
              <w:t>、G</w:t>
            </w:r>
            <w:r>
              <w:rPr>
                <w:rFonts w:hint="eastAsia" w:cs="Times New Roman"/>
                <w:color w:val="auto"/>
                <w:sz w:val="24"/>
                <w:vertAlign w:val="subscript"/>
                <w:lang w:val="en-US" w:eastAsia="zh-CN"/>
              </w:rPr>
              <w:t>1</w:t>
            </w:r>
            <w:r>
              <w:rPr>
                <w:rFonts w:hint="eastAsia" w:cs="Times New Roman"/>
                <w:color w:val="auto"/>
                <w:sz w:val="24"/>
                <w:vertAlign w:val="subscript"/>
                <w:lang w:eastAsia="zh-CN"/>
              </w:rPr>
              <w:t>-2</w:t>
            </w:r>
            <w:r>
              <w:rPr>
                <w:rFonts w:hint="eastAsia" w:cs="Times New Roman"/>
                <w:color w:val="auto"/>
                <w:sz w:val="24"/>
                <w:lang w:eastAsia="zh-CN"/>
              </w:rPr>
              <w:t>）</w:t>
            </w:r>
          </w:p>
          <w:p w14:paraId="4538A40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cs="Times New Roman"/>
                <w:color w:val="auto"/>
                <w:sz w:val="24"/>
                <w:lang w:eastAsia="zh-CN"/>
              </w:rPr>
            </w:pPr>
            <w:r>
              <w:rPr>
                <w:rFonts w:hint="eastAsia" w:cs="Times New Roman"/>
                <w:color w:val="auto"/>
                <w:sz w:val="24"/>
                <w:lang w:val="en-US" w:eastAsia="zh-CN"/>
              </w:rPr>
              <w:t>灌装合胶</w:t>
            </w:r>
            <w:r>
              <w:rPr>
                <w:rFonts w:hint="eastAsia" w:cs="Times New Roman"/>
                <w:color w:val="auto"/>
                <w:sz w:val="24"/>
                <w:lang w:eastAsia="zh-CN"/>
              </w:rPr>
              <w:t>废气、</w:t>
            </w:r>
            <w:r>
              <w:rPr>
                <w:rFonts w:hint="eastAsia" w:cs="Times New Roman"/>
                <w:color w:val="auto"/>
                <w:sz w:val="24"/>
                <w:lang w:val="en-US" w:eastAsia="zh-CN"/>
              </w:rPr>
              <w:t>密封</w:t>
            </w:r>
            <w:r>
              <w:rPr>
                <w:rFonts w:hint="eastAsia" w:cs="Times New Roman"/>
                <w:color w:val="auto"/>
                <w:sz w:val="24"/>
                <w:lang w:eastAsia="zh-CN"/>
              </w:rPr>
              <w:t>废气</w:t>
            </w:r>
          </w:p>
          <w:p w14:paraId="38C43A6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cs="Times New Roman"/>
                <w:color w:val="auto"/>
                <w:sz w:val="24"/>
                <w:lang w:eastAsia="zh-CN"/>
              </w:rPr>
            </w:pPr>
            <w:r>
              <w:rPr>
                <w:rFonts w:hint="eastAsia" w:cs="Times New Roman"/>
                <w:color w:val="auto"/>
                <w:sz w:val="24"/>
                <w:lang w:val="en-US" w:eastAsia="zh-CN"/>
              </w:rPr>
              <w:t>迁建</w:t>
            </w:r>
            <w:r>
              <w:rPr>
                <w:rFonts w:hint="eastAsia" w:cs="Times New Roman"/>
                <w:color w:val="auto"/>
                <w:sz w:val="24"/>
                <w:lang w:eastAsia="zh-CN"/>
              </w:rPr>
              <w:t>项目中空玻璃制作过程中，需要使用丁基胶和硅酮胶，其中丁基热熔密封胶分子链中含有丁基，具有高度的稳定性，在使用过程中挥发物较少。参照《中空玻璃用丁基热熔密封胶》(JC/T914-2014)，丁基胶热失重≤0.75%，本次评价取用胶最大固化损失率，损失量全部作为有机废气排放，</w:t>
            </w:r>
            <w:r>
              <w:rPr>
                <w:rFonts w:hint="eastAsia" w:cs="Times New Roman"/>
                <w:color w:val="auto"/>
                <w:sz w:val="24"/>
                <w:lang w:val="en-US" w:eastAsia="zh-CN"/>
              </w:rPr>
              <w:t>迁建</w:t>
            </w:r>
            <w:r>
              <w:rPr>
                <w:rFonts w:hint="eastAsia" w:cs="Times New Roman"/>
                <w:color w:val="auto"/>
                <w:sz w:val="24"/>
                <w:lang w:eastAsia="zh-CN"/>
              </w:rPr>
              <w:t>项目年使用丁基胶</w:t>
            </w:r>
            <w:r>
              <w:rPr>
                <w:rFonts w:hint="eastAsia" w:cs="Times New Roman"/>
                <w:color w:val="auto"/>
                <w:sz w:val="24"/>
                <w:lang w:val="en-US" w:eastAsia="zh-CN"/>
              </w:rPr>
              <w:t>4</w:t>
            </w:r>
            <w:r>
              <w:rPr>
                <w:rFonts w:hint="eastAsia" w:cs="Times New Roman"/>
                <w:color w:val="auto"/>
                <w:sz w:val="24"/>
                <w:lang w:eastAsia="zh-CN"/>
              </w:rPr>
              <w:t>t/a，则项目</w:t>
            </w:r>
            <w:r>
              <w:rPr>
                <w:rFonts w:hint="eastAsia" w:cs="Times New Roman"/>
                <w:color w:val="auto"/>
                <w:sz w:val="24"/>
                <w:lang w:val="en-US" w:eastAsia="zh-CN"/>
              </w:rPr>
              <w:t>灌装合胶</w:t>
            </w:r>
            <w:r>
              <w:rPr>
                <w:rFonts w:hint="eastAsia" w:cs="Times New Roman"/>
                <w:color w:val="auto"/>
                <w:sz w:val="24"/>
                <w:lang w:eastAsia="zh-CN"/>
              </w:rPr>
              <w:t>过程非甲烷总烃产生量为0.0</w:t>
            </w:r>
            <w:r>
              <w:rPr>
                <w:rFonts w:hint="eastAsia" w:cs="Times New Roman"/>
                <w:color w:val="auto"/>
                <w:sz w:val="24"/>
                <w:lang w:val="en-US" w:eastAsia="zh-CN"/>
              </w:rPr>
              <w:t>3</w:t>
            </w:r>
            <w:r>
              <w:rPr>
                <w:rFonts w:hint="eastAsia" w:cs="Times New Roman"/>
                <w:color w:val="auto"/>
                <w:sz w:val="24"/>
                <w:lang w:eastAsia="zh-CN"/>
              </w:rPr>
              <w:t>t/a。根据硅酮胶检测报告，VOCs含量为13.2g/kg，硅酮胶用量为</w:t>
            </w:r>
            <w:r>
              <w:rPr>
                <w:rFonts w:hint="eastAsia" w:cs="Times New Roman"/>
                <w:color w:val="auto"/>
                <w:sz w:val="24"/>
                <w:lang w:val="en-US" w:eastAsia="zh-CN"/>
              </w:rPr>
              <w:t>32</w:t>
            </w:r>
            <w:r>
              <w:rPr>
                <w:rFonts w:hint="eastAsia" w:cs="Times New Roman"/>
                <w:color w:val="auto"/>
                <w:sz w:val="24"/>
                <w:lang w:eastAsia="zh-CN"/>
              </w:rPr>
              <w:t>t/a，则</w:t>
            </w:r>
            <w:r>
              <w:rPr>
                <w:rFonts w:hint="eastAsia" w:cs="Times New Roman"/>
                <w:color w:val="auto"/>
                <w:sz w:val="24"/>
                <w:lang w:val="en-US" w:eastAsia="zh-CN"/>
              </w:rPr>
              <w:t>迁</w:t>
            </w:r>
            <w:r>
              <w:rPr>
                <w:rFonts w:hint="eastAsia" w:cs="Times New Roman"/>
                <w:color w:val="auto"/>
                <w:sz w:val="24"/>
                <w:lang w:eastAsia="zh-CN"/>
              </w:rPr>
              <w:t>建项目</w:t>
            </w:r>
            <w:r>
              <w:rPr>
                <w:rFonts w:hint="eastAsia" w:cs="Times New Roman"/>
                <w:color w:val="auto"/>
                <w:sz w:val="24"/>
                <w:lang w:val="en-US" w:eastAsia="zh-CN"/>
              </w:rPr>
              <w:t>密封</w:t>
            </w:r>
            <w:r>
              <w:rPr>
                <w:rFonts w:hint="eastAsia" w:cs="Times New Roman"/>
                <w:color w:val="auto"/>
                <w:sz w:val="24"/>
                <w:lang w:eastAsia="zh-CN"/>
              </w:rPr>
              <w:t>过程非甲烷总烃产生量为</w:t>
            </w:r>
            <w:r>
              <w:rPr>
                <w:rFonts w:hint="eastAsia" w:cs="Times New Roman"/>
                <w:color w:val="auto"/>
                <w:sz w:val="24"/>
                <w:lang w:val="en-US" w:eastAsia="zh-CN"/>
              </w:rPr>
              <w:t>0.422</w:t>
            </w:r>
            <w:r>
              <w:rPr>
                <w:rFonts w:hint="eastAsia" w:cs="Times New Roman"/>
                <w:color w:val="auto"/>
                <w:sz w:val="24"/>
                <w:lang w:eastAsia="zh-CN"/>
              </w:rPr>
              <w:t>t/a。</w:t>
            </w:r>
            <w:r>
              <w:rPr>
                <w:rFonts w:hint="eastAsia" w:cs="Times New Roman"/>
                <w:color w:val="auto"/>
                <w:sz w:val="24"/>
                <w:lang w:val="en-US" w:eastAsia="zh-CN"/>
              </w:rPr>
              <w:t>灌装合胶</w:t>
            </w:r>
            <w:r>
              <w:rPr>
                <w:rFonts w:hint="eastAsia" w:cs="Times New Roman"/>
                <w:color w:val="auto"/>
                <w:sz w:val="24"/>
                <w:lang w:eastAsia="zh-CN"/>
              </w:rPr>
              <w:t>、</w:t>
            </w:r>
            <w:r>
              <w:rPr>
                <w:rFonts w:hint="eastAsia" w:cs="Times New Roman"/>
                <w:color w:val="auto"/>
                <w:sz w:val="24"/>
                <w:lang w:val="en-US" w:eastAsia="zh-CN"/>
              </w:rPr>
              <w:t>密封</w:t>
            </w:r>
            <w:r>
              <w:rPr>
                <w:rFonts w:hint="eastAsia" w:cs="Times New Roman"/>
                <w:color w:val="auto"/>
                <w:sz w:val="24"/>
                <w:lang w:eastAsia="zh-CN"/>
              </w:rPr>
              <w:t>过程中非甲烷总烃总产生量为</w:t>
            </w:r>
            <w:r>
              <w:rPr>
                <w:rFonts w:hint="eastAsia" w:cs="Times New Roman"/>
                <w:color w:val="auto"/>
                <w:sz w:val="24"/>
                <w:lang w:val="en-US" w:eastAsia="zh-CN"/>
              </w:rPr>
              <w:t>0.452</w:t>
            </w:r>
            <w:r>
              <w:rPr>
                <w:rFonts w:hint="eastAsia" w:cs="Times New Roman"/>
                <w:color w:val="auto"/>
                <w:sz w:val="24"/>
                <w:lang w:eastAsia="zh-CN"/>
              </w:rPr>
              <w:t>t/a。拟采用集气罩收集，经集气罩收集后的废气采用二级活性炭吸附装置（TA001）处理，处理后的废气经15米高排气筒（DA001）排放。</w:t>
            </w:r>
          </w:p>
          <w:p w14:paraId="0494F3BE">
            <w:pPr>
              <w:pStyle w:val="2"/>
              <w:keepNext w:val="0"/>
              <w:keepLines w:val="0"/>
              <w:pageBreakBefore w:val="0"/>
              <w:widowControl w:val="0"/>
              <w:kinsoku/>
              <w:wordWrap/>
              <w:overflowPunct/>
              <w:topLinePunct w:val="0"/>
              <w:bidi w:val="0"/>
              <w:adjustRightInd w:val="0"/>
              <w:snapToGrid w:val="0"/>
              <w:spacing w:line="360" w:lineRule="auto"/>
              <w:ind w:firstLine="480"/>
              <w:textAlignment w:val="auto"/>
              <w:rPr>
                <w:rFonts w:hint="default" w:ascii="Times New Roman" w:hAnsi="Times New Roman" w:cs="Times New Roman"/>
                <w:b w:val="0"/>
                <w:color w:val="auto"/>
              </w:rPr>
            </w:pPr>
            <w:r>
              <w:rPr>
                <w:rFonts w:hint="default" w:ascii="Times New Roman" w:hAnsi="Times New Roman" w:cs="Times New Roman"/>
                <w:b w:val="0"/>
                <w:color w:val="auto"/>
              </w:rPr>
              <w:t>本项目</w:t>
            </w:r>
            <w:r>
              <w:rPr>
                <w:rFonts w:hint="eastAsia" w:ascii="Times New Roman" w:hAnsi="Times New Roman" w:cs="Times New Roman"/>
                <w:b w:val="0"/>
                <w:color w:val="auto"/>
                <w:lang w:val="en-US" w:eastAsia="zh-CN"/>
              </w:rPr>
              <w:t>灌装合胶、密封工序</w:t>
            </w:r>
            <w:r>
              <w:rPr>
                <w:rFonts w:hint="default" w:ascii="Times New Roman" w:hAnsi="Times New Roman" w:cs="Times New Roman"/>
                <w:b w:val="0"/>
                <w:color w:val="auto"/>
              </w:rPr>
              <w:t>拟用</w:t>
            </w:r>
            <w:r>
              <w:rPr>
                <w:rFonts w:hint="eastAsia" w:ascii="Times New Roman" w:hAnsi="Times New Roman" w:cs="Times New Roman"/>
                <w:b w:val="0"/>
                <w:color w:val="auto"/>
                <w:lang w:eastAsia="zh-CN"/>
              </w:rPr>
              <w:t>“</w:t>
            </w:r>
            <w:r>
              <w:rPr>
                <w:rFonts w:hint="default" w:ascii="Times New Roman" w:hAnsi="Times New Roman" w:cs="Times New Roman"/>
                <w:b w:val="0"/>
                <w:color w:val="auto"/>
              </w:rPr>
              <w:t>集气罩</w:t>
            </w:r>
            <w:r>
              <w:rPr>
                <w:rFonts w:hint="eastAsia" w:ascii="Times New Roman" w:hAnsi="Times New Roman" w:cs="Times New Roman"/>
                <w:b w:val="0"/>
                <w:color w:val="auto"/>
                <w:lang w:eastAsia="zh-CN"/>
              </w:rPr>
              <w:t>”（</w:t>
            </w:r>
            <w:r>
              <w:rPr>
                <w:rFonts w:hint="eastAsia" w:ascii="Times New Roman" w:hAnsi="Times New Roman" w:cs="Times New Roman"/>
                <w:b w:val="0"/>
                <w:color w:val="auto"/>
                <w:lang w:val="en-US" w:eastAsia="zh-CN"/>
              </w:rPr>
              <w:t>上部伞形罩</w:t>
            </w:r>
            <w:r>
              <w:rPr>
                <w:rFonts w:hint="eastAsia" w:ascii="Times New Roman" w:hAnsi="Times New Roman" w:cs="Times New Roman"/>
                <w:b w:val="0"/>
                <w:color w:val="auto"/>
                <w:lang w:eastAsia="zh-CN"/>
              </w:rPr>
              <w:t>）</w:t>
            </w:r>
            <w:r>
              <w:rPr>
                <w:rFonts w:hint="eastAsia" w:ascii="Times New Roman" w:hAnsi="Times New Roman" w:cs="Times New Roman"/>
                <w:b w:val="0"/>
                <w:color w:val="auto"/>
                <w:lang w:val="en-US" w:eastAsia="zh-CN"/>
              </w:rPr>
              <w:t>收集废气</w:t>
            </w:r>
            <w:r>
              <w:rPr>
                <w:rFonts w:hint="default" w:ascii="Times New Roman" w:hAnsi="Times New Roman" w:cs="Times New Roman"/>
                <w:b w:val="0"/>
                <w:color w:val="auto"/>
              </w:rPr>
              <w:t>，根据《废气处理工程技术手册废气卷（2013年版）》中表17-8中排气量计算公式：</w:t>
            </w:r>
          </w:p>
          <w:p w14:paraId="1AE32B18">
            <w:pPr>
              <w:keepNext w:val="0"/>
              <w:keepLines w:val="0"/>
              <w:pageBreakBefore w:val="0"/>
              <w:widowControl w:val="0"/>
              <w:kinsoku/>
              <w:wordWrap/>
              <w:overflowPunct/>
              <w:topLinePunct w:val="0"/>
              <w:bidi w:val="0"/>
              <w:adjustRightInd w:val="0"/>
              <w:snapToGrid w:val="0"/>
              <w:spacing w:line="360" w:lineRule="auto"/>
              <w:ind w:firstLine="480" w:firstLineChars="200"/>
              <w:jc w:val="center"/>
              <w:textAlignment w:val="auto"/>
              <w:rPr>
                <w:rFonts w:hint="eastAsia" w:cs="Times New Roman"/>
                <w:color w:val="auto"/>
                <w:sz w:val="24"/>
                <w:lang w:eastAsia="zh-CN"/>
              </w:rPr>
            </w:pPr>
            <w:r>
              <w:rPr>
                <w:rFonts w:hint="eastAsia" w:cs="Times New Roman"/>
                <w:color w:val="auto"/>
                <w:sz w:val="24"/>
                <w:lang w:eastAsia="zh-CN"/>
              </w:rPr>
              <w:t>Q=1.4pH</w:t>
            </w:r>
            <w:r>
              <w:rPr>
                <w:rFonts w:hint="eastAsia" w:cs="Times New Roman"/>
                <w:color w:val="auto"/>
                <w:sz w:val="24"/>
                <w:lang w:val="en-US" w:eastAsia="zh-CN"/>
              </w:rPr>
              <w:t>V</w:t>
            </w:r>
            <w:r>
              <w:rPr>
                <w:rFonts w:hint="eastAsia" w:cs="Times New Roman"/>
                <w:color w:val="auto"/>
                <w:sz w:val="24"/>
                <w:lang w:eastAsia="zh-CN"/>
              </w:rPr>
              <w:t>x</w:t>
            </w:r>
          </w:p>
          <w:p w14:paraId="3A676D85">
            <w:pPr>
              <w:keepNext w:val="0"/>
              <w:keepLines w:val="0"/>
              <w:pageBreakBefore w:val="0"/>
              <w:widowControl w:val="0"/>
              <w:kinsoku/>
              <w:wordWrap/>
              <w:overflowPunct/>
              <w:topLinePunct w:val="0"/>
              <w:bidi w:val="0"/>
              <w:adjustRightInd w:val="0"/>
              <w:snapToGrid w:val="0"/>
              <w:spacing w:line="360" w:lineRule="auto"/>
              <w:ind w:firstLine="480" w:firstLineChars="200"/>
              <w:jc w:val="center"/>
              <w:textAlignment w:val="auto"/>
              <w:rPr>
                <w:rFonts w:hint="eastAsia" w:cs="Times New Roman"/>
                <w:color w:val="auto"/>
                <w:sz w:val="24"/>
                <w:lang w:eastAsia="zh-CN"/>
              </w:rPr>
            </w:pPr>
            <w:r>
              <w:rPr>
                <w:rFonts w:hint="eastAsia" w:cs="Times New Roman"/>
                <w:color w:val="auto"/>
                <w:sz w:val="24"/>
                <w:lang w:eastAsia="zh-CN"/>
              </w:rPr>
              <w:t>其中：p-罩口周长，m；</w:t>
            </w:r>
          </w:p>
          <w:p w14:paraId="1105E5CD">
            <w:pPr>
              <w:keepNext w:val="0"/>
              <w:keepLines w:val="0"/>
              <w:pageBreakBefore w:val="0"/>
              <w:widowControl w:val="0"/>
              <w:kinsoku/>
              <w:wordWrap/>
              <w:overflowPunct/>
              <w:topLinePunct w:val="0"/>
              <w:bidi w:val="0"/>
              <w:adjustRightInd w:val="0"/>
              <w:snapToGrid w:val="0"/>
              <w:spacing w:line="360" w:lineRule="auto"/>
              <w:ind w:firstLine="480" w:firstLineChars="200"/>
              <w:jc w:val="center"/>
              <w:textAlignment w:val="auto"/>
              <w:rPr>
                <w:rFonts w:hint="eastAsia" w:cs="Times New Roman"/>
                <w:color w:val="auto"/>
                <w:sz w:val="24"/>
                <w:lang w:eastAsia="zh-CN"/>
              </w:rPr>
            </w:pPr>
            <w:r>
              <w:rPr>
                <w:rFonts w:hint="eastAsia" w:cs="Times New Roman"/>
                <w:color w:val="auto"/>
                <w:sz w:val="24"/>
                <w:lang w:val="en-US" w:eastAsia="zh-CN"/>
              </w:rPr>
              <w:t xml:space="preserve">             </w:t>
            </w:r>
            <w:r>
              <w:rPr>
                <w:rFonts w:hint="eastAsia" w:cs="Times New Roman"/>
                <w:color w:val="auto"/>
                <w:sz w:val="24"/>
                <w:lang w:eastAsia="zh-CN"/>
              </w:rPr>
              <w:t>H－污染源至罩口距离，m；</w:t>
            </w:r>
          </w:p>
          <w:p w14:paraId="5C2B0966">
            <w:pPr>
              <w:keepNext w:val="0"/>
              <w:keepLines w:val="0"/>
              <w:pageBreakBefore w:val="0"/>
              <w:widowControl w:val="0"/>
              <w:kinsoku/>
              <w:wordWrap/>
              <w:overflowPunct/>
              <w:topLinePunct w:val="0"/>
              <w:bidi w:val="0"/>
              <w:adjustRightInd w:val="0"/>
              <w:snapToGrid w:val="0"/>
              <w:spacing w:line="360" w:lineRule="auto"/>
              <w:ind w:firstLine="480" w:firstLineChars="200"/>
              <w:jc w:val="center"/>
              <w:textAlignment w:val="auto"/>
              <w:rPr>
                <w:rFonts w:hint="eastAsia" w:cs="Times New Roman"/>
                <w:color w:val="auto"/>
                <w:sz w:val="24"/>
                <w:lang w:eastAsia="zh-CN"/>
              </w:rPr>
            </w:pPr>
            <w:r>
              <w:rPr>
                <w:rFonts w:hint="eastAsia" w:cs="Times New Roman"/>
                <w:color w:val="auto"/>
                <w:sz w:val="24"/>
                <w:lang w:val="en-US" w:eastAsia="zh-CN"/>
              </w:rPr>
              <w:t xml:space="preserve">       V</w:t>
            </w:r>
            <w:r>
              <w:rPr>
                <w:rFonts w:hint="eastAsia" w:cs="Times New Roman"/>
                <w:color w:val="auto"/>
                <w:sz w:val="24"/>
                <w:lang w:eastAsia="zh-CN"/>
              </w:rPr>
              <w:t>x-控制风速，m/s。</w:t>
            </w:r>
          </w:p>
          <w:p w14:paraId="7B209FD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cs="Times New Roman"/>
                <w:color w:val="auto"/>
                <w:sz w:val="24"/>
                <w:lang w:eastAsia="zh-CN"/>
              </w:rPr>
            </w:pPr>
            <w:r>
              <w:rPr>
                <w:rFonts w:hint="eastAsia" w:cs="Times New Roman"/>
                <w:color w:val="auto"/>
                <w:sz w:val="24"/>
                <w:lang w:val="en-US" w:eastAsia="zh-CN"/>
              </w:rPr>
              <w:t>涂胶机、打胶机</w:t>
            </w:r>
            <w:r>
              <w:rPr>
                <w:rFonts w:hint="eastAsia" w:cs="Times New Roman"/>
                <w:color w:val="auto"/>
                <w:sz w:val="24"/>
                <w:lang w:eastAsia="zh-CN"/>
              </w:rPr>
              <w:t>上方单个集气罩口设置为0.</w:t>
            </w:r>
            <w:r>
              <w:rPr>
                <w:rFonts w:hint="eastAsia" w:cs="Times New Roman"/>
                <w:color w:val="auto"/>
                <w:sz w:val="24"/>
                <w:lang w:val="en-US" w:eastAsia="zh-CN"/>
              </w:rPr>
              <w:t>4</w:t>
            </w:r>
            <w:r>
              <w:rPr>
                <w:rFonts w:hint="eastAsia" w:cs="Times New Roman"/>
                <w:color w:val="auto"/>
                <w:sz w:val="24"/>
                <w:lang w:eastAsia="zh-CN"/>
              </w:rPr>
              <w:t>m*0.</w:t>
            </w:r>
            <w:r>
              <w:rPr>
                <w:rFonts w:hint="eastAsia" w:cs="Times New Roman"/>
                <w:color w:val="auto"/>
                <w:sz w:val="24"/>
                <w:lang w:val="en-US" w:eastAsia="zh-CN"/>
              </w:rPr>
              <w:t>4</w:t>
            </w:r>
            <w:r>
              <w:rPr>
                <w:rFonts w:hint="eastAsia" w:cs="Times New Roman"/>
                <w:color w:val="auto"/>
                <w:sz w:val="24"/>
                <w:lang w:eastAsia="zh-CN"/>
              </w:rPr>
              <w:t>m（4个）集气罩距离污染产生源的距离取0.</w:t>
            </w:r>
            <w:r>
              <w:rPr>
                <w:rFonts w:hint="eastAsia" w:cs="Times New Roman"/>
                <w:color w:val="auto"/>
                <w:sz w:val="24"/>
                <w:lang w:val="en-US" w:eastAsia="zh-CN"/>
              </w:rPr>
              <w:t>4</w:t>
            </w:r>
            <w:r>
              <w:rPr>
                <w:rFonts w:hint="eastAsia" w:cs="Times New Roman"/>
                <w:color w:val="auto"/>
                <w:sz w:val="24"/>
                <w:lang w:eastAsia="zh-CN"/>
              </w:rPr>
              <w:t>m，控制风速取0.3m/s。计算得所需集气风量为</w:t>
            </w:r>
            <w:r>
              <w:rPr>
                <w:rFonts w:hint="eastAsia" w:cs="Times New Roman"/>
                <w:color w:val="auto"/>
                <w:sz w:val="24"/>
                <w:lang w:val="en-US" w:eastAsia="zh-CN"/>
              </w:rPr>
              <w:t>3870.72</w:t>
            </w:r>
            <w:r>
              <w:rPr>
                <w:rFonts w:hint="eastAsia" w:cs="Times New Roman"/>
                <w:color w:val="auto"/>
                <w:sz w:val="24"/>
                <w:lang w:eastAsia="zh-CN"/>
              </w:rPr>
              <w:t>m</w:t>
            </w:r>
            <w:r>
              <w:rPr>
                <w:rFonts w:hint="eastAsia" w:cs="Times New Roman"/>
                <w:color w:val="auto"/>
                <w:sz w:val="24"/>
                <w:vertAlign w:val="superscript"/>
                <w:lang w:eastAsia="zh-CN"/>
              </w:rPr>
              <w:t>3</w:t>
            </w:r>
            <w:r>
              <w:rPr>
                <w:rFonts w:hint="eastAsia" w:cs="Times New Roman"/>
                <w:color w:val="auto"/>
                <w:sz w:val="24"/>
                <w:lang w:eastAsia="zh-CN"/>
              </w:rPr>
              <w:t>/h，项目</w:t>
            </w:r>
            <w:r>
              <w:rPr>
                <w:rFonts w:hint="eastAsia" w:cs="Times New Roman"/>
                <w:color w:val="auto"/>
                <w:sz w:val="24"/>
                <w:lang w:val="en-US" w:eastAsia="zh-CN"/>
              </w:rPr>
              <w:t>涂胶机、打胶机</w:t>
            </w:r>
            <w:r>
              <w:rPr>
                <w:rFonts w:hint="eastAsia" w:cs="Times New Roman"/>
                <w:color w:val="auto"/>
                <w:sz w:val="24"/>
                <w:lang w:eastAsia="zh-CN"/>
              </w:rPr>
              <w:t>配置的风机风量设置为</w:t>
            </w:r>
            <w:r>
              <w:rPr>
                <w:rFonts w:hint="eastAsia" w:cs="Times New Roman"/>
                <w:color w:val="auto"/>
                <w:sz w:val="24"/>
                <w:lang w:val="en-US" w:eastAsia="zh-CN"/>
              </w:rPr>
              <w:t>43</w:t>
            </w:r>
            <w:r>
              <w:rPr>
                <w:rFonts w:hint="eastAsia" w:cs="Times New Roman"/>
                <w:color w:val="auto"/>
                <w:sz w:val="24"/>
                <w:lang w:eastAsia="zh-CN"/>
              </w:rPr>
              <w:t>00 m</w:t>
            </w:r>
            <w:r>
              <w:rPr>
                <w:rFonts w:hint="eastAsia" w:cs="Times New Roman"/>
                <w:color w:val="auto"/>
                <w:sz w:val="24"/>
                <w:vertAlign w:val="superscript"/>
                <w:lang w:eastAsia="zh-CN"/>
              </w:rPr>
              <w:t>3</w:t>
            </w:r>
            <w:r>
              <w:rPr>
                <w:rFonts w:hint="eastAsia" w:cs="Times New Roman"/>
                <w:color w:val="auto"/>
                <w:sz w:val="24"/>
                <w:lang w:eastAsia="zh-CN"/>
              </w:rPr>
              <w:t>/h，满足设计风量需求。</w:t>
            </w:r>
          </w:p>
          <w:p w14:paraId="3AD86C2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cs="Times New Roman"/>
                <w:color w:val="auto"/>
                <w:sz w:val="24"/>
                <w:lang w:eastAsia="zh-CN"/>
              </w:rPr>
            </w:pPr>
            <w:r>
              <w:rPr>
                <w:rFonts w:hint="eastAsia" w:cs="Times New Roman"/>
                <w:color w:val="auto"/>
                <w:sz w:val="24"/>
                <w:lang w:val="en-US" w:eastAsia="zh-CN"/>
              </w:rPr>
              <w:t>合片、加热</w:t>
            </w:r>
            <w:r>
              <w:rPr>
                <w:rFonts w:hint="eastAsia" w:cs="Times New Roman"/>
                <w:color w:val="auto"/>
                <w:sz w:val="24"/>
                <w:lang w:eastAsia="zh-CN"/>
              </w:rPr>
              <w:t>废气（G</w:t>
            </w:r>
            <w:r>
              <w:rPr>
                <w:rFonts w:hint="eastAsia" w:cs="Times New Roman"/>
                <w:color w:val="auto"/>
                <w:sz w:val="24"/>
                <w:vertAlign w:val="subscript"/>
                <w:lang w:val="en-US" w:eastAsia="zh-CN"/>
              </w:rPr>
              <w:t>2</w:t>
            </w:r>
            <w:r>
              <w:rPr>
                <w:rFonts w:hint="eastAsia" w:cs="Times New Roman"/>
                <w:color w:val="auto"/>
                <w:sz w:val="24"/>
                <w:vertAlign w:val="subscript"/>
                <w:lang w:eastAsia="zh-CN"/>
              </w:rPr>
              <w:t>-1</w:t>
            </w:r>
            <w:r>
              <w:rPr>
                <w:rFonts w:hint="eastAsia" w:cs="Times New Roman"/>
                <w:color w:val="auto"/>
                <w:sz w:val="24"/>
                <w:lang w:eastAsia="zh-CN"/>
              </w:rPr>
              <w:t>、G</w:t>
            </w:r>
            <w:r>
              <w:rPr>
                <w:rFonts w:hint="eastAsia" w:cs="Times New Roman"/>
                <w:color w:val="auto"/>
                <w:sz w:val="24"/>
                <w:vertAlign w:val="subscript"/>
                <w:lang w:val="en-US" w:eastAsia="zh-CN"/>
              </w:rPr>
              <w:t>2</w:t>
            </w:r>
            <w:r>
              <w:rPr>
                <w:rFonts w:hint="eastAsia" w:cs="Times New Roman"/>
                <w:color w:val="auto"/>
                <w:sz w:val="24"/>
                <w:vertAlign w:val="subscript"/>
                <w:lang w:eastAsia="zh-CN"/>
              </w:rPr>
              <w:t>-2</w:t>
            </w:r>
            <w:r>
              <w:rPr>
                <w:rFonts w:hint="eastAsia" w:cs="Times New Roman"/>
                <w:color w:val="auto"/>
                <w:sz w:val="24"/>
                <w:lang w:eastAsia="zh-CN"/>
              </w:rPr>
              <w:t>）</w:t>
            </w:r>
          </w:p>
          <w:p w14:paraId="130DF7A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cs="Times New Roman"/>
                <w:color w:val="auto"/>
                <w:sz w:val="24"/>
                <w:lang w:eastAsia="zh-CN"/>
              </w:rPr>
            </w:pPr>
            <w:r>
              <w:rPr>
                <w:rFonts w:hint="eastAsia" w:cs="Times New Roman"/>
                <w:color w:val="auto"/>
                <w:sz w:val="24"/>
                <w:lang w:eastAsia="zh-CN"/>
              </w:rPr>
              <w:t>夹胶玻璃生产过程</w:t>
            </w:r>
            <w:r>
              <w:rPr>
                <w:rFonts w:hint="eastAsia" w:cs="Times New Roman"/>
                <w:color w:val="auto"/>
                <w:sz w:val="24"/>
                <w:lang w:val="en-US" w:eastAsia="zh-CN"/>
              </w:rPr>
              <w:t>合片、</w:t>
            </w:r>
            <w:r>
              <w:rPr>
                <w:rFonts w:hint="eastAsia" w:cs="Times New Roman"/>
                <w:color w:val="auto"/>
                <w:sz w:val="24"/>
                <w:lang w:eastAsia="zh-CN"/>
              </w:rPr>
              <w:t>加热</w:t>
            </w:r>
            <w:r>
              <w:rPr>
                <w:rFonts w:hint="eastAsia" w:cs="Times New Roman"/>
                <w:color w:val="auto"/>
                <w:sz w:val="24"/>
                <w:lang w:val="en-US" w:eastAsia="zh-CN"/>
              </w:rPr>
              <w:t>工序</w:t>
            </w:r>
            <w:r>
              <w:rPr>
                <w:rFonts w:hint="eastAsia" w:cs="Times New Roman"/>
                <w:color w:val="auto"/>
                <w:sz w:val="24"/>
                <w:lang w:eastAsia="zh-CN"/>
              </w:rPr>
              <w:t>会产生一定量的有机废气，以非甲烷总烃计，根据PVB胶片检测报告，其挥发物质量分数平均值为0.38%，即VOCs含值为3.8g/kg，</w:t>
            </w:r>
            <w:r>
              <w:rPr>
                <w:rFonts w:hint="eastAsia" w:cs="Times New Roman"/>
                <w:color w:val="auto"/>
                <w:sz w:val="24"/>
                <w:lang w:val="en-US" w:eastAsia="zh-CN"/>
              </w:rPr>
              <w:t>迁</w:t>
            </w:r>
            <w:r>
              <w:rPr>
                <w:rFonts w:hint="eastAsia" w:cs="Times New Roman"/>
                <w:color w:val="auto"/>
                <w:sz w:val="24"/>
                <w:lang w:eastAsia="zh-CN"/>
              </w:rPr>
              <w:t>建项目PVB胶片年用量约为3</w:t>
            </w:r>
            <w:r>
              <w:rPr>
                <w:rFonts w:hint="eastAsia" w:cs="Times New Roman"/>
                <w:color w:val="auto"/>
                <w:sz w:val="24"/>
                <w:lang w:val="en-US" w:eastAsia="zh-CN"/>
              </w:rPr>
              <w:t>0</w:t>
            </w:r>
            <w:r>
              <w:rPr>
                <w:rFonts w:hint="eastAsia" w:cs="Times New Roman"/>
                <w:color w:val="auto"/>
                <w:sz w:val="24"/>
                <w:lang w:eastAsia="zh-CN"/>
              </w:rPr>
              <w:t>t/a（</w:t>
            </w:r>
            <w:r>
              <w:rPr>
                <w:rFonts w:hint="eastAsia" w:cs="Times New Roman"/>
                <w:color w:val="auto"/>
                <w:sz w:val="24"/>
                <w:lang w:val="en-US" w:eastAsia="zh-CN"/>
              </w:rPr>
              <w:t>根据检测报告，PVB胶片密度为1kg/m</w:t>
            </w:r>
            <w:r>
              <w:rPr>
                <w:rFonts w:hint="eastAsia" w:cs="Times New Roman"/>
                <w:color w:val="auto"/>
                <w:sz w:val="24"/>
                <w:vertAlign w:val="superscript"/>
                <w:lang w:val="en-US" w:eastAsia="zh-CN"/>
              </w:rPr>
              <w:t>2</w:t>
            </w:r>
            <w:r>
              <w:rPr>
                <w:rFonts w:hint="eastAsia" w:cs="Times New Roman"/>
                <w:color w:val="auto"/>
                <w:sz w:val="24"/>
                <w:lang w:eastAsia="zh-CN"/>
              </w:rPr>
              <w:t>），则非甲烷总烃产生量约0.114t/a。项目</w:t>
            </w:r>
            <w:r>
              <w:rPr>
                <w:rFonts w:hint="eastAsia" w:cs="Times New Roman"/>
                <w:color w:val="auto"/>
                <w:sz w:val="24"/>
                <w:lang w:val="en-US" w:eastAsia="zh-CN"/>
              </w:rPr>
              <w:t>加热</w:t>
            </w:r>
            <w:r>
              <w:rPr>
                <w:rFonts w:hint="eastAsia" w:cs="Times New Roman"/>
                <w:color w:val="auto"/>
                <w:sz w:val="24"/>
                <w:lang w:eastAsia="zh-CN"/>
              </w:rPr>
              <w:t>过程非甲烷总烃产生量为0.114t/a。拟采用集气罩收集，经集气罩收集后的废气采用二级活性炭吸附装置（TA00</w:t>
            </w:r>
            <w:r>
              <w:rPr>
                <w:rFonts w:hint="eastAsia" w:cs="Times New Roman"/>
                <w:color w:val="auto"/>
                <w:sz w:val="24"/>
                <w:lang w:val="en-US" w:eastAsia="zh-CN"/>
              </w:rPr>
              <w:t>1</w:t>
            </w:r>
            <w:r>
              <w:rPr>
                <w:rFonts w:hint="eastAsia" w:cs="Times New Roman"/>
                <w:color w:val="auto"/>
                <w:sz w:val="24"/>
                <w:lang w:eastAsia="zh-CN"/>
              </w:rPr>
              <w:t>）处理，处理后的废气经15米高排气筒（DA00</w:t>
            </w:r>
            <w:r>
              <w:rPr>
                <w:rFonts w:hint="eastAsia" w:cs="Times New Roman"/>
                <w:color w:val="auto"/>
                <w:sz w:val="24"/>
                <w:lang w:val="en-US" w:eastAsia="zh-CN"/>
              </w:rPr>
              <w:t>1</w:t>
            </w:r>
            <w:r>
              <w:rPr>
                <w:rFonts w:hint="eastAsia" w:cs="Times New Roman"/>
                <w:color w:val="auto"/>
                <w:sz w:val="24"/>
                <w:lang w:eastAsia="zh-CN"/>
              </w:rPr>
              <w:t>）排放。</w:t>
            </w:r>
          </w:p>
          <w:p w14:paraId="6CA0414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cs="Times New Roman"/>
                <w:color w:val="auto"/>
                <w:sz w:val="24"/>
                <w:lang w:eastAsia="zh-CN"/>
              </w:rPr>
            </w:pPr>
            <w:r>
              <w:rPr>
                <w:rFonts w:hint="default" w:ascii="Times New Roman" w:hAnsi="Times New Roman" w:cs="Times New Roman"/>
                <w:b w:val="0"/>
                <w:color w:val="auto"/>
                <w:sz w:val="24"/>
                <w:szCs w:val="24"/>
              </w:rPr>
              <w:t>本项目</w:t>
            </w:r>
            <w:r>
              <w:rPr>
                <w:rFonts w:hint="eastAsia" w:cs="Times New Roman"/>
                <w:b w:val="0"/>
                <w:color w:val="auto"/>
                <w:sz w:val="24"/>
                <w:szCs w:val="24"/>
                <w:lang w:val="en-US" w:eastAsia="zh-CN"/>
              </w:rPr>
              <w:t>合片、加热</w:t>
            </w:r>
            <w:r>
              <w:rPr>
                <w:rFonts w:hint="eastAsia" w:ascii="Times New Roman" w:hAnsi="Times New Roman" w:cs="Times New Roman"/>
                <w:b w:val="0"/>
                <w:color w:val="auto"/>
                <w:sz w:val="24"/>
                <w:szCs w:val="24"/>
                <w:lang w:val="en-US" w:eastAsia="zh-CN"/>
              </w:rPr>
              <w:t>工序</w:t>
            </w:r>
            <w:r>
              <w:rPr>
                <w:rFonts w:hint="default" w:ascii="Times New Roman" w:hAnsi="Times New Roman" w:cs="Times New Roman"/>
                <w:b w:val="0"/>
                <w:color w:val="auto"/>
                <w:sz w:val="24"/>
                <w:szCs w:val="24"/>
              </w:rPr>
              <w:t>拟用</w:t>
            </w:r>
            <w:r>
              <w:rPr>
                <w:rFonts w:hint="eastAsia" w:ascii="Times New Roman" w:hAnsi="Times New Roman" w:cs="Times New Roman"/>
                <w:b w:val="0"/>
                <w:color w:val="auto"/>
                <w:sz w:val="24"/>
                <w:szCs w:val="24"/>
                <w:lang w:eastAsia="zh-CN"/>
              </w:rPr>
              <w:t>“</w:t>
            </w:r>
            <w:r>
              <w:rPr>
                <w:rFonts w:hint="default" w:ascii="Times New Roman" w:hAnsi="Times New Roman" w:cs="Times New Roman"/>
                <w:b w:val="0"/>
                <w:color w:val="auto"/>
                <w:sz w:val="24"/>
                <w:szCs w:val="24"/>
              </w:rPr>
              <w:t>集气罩</w:t>
            </w:r>
            <w:r>
              <w:rPr>
                <w:rFonts w:hint="eastAsia" w:ascii="Times New Roman" w:hAnsi="Times New Roman" w:cs="Times New Roman"/>
                <w:b w:val="0"/>
                <w:color w:val="auto"/>
                <w:sz w:val="24"/>
                <w:szCs w:val="24"/>
                <w:lang w:eastAsia="zh-CN"/>
              </w:rPr>
              <w:t>”（</w:t>
            </w:r>
            <w:r>
              <w:rPr>
                <w:rFonts w:hint="eastAsia" w:ascii="Times New Roman" w:hAnsi="Times New Roman" w:cs="Times New Roman"/>
                <w:b w:val="0"/>
                <w:color w:val="auto"/>
                <w:sz w:val="24"/>
                <w:szCs w:val="24"/>
                <w:lang w:val="en-US" w:eastAsia="zh-CN"/>
              </w:rPr>
              <w:t>上部伞形罩</w:t>
            </w:r>
            <w:r>
              <w:rPr>
                <w:rFonts w:hint="eastAsia" w:ascii="Times New Roman" w:hAnsi="Times New Roman" w:cs="Times New Roman"/>
                <w:b w:val="0"/>
                <w:color w:val="auto"/>
                <w:sz w:val="24"/>
                <w:szCs w:val="24"/>
                <w:lang w:eastAsia="zh-CN"/>
              </w:rPr>
              <w:t>）</w:t>
            </w:r>
            <w:r>
              <w:rPr>
                <w:rFonts w:hint="eastAsia" w:ascii="Times New Roman" w:hAnsi="Times New Roman" w:cs="Times New Roman"/>
                <w:b w:val="0"/>
                <w:color w:val="auto"/>
                <w:sz w:val="24"/>
                <w:szCs w:val="24"/>
                <w:lang w:val="en-US" w:eastAsia="zh-CN"/>
              </w:rPr>
              <w:t>收集废气</w:t>
            </w:r>
            <w:r>
              <w:rPr>
                <w:rFonts w:hint="default" w:ascii="Times New Roman" w:hAnsi="Times New Roman" w:cs="Times New Roman"/>
                <w:b w:val="0"/>
                <w:color w:val="auto"/>
                <w:sz w:val="24"/>
                <w:szCs w:val="24"/>
              </w:rPr>
              <w:t>，根据《废气处理工程技术手册废气卷（2013年版）》中表17-8中排气量计算公式：</w:t>
            </w:r>
          </w:p>
          <w:p w14:paraId="705D809B">
            <w:pPr>
              <w:keepNext w:val="0"/>
              <w:keepLines w:val="0"/>
              <w:pageBreakBefore w:val="0"/>
              <w:widowControl w:val="0"/>
              <w:kinsoku/>
              <w:wordWrap/>
              <w:overflowPunct/>
              <w:topLinePunct w:val="0"/>
              <w:bidi w:val="0"/>
              <w:adjustRightInd w:val="0"/>
              <w:snapToGrid w:val="0"/>
              <w:spacing w:line="360" w:lineRule="auto"/>
              <w:ind w:firstLine="480" w:firstLineChars="200"/>
              <w:jc w:val="center"/>
              <w:textAlignment w:val="auto"/>
              <w:rPr>
                <w:rFonts w:hint="eastAsia" w:cs="Times New Roman"/>
                <w:color w:val="auto"/>
                <w:sz w:val="24"/>
                <w:lang w:eastAsia="zh-CN"/>
              </w:rPr>
            </w:pPr>
            <w:r>
              <w:rPr>
                <w:rFonts w:hint="eastAsia" w:cs="Times New Roman"/>
                <w:color w:val="auto"/>
                <w:sz w:val="24"/>
                <w:lang w:eastAsia="zh-CN"/>
              </w:rPr>
              <w:t>Q=1.4pHvx</w:t>
            </w:r>
          </w:p>
          <w:p w14:paraId="0950B24C">
            <w:pPr>
              <w:keepNext w:val="0"/>
              <w:keepLines w:val="0"/>
              <w:pageBreakBefore w:val="0"/>
              <w:widowControl w:val="0"/>
              <w:kinsoku/>
              <w:wordWrap/>
              <w:overflowPunct/>
              <w:topLinePunct w:val="0"/>
              <w:bidi w:val="0"/>
              <w:adjustRightInd w:val="0"/>
              <w:snapToGrid w:val="0"/>
              <w:spacing w:line="360" w:lineRule="auto"/>
              <w:ind w:firstLine="2880" w:firstLineChars="1200"/>
              <w:textAlignment w:val="auto"/>
              <w:rPr>
                <w:rFonts w:hint="eastAsia" w:cs="Times New Roman"/>
                <w:color w:val="auto"/>
                <w:sz w:val="24"/>
                <w:lang w:eastAsia="zh-CN"/>
              </w:rPr>
            </w:pPr>
            <w:r>
              <w:rPr>
                <w:rFonts w:hint="eastAsia" w:cs="Times New Roman"/>
                <w:color w:val="auto"/>
                <w:sz w:val="24"/>
                <w:lang w:eastAsia="zh-CN"/>
              </w:rPr>
              <w:t>其中：p-罩口周长，m；</w:t>
            </w:r>
          </w:p>
          <w:p w14:paraId="7E9F5402">
            <w:pPr>
              <w:keepNext w:val="0"/>
              <w:keepLines w:val="0"/>
              <w:pageBreakBefore w:val="0"/>
              <w:widowControl w:val="0"/>
              <w:kinsoku/>
              <w:wordWrap/>
              <w:overflowPunct/>
              <w:topLinePunct w:val="0"/>
              <w:bidi w:val="0"/>
              <w:adjustRightInd w:val="0"/>
              <w:snapToGrid w:val="0"/>
              <w:spacing w:line="360" w:lineRule="auto"/>
              <w:ind w:firstLine="3600" w:firstLineChars="1500"/>
              <w:textAlignment w:val="auto"/>
              <w:rPr>
                <w:rFonts w:hint="eastAsia" w:cs="Times New Roman"/>
                <w:color w:val="auto"/>
                <w:sz w:val="24"/>
                <w:lang w:eastAsia="zh-CN"/>
              </w:rPr>
            </w:pPr>
            <w:r>
              <w:rPr>
                <w:rFonts w:hint="eastAsia" w:cs="Times New Roman"/>
                <w:color w:val="auto"/>
                <w:sz w:val="24"/>
                <w:lang w:eastAsia="zh-CN"/>
              </w:rPr>
              <w:t>H－污染源至罩口距离，m；</w:t>
            </w:r>
          </w:p>
          <w:p w14:paraId="19765D80">
            <w:pPr>
              <w:keepNext w:val="0"/>
              <w:keepLines w:val="0"/>
              <w:pageBreakBefore w:val="0"/>
              <w:widowControl w:val="0"/>
              <w:kinsoku/>
              <w:wordWrap/>
              <w:overflowPunct/>
              <w:topLinePunct w:val="0"/>
              <w:bidi w:val="0"/>
              <w:adjustRightInd w:val="0"/>
              <w:snapToGrid w:val="0"/>
              <w:spacing w:line="360" w:lineRule="auto"/>
              <w:ind w:firstLine="3600" w:firstLineChars="1500"/>
              <w:textAlignment w:val="auto"/>
              <w:rPr>
                <w:rFonts w:hint="eastAsia" w:cs="Times New Roman"/>
                <w:color w:val="auto"/>
                <w:sz w:val="24"/>
                <w:lang w:eastAsia="zh-CN"/>
              </w:rPr>
            </w:pPr>
            <w:r>
              <w:rPr>
                <w:rFonts w:hint="eastAsia" w:cs="Times New Roman"/>
                <w:color w:val="auto"/>
                <w:sz w:val="24"/>
                <w:lang w:eastAsia="zh-CN"/>
              </w:rPr>
              <w:t>vx-控制风速，m/s。</w:t>
            </w:r>
          </w:p>
          <w:p w14:paraId="368CF8E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cs="Times New Roman"/>
                <w:color w:val="auto"/>
                <w:sz w:val="24"/>
                <w:lang w:eastAsia="zh-CN"/>
              </w:rPr>
            </w:pPr>
            <w:r>
              <w:rPr>
                <w:rFonts w:hint="eastAsia" w:cs="Times New Roman"/>
                <w:color w:val="auto"/>
                <w:sz w:val="24"/>
                <w:lang w:val="en-US" w:eastAsia="zh-CN"/>
              </w:rPr>
              <w:t>辊压机、高压釜</w:t>
            </w:r>
            <w:r>
              <w:rPr>
                <w:rFonts w:hint="eastAsia" w:cs="Times New Roman"/>
                <w:color w:val="auto"/>
                <w:sz w:val="24"/>
                <w:lang w:eastAsia="zh-CN"/>
              </w:rPr>
              <w:t>上方单个集气罩口设置为0.</w:t>
            </w:r>
            <w:r>
              <w:rPr>
                <w:rFonts w:hint="eastAsia" w:cs="Times New Roman"/>
                <w:color w:val="auto"/>
                <w:sz w:val="24"/>
                <w:lang w:val="en-US" w:eastAsia="zh-CN"/>
              </w:rPr>
              <w:t>4</w:t>
            </w:r>
            <w:r>
              <w:rPr>
                <w:rFonts w:hint="eastAsia" w:cs="Times New Roman"/>
                <w:color w:val="auto"/>
                <w:sz w:val="24"/>
                <w:lang w:eastAsia="zh-CN"/>
              </w:rPr>
              <w:t>m*0.</w:t>
            </w:r>
            <w:r>
              <w:rPr>
                <w:rFonts w:hint="eastAsia" w:cs="Times New Roman"/>
                <w:color w:val="auto"/>
                <w:sz w:val="24"/>
                <w:lang w:val="en-US" w:eastAsia="zh-CN"/>
              </w:rPr>
              <w:t>4</w:t>
            </w:r>
            <w:r>
              <w:rPr>
                <w:rFonts w:hint="eastAsia" w:cs="Times New Roman"/>
                <w:color w:val="auto"/>
                <w:sz w:val="24"/>
                <w:lang w:eastAsia="zh-CN"/>
              </w:rPr>
              <w:t>m（</w:t>
            </w:r>
            <w:r>
              <w:rPr>
                <w:rFonts w:hint="eastAsia" w:cs="Times New Roman"/>
                <w:color w:val="auto"/>
                <w:sz w:val="24"/>
                <w:lang w:val="en-US" w:eastAsia="zh-CN"/>
              </w:rPr>
              <w:t>2</w:t>
            </w:r>
            <w:r>
              <w:rPr>
                <w:rFonts w:hint="eastAsia" w:cs="Times New Roman"/>
                <w:color w:val="auto"/>
                <w:sz w:val="24"/>
                <w:lang w:eastAsia="zh-CN"/>
              </w:rPr>
              <w:t>个），集气罩距离污染产生源的距离取0.</w:t>
            </w:r>
            <w:r>
              <w:rPr>
                <w:rFonts w:hint="eastAsia" w:cs="Times New Roman"/>
                <w:color w:val="auto"/>
                <w:sz w:val="24"/>
                <w:lang w:val="en-US" w:eastAsia="zh-CN"/>
              </w:rPr>
              <w:t>4</w:t>
            </w:r>
            <w:r>
              <w:rPr>
                <w:rFonts w:hint="eastAsia" w:cs="Times New Roman"/>
                <w:color w:val="auto"/>
                <w:sz w:val="24"/>
                <w:lang w:eastAsia="zh-CN"/>
              </w:rPr>
              <w:t>m，控制风速取0.3m/s。计算得所需集气风量为</w:t>
            </w:r>
            <w:r>
              <w:rPr>
                <w:rFonts w:hint="eastAsia" w:cs="Times New Roman"/>
                <w:color w:val="auto"/>
                <w:sz w:val="24"/>
                <w:lang w:val="en-US" w:eastAsia="zh-CN"/>
              </w:rPr>
              <w:t>1935.36</w:t>
            </w:r>
            <w:r>
              <w:rPr>
                <w:rFonts w:hint="eastAsia" w:cs="Times New Roman"/>
                <w:color w:val="auto"/>
                <w:sz w:val="24"/>
                <w:lang w:eastAsia="zh-CN"/>
              </w:rPr>
              <w:t>m</w:t>
            </w:r>
            <w:r>
              <w:rPr>
                <w:rFonts w:hint="eastAsia" w:cs="Times New Roman"/>
                <w:color w:val="auto"/>
                <w:sz w:val="24"/>
                <w:vertAlign w:val="superscript"/>
                <w:lang w:eastAsia="zh-CN"/>
              </w:rPr>
              <w:t>3</w:t>
            </w:r>
            <w:r>
              <w:rPr>
                <w:rFonts w:hint="eastAsia" w:cs="Times New Roman"/>
                <w:color w:val="auto"/>
                <w:sz w:val="24"/>
                <w:lang w:eastAsia="zh-CN"/>
              </w:rPr>
              <w:t>/h，配置的风机风量设置为</w:t>
            </w:r>
            <w:r>
              <w:rPr>
                <w:rFonts w:hint="eastAsia" w:cs="Times New Roman"/>
                <w:color w:val="auto"/>
                <w:sz w:val="24"/>
                <w:lang w:val="en-US" w:eastAsia="zh-CN"/>
              </w:rPr>
              <w:t>21</w:t>
            </w:r>
            <w:r>
              <w:rPr>
                <w:rFonts w:hint="eastAsia" w:cs="Times New Roman"/>
                <w:color w:val="auto"/>
                <w:sz w:val="24"/>
                <w:lang w:eastAsia="zh-CN"/>
              </w:rPr>
              <w:t>00m</w:t>
            </w:r>
            <w:r>
              <w:rPr>
                <w:rFonts w:hint="eastAsia" w:cs="Times New Roman"/>
                <w:color w:val="auto"/>
                <w:sz w:val="24"/>
                <w:vertAlign w:val="superscript"/>
                <w:lang w:eastAsia="zh-CN"/>
              </w:rPr>
              <w:t>3</w:t>
            </w:r>
            <w:r>
              <w:rPr>
                <w:rFonts w:hint="eastAsia" w:cs="Times New Roman"/>
                <w:color w:val="auto"/>
                <w:sz w:val="24"/>
                <w:lang w:eastAsia="zh-CN"/>
              </w:rPr>
              <w:t>/h，满足设计风量需求。</w:t>
            </w:r>
          </w:p>
          <w:p w14:paraId="12B8FEF8">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cs="Times New Roman"/>
                <w:color w:val="auto"/>
                <w:sz w:val="24"/>
                <w:lang w:eastAsia="zh-CN"/>
              </w:rPr>
            </w:pPr>
            <w:r>
              <w:rPr>
                <w:rFonts w:hint="eastAsia" w:cs="Times New Roman"/>
                <w:color w:val="auto"/>
                <w:sz w:val="24"/>
                <w:lang w:eastAsia="zh-CN"/>
              </w:rPr>
              <w:t>（2）危废库废气</w:t>
            </w:r>
          </w:p>
          <w:p w14:paraId="4D2DD07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b/>
                <w:bCs/>
                <w:color w:val="auto"/>
              </w:rPr>
            </w:pPr>
            <w:r>
              <w:rPr>
                <w:rFonts w:hint="eastAsia" w:cs="Times New Roman"/>
                <w:color w:val="auto"/>
                <w:sz w:val="24"/>
                <w:lang w:eastAsia="zh-CN"/>
              </w:rPr>
              <w:t>项目危废库中暂存的废活性炭、硅酮胶废包装材料等可能会逸散微量有机废气，本项目暂存后的废活性炭密封包装，硅酮胶包装材料密封储存。产生的挥发性有机物含量较少，故本次评价不考虑危险废物储运过程中的有机废气的挥发。</w:t>
            </w:r>
          </w:p>
        </w:tc>
      </w:tr>
    </w:tbl>
    <w:p w14:paraId="6AAE475B">
      <w:pPr>
        <w:adjustRightInd w:val="0"/>
        <w:snapToGrid w:val="0"/>
        <w:spacing w:line="360" w:lineRule="auto"/>
        <w:rPr>
          <w:rFonts w:hint="eastAsia" w:ascii="宋体" w:cs="宋体"/>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2"/>
        <w:tblpPr w:leftFromText="180" w:rightFromText="180" w:vertAnchor="text" w:horzAnchor="page" w:tblpX="817" w:tblpY="382"/>
        <w:tblOverlap w:val="never"/>
        <w:tblW w:w="1571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5251"/>
      </w:tblGrid>
      <w:tr w14:paraId="332B2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1" w:hRule="atLeast"/>
        </w:trPr>
        <w:tc>
          <w:tcPr>
            <w:tcW w:w="511" w:type="dxa"/>
            <w:noWrap w:val="0"/>
            <w:tcMar>
              <w:left w:w="28" w:type="dxa"/>
              <w:right w:w="28" w:type="dxa"/>
            </w:tcMar>
            <w:vAlign w:val="center"/>
          </w:tcPr>
          <w:p w14:paraId="346F6A67">
            <w:pPr>
              <w:adjustRightInd w:val="0"/>
              <w:snapToGrid w:val="0"/>
              <w:jc w:val="center"/>
              <w:rPr>
                <w:rFonts w:ascii="宋体" w:hAnsi="宋体" w:cs="宋体"/>
                <w:bCs/>
                <w:color w:val="auto"/>
                <w:szCs w:val="21"/>
              </w:rPr>
            </w:pPr>
          </w:p>
        </w:tc>
        <w:tc>
          <w:tcPr>
            <w:tcW w:w="15208" w:type="dxa"/>
            <w:noWrap w:val="0"/>
            <w:vAlign w:val="top"/>
          </w:tcPr>
          <w:p w14:paraId="2CACA9D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r>
              <w:rPr>
                <w:rFonts w:hint="default" w:ascii="Times New Roman" w:hAnsi="Times New Roman" w:eastAsia="宋体" w:cs="Times New Roman"/>
                <w:b/>
                <w:color w:val="auto"/>
                <w:kern w:val="0"/>
                <w:sz w:val="21"/>
                <w:szCs w:val="20"/>
              </w:rPr>
              <w:t>表4-1</w:t>
            </w:r>
            <w:r>
              <w:rPr>
                <w:rFonts w:hint="eastAsia" w:cs="Times New Roman"/>
                <w:b/>
                <w:color w:val="auto"/>
                <w:kern w:val="0"/>
                <w:sz w:val="21"/>
                <w:szCs w:val="20"/>
                <w:lang w:val="en-US" w:eastAsia="zh-CN"/>
              </w:rPr>
              <w:t xml:space="preserve">  </w:t>
            </w:r>
            <w:r>
              <w:rPr>
                <w:rFonts w:hint="default" w:ascii="Times New Roman" w:hAnsi="Times New Roman" w:eastAsia="宋体" w:cs="Times New Roman"/>
                <w:b/>
                <w:color w:val="auto"/>
                <w:kern w:val="0"/>
                <w:sz w:val="21"/>
                <w:szCs w:val="20"/>
              </w:rPr>
              <w:t>建设项目废气污染源源强核算结果及相关参数一览表</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737"/>
              <w:gridCol w:w="599"/>
              <w:gridCol w:w="833"/>
              <w:gridCol w:w="1179"/>
              <w:gridCol w:w="806"/>
              <w:gridCol w:w="1104"/>
              <w:gridCol w:w="1038"/>
              <w:gridCol w:w="977"/>
              <w:gridCol w:w="974"/>
              <w:gridCol w:w="929"/>
              <w:gridCol w:w="592"/>
              <w:gridCol w:w="773"/>
              <w:gridCol w:w="941"/>
              <w:gridCol w:w="941"/>
              <w:gridCol w:w="977"/>
              <w:gridCol w:w="921"/>
              <w:gridCol w:w="708"/>
            </w:tblGrid>
            <w:tr w14:paraId="15D248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245" w:type="pct"/>
                  <w:vMerge w:val="restart"/>
                  <w:noWrap w:val="0"/>
                  <w:vAlign w:val="center"/>
                </w:tcPr>
                <w:p w14:paraId="76D1D46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工序/生产线</w:t>
                  </w:r>
                </w:p>
              </w:tc>
              <w:tc>
                <w:tcPr>
                  <w:tcW w:w="199" w:type="pct"/>
                  <w:vMerge w:val="restart"/>
                  <w:noWrap w:val="0"/>
                  <w:vAlign w:val="center"/>
                </w:tcPr>
                <w:p w14:paraId="49C86E5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eastAsia="zh-CN"/>
                    </w:rPr>
                  </w:pPr>
                  <w:r>
                    <w:rPr>
                      <w:rFonts w:hint="eastAsia" w:ascii="Times New Roman" w:hAnsi="Times New Roman" w:eastAsia="宋体" w:cs="Times New Roman"/>
                      <w:b w:val="0"/>
                      <w:bCs/>
                      <w:color w:val="auto"/>
                      <w:kern w:val="0"/>
                      <w:sz w:val="21"/>
                      <w:szCs w:val="21"/>
                      <w:lang w:val="en-US" w:eastAsia="zh-CN"/>
                    </w:rPr>
                    <w:t>编号</w:t>
                  </w:r>
                </w:p>
              </w:tc>
              <w:tc>
                <w:tcPr>
                  <w:tcW w:w="277" w:type="pct"/>
                  <w:vMerge w:val="restart"/>
                  <w:noWrap w:val="0"/>
                  <w:vAlign w:val="center"/>
                </w:tcPr>
                <w:p w14:paraId="745EDE9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污染源</w:t>
                  </w:r>
                </w:p>
              </w:tc>
              <w:tc>
                <w:tcPr>
                  <w:tcW w:w="392" w:type="pct"/>
                  <w:vMerge w:val="restart"/>
                  <w:noWrap w:val="0"/>
                  <w:vAlign w:val="center"/>
                </w:tcPr>
                <w:p w14:paraId="2E6C470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w:t>
                  </w:r>
                </w:p>
              </w:tc>
              <w:tc>
                <w:tcPr>
                  <w:tcW w:w="1629" w:type="pct"/>
                  <w:gridSpan w:val="5"/>
                  <w:noWrap w:val="0"/>
                  <w:vAlign w:val="center"/>
                </w:tcPr>
                <w:p w14:paraId="28848AD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污染物产生</w:t>
                  </w:r>
                </w:p>
              </w:tc>
              <w:tc>
                <w:tcPr>
                  <w:tcW w:w="506" w:type="pct"/>
                  <w:gridSpan w:val="2"/>
                  <w:noWrap w:val="0"/>
                  <w:vAlign w:val="center"/>
                </w:tcPr>
                <w:p w14:paraId="00EE6D5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治理措施</w:t>
                  </w:r>
                </w:p>
              </w:tc>
              <w:tc>
                <w:tcPr>
                  <w:tcW w:w="1514" w:type="pct"/>
                  <w:gridSpan w:val="5"/>
                  <w:noWrap w:val="0"/>
                  <w:vAlign w:val="center"/>
                </w:tcPr>
                <w:p w14:paraId="7607F4A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污染物排放</w:t>
                  </w:r>
                </w:p>
              </w:tc>
              <w:tc>
                <w:tcPr>
                  <w:tcW w:w="235" w:type="pct"/>
                  <w:vMerge w:val="restart"/>
                  <w:noWrap w:val="0"/>
                  <w:vAlign w:val="center"/>
                </w:tcPr>
                <w:p w14:paraId="283A414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排放时间</w:t>
                  </w:r>
                </w:p>
                <w:p w14:paraId="0EB968B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h</w:t>
                  </w:r>
                  <w:r>
                    <w:rPr>
                      <w:rFonts w:hint="eastAsia" w:cs="Times New Roman"/>
                      <w:b w:val="0"/>
                      <w:bCs/>
                      <w:color w:val="auto"/>
                      <w:kern w:val="0"/>
                      <w:sz w:val="21"/>
                      <w:szCs w:val="21"/>
                      <w:lang w:eastAsia="zh-CN"/>
                    </w:rPr>
                    <w:t>)</w:t>
                  </w:r>
                </w:p>
              </w:tc>
            </w:tr>
            <w:tr w14:paraId="5B9CBC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245" w:type="pct"/>
                  <w:vMerge w:val="continue"/>
                  <w:noWrap w:val="0"/>
                  <w:vAlign w:val="center"/>
                </w:tcPr>
                <w:p w14:paraId="31C20B3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99" w:type="pct"/>
                  <w:vMerge w:val="continue"/>
                  <w:noWrap w:val="0"/>
                  <w:vAlign w:val="center"/>
                </w:tcPr>
                <w:p w14:paraId="531C348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77" w:type="pct"/>
                  <w:vMerge w:val="continue"/>
                  <w:noWrap w:val="0"/>
                  <w:vAlign w:val="center"/>
                </w:tcPr>
                <w:p w14:paraId="1F6B854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92" w:type="pct"/>
                  <w:vMerge w:val="continue"/>
                  <w:noWrap w:val="0"/>
                  <w:vAlign w:val="center"/>
                </w:tcPr>
                <w:p w14:paraId="3FAF286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68" w:type="pct"/>
                  <w:vMerge w:val="restart"/>
                  <w:noWrap w:val="0"/>
                  <w:vAlign w:val="center"/>
                </w:tcPr>
                <w:p w14:paraId="7AAEDAD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w:t>
                  </w:r>
                </w:p>
                <w:p w14:paraId="5BE2E56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方法</w:t>
                  </w:r>
                </w:p>
              </w:tc>
              <w:tc>
                <w:tcPr>
                  <w:tcW w:w="367" w:type="pct"/>
                  <w:vMerge w:val="restart"/>
                  <w:noWrap w:val="0"/>
                  <w:vAlign w:val="center"/>
                </w:tcPr>
                <w:p w14:paraId="5A24AA3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废气产生量</w:t>
                  </w: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/h</w:t>
                  </w:r>
                  <w:r>
                    <w:rPr>
                      <w:rFonts w:hint="eastAsia" w:cs="Times New Roman"/>
                      <w:b w:val="0"/>
                      <w:bCs/>
                      <w:color w:val="auto"/>
                      <w:kern w:val="0"/>
                      <w:sz w:val="21"/>
                      <w:szCs w:val="21"/>
                      <w:lang w:eastAsia="zh-CN"/>
                    </w:rPr>
                    <w:t>）</w:t>
                  </w:r>
                </w:p>
              </w:tc>
              <w:tc>
                <w:tcPr>
                  <w:tcW w:w="345" w:type="pct"/>
                  <w:vMerge w:val="restart"/>
                  <w:noWrap w:val="0"/>
                  <w:vAlign w:val="center"/>
                </w:tcPr>
                <w:p w14:paraId="3CC4509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产生浓度</w:t>
                  </w: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mg/m</w:t>
                  </w:r>
                  <w:r>
                    <w:rPr>
                      <w:rFonts w:hint="default" w:ascii="Times New Roman" w:hAnsi="Times New Roman" w:eastAsia="宋体" w:cs="Times New Roman"/>
                      <w:b w:val="0"/>
                      <w:bCs/>
                      <w:color w:val="auto"/>
                      <w:kern w:val="0"/>
                      <w:sz w:val="21"/>
                      <w:szCs w:val="21"/>
                      <w:vertAlign w:val="superscript"/>
                    </w:rPr>
                    <w:t>3</w:t>
                  </w:r>
                  <w:r>
                    <w:rPr>
                      <w:rFonts w:hint="eastAsia" w:cs="Times New Roman"/>
                      <w:b w:val="0"/>
                      <w:bCs/>
                      <w:color w:val="auto"/>
                      <w:kern w:val="0"/>
                      <w:sz w:val="21"/>
                      <w:szCs w:val="21"/>
                      <w:vertAlign w:val="superscript"/>
                      <w:lang w:eastAsia="zh-CN"/>
                    </w:rPr>
                    <w:t>）</w:t>
                  </w:r>
                </w:p>
              </w:tc>
              <w:tc>
                <w:tcPr>
                  <w:tcW w:w="649" w:type="pct"/>
                  <w:gridSpan w:val="2"/>
                  <w:noWrap w:val="0"/>
                  <w:vAlign w:val="center"/>
                </w:tcPr>
                <w:p w14:paraId="474E4EA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产生量</w:t>
                  </w:r>
                </w:p>
              </w:tc>
              <w:tc>
                <w:tcPr>
                  <w:tcW w:w="309" w:type="pct"/>
                  <w:vMerge w:val="restart"/>
                  <w:noWrap w:val="0"/>
                  <w:vAlign w:val="center"/>
                </w:tcPr>
                <w:p w14:paraId="5AFC302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工艺</w:t>
                  </w:r>
                </w:p>
              </w:tc>
              <w:tc>
                <w:tcPr>
                  <w:tcW w:w="196" w:type="pct"/>
                  <w:vMerge w:val="restart"/>
                  <w:noWrap w:val="0"/>
                  <w:vAlign w:val="center"/>
                </w:tcPr>
                <w:p w14:paraId="6B07AED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效率</w:t>
                  </w:r>
                </w:p>
              </w:tc>
              <w:tc>
                <w:tcPr>
                  <w:tcW w:w="257" w:type="pct"/>
                  <w:vMerge w:val="restart"/>
                  <w:noWrap w:val="0"/>
                  <w:vAlign w:val="center"/>
                </w:tcPr>
                <w:p w14:paraId="2BFE516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w:t>
                  </w:r>
                </w:p>
                <w:p w14:paraId="4554ECE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方法</w:t>
                  </w:r>
                </w:p>
              </w:tc>
              <w:tc>
                <w:tcPr>
                  <w:tcW w:w="313" w:type="pct"/>
                  <w:vMerge w:val="restart"/>
                  <w:noWrap w:val="0"/>
                  <w:vAlign w:val="center"/>
                </w:tcPr>
                <w:p w14:paraId="2FE0766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废气排放量</w:t>
                  </w: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/h</w:t>
                  </w:r>
                  <w:r>
                    <w:rPr>
                      <w:rFonts w:hint="eastAsia" w:cs="Times New Roman"/>
                      <w:b w:val="0"/>
                      <w:bCs/>
                      <w:color w:val="auto"/>
                      <w:kern w:val="0"/>
                      <w:sz w:val="21"/>
                      <w:szCs w:val="21"/>
                      <w:lang w:eastAsia="zh-CN"/>
                    </w:rPr>
                    <w:t>）</w:t>
                  </w:r>
                </w:p>
              </w:tc>
              <w:tc>
                <w:tcPr>
                  <w:tcW w:w="313" w:type="pct"/>
                  <w:vMerge w:val="restart"/>
                  <w:noWrap w:val="0"/>
                  <w:vAlign w:val="center"/>
                </w:tcPr>
                <w:p w14:paraId="03C2809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排放浓度</w:t>
                  </w: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mg/m</w:t>
                  </w:r>
                  <w:r>
                    <w:rPr>
                      <w:rFonts w:hint="default" w:ascii="Times New Roman" w:hAnsi="Times New Roman" w:eastAsia="宋体" w:cs="Times New Roman"/>
                      <w:b w:val="0"/>
                      <w:bCs/>
                      <w:color w:val="auto"/>
                      <w:kern w:val="0"/>
                      <w:sz w:val="21"/>
                      <w:szCs w:val="21"/>
                      <w:vertAlign w:val="superscript"/>
                    </w:rPr>
                    <w:t>3</w:t>
                  </w:r>
                  <w:r>
                    <w:rPr>
                      <w:rFonts w:hint="eastAsia" w:cs="Times New Roman"/>
                      <w:b w:val="0"/>
                      <w:bCs/>
                      <w:color w:val="auto"/>
                      <w:kern w:val="0"/>
                      <w:sz w:val="21"/>
                      <w:szCs w:val="21"/>
                      <w:vertAlign w:val="superscript"/>
                      <w:lang w:eastAsia="zh-CN"/>
                    </w:rPr>
                    <w:t>）</w:t>
                  </w:r>
                </w:p>
              </w:tc>
              <w:tc>
                <w:tcPr>
                  <w:tcW w:w="631" w:type="pct"/>
                  <w:gridSpan w:val="2"/>
                  <w:noWrap w:val="0"/>
                  <w:vAlign w:val="center"/>
                </w:tcPr>
                <w:p w14:paraId="3259285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排放量</w:t>
                  </w:r>
                </w:p>
              </w:tc>
              <w:tc>
                <w:tcPr>
                  <w:tcW w:w="235" w:type="pct"/>
                  <w:vMerge w:val="continue"/>
                  <w:noWrap w:val="0"/>
                  <w:vAlign w:val="center"/>
                </w:tcPr>
                <w:p w14:paraId="4BB8C33F">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p>
              </w:tc>
            </w:tr>
            <w:tr w14:paraId="3E115E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245" w:type="pct"/>
                  <w:vMerge w:val="continue"/>
                  <w:noWrap w:val="0"/>
                  <w:vAlign w:val="center"/>
                </w:tcPr>
                <w:p w14:paraId="4028CD1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99" w:type="pct"/>
                  <w:vMerge w:val="continue"/>
                  <w:noWrap w:val="0"/>
                  <w:vAlign w:val="center"/>
                </w:tcPr>
                <w:p w14:paraId="3E1BE2E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77" w:type="pct"/>
                  <w:vMerge w:val="continue"/>
                  <w:noWrap w:val="0"/>
                  <w:vAlign w:val="center"/>
                </w:tcPr>
                <w:p w14:paraId="7767BF2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92" w:type="pct"/>
                  <w:vMerge w:val="continue"/>
                  <w:noWrap w:val="0"/>
                  <w:vAlign w:val="center"/>
                </w:tcPr>
                <w:p w14:paraId="473846A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68" w:type="pct"/>
                  <w:vMerge w:val="continue"/>
                  <w:noWrap w:val="0"/>
                  <w:vAlign w:val="center"/>
                </w:tcPr>
                <w:p w14:paraId="70D289B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67" w:type="pct"/>
                  <w:vMerge w:val="continue"/>
                  <w:noWrap w:val="0"/>
                  <w:vAlign w:val="center"/>
                </w:tcPr>
                <w:p w14:paraId="43F4E6D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45" w:type="pct"/>
                  <w:vMerge w:val="continue"/>
                  <w:noWrap w:val="0"/>
                  <w:vAlign w:val="center"/>
                </w:tcPr>
                <w:p w14:paraId="3A9642D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25" w:type="pct"/>
                  <w:noWrap w:val="0"/>
                  <w:vAlign w:val="center"/>
                </w:tcPr>
                <w:p w14:paraId="20EF6FD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kg/h</w:t>
                  </w:r>
                  <w:r>
                    <w:rPr>
                      <w:rFonts w:hint="eastAsia" w:cs="Times New Roman"/>
                      <w:b w:val="0"/>
                      <w:bCs/>
                      <w:color w:val="auto"/>
                      <w:kern w:val="0"/>
                      <w:sz w:val="21"/>
                      <w:szCs w:val="21"/>
                      <w:lang w:eastAsia="zh-CN"/>
                    </w:rPr>
                    <w:t>)</w:t>
                  </w:r>
                </w:p>
              </w:tc>
              <w:tc>
                <w:tcPr>
                  <w:tcW w:w="324" w:type="pct"/>
                  <w:noWrap w:val="0"/>
                  <w:vAlign w:val="center"/>
                </w:tcPr>
                <w:p w14:paraId="465E3A9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t/a</w:t>
                  </w:r>
                  <w:r>
                    <w:rPr>
                      <w:rFonts w:hint="eastAsia" w:cs="Times New Roman"/>
                      <w:b w:val="0"/>
                      <w:bCs/>
                      <w:color w:val="auto"/>
                      <w:kern w:val="0"/>
                      <w:sz w:val="21"/>
                      <w:szCs w:val="21"/>
                      <w:lang w:eastAsia="zh-CN"/>
                    </w:rPr>
                    <w:t>)</w:t>
                  </w:r>
                </w:p>
              </w:tc>
              <w:tc>
                <w:tcPr>
                  <w:tcW w:w="309" w:type="pct"/>
                  <w:vMerge w:val="continue"/>
                  <w:noWrap w:val="0"/>
                  <w:vAlign w:val="center"/>
                </w:tcPr>
                <w:p w14:paraId="5C43A77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96" w:type="pct"/>
                  <w:vMerge w:val="continue"/>
                  <w:noWrap w:val="0"/>
                  <w:vAlign w:val="center"/>
                </w:tcPr>
                <w:p w14:paraId="07B4A0F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57" w:type="pct"/>
                  <w:vMerge w:val="continue"/>
                  <w:noWrap w:val="0"/>
                  <w:vAlign w:val="center"/>
                </w:tcPr>
                <w:p w14:paraId="2164861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13" w:type="pct"/>
                  <w:vMerge w:val="continue"/>
                  <w:noWrap w:val="0"/>
                  <w:vAlign w:val="center"/>
                </w:tcPr>
                <w:p w14:paraId="27210D9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13" w:type="pct"/>
                  <w:vMerge w:val="continue"/>
                  <w:noWrap w:val="0"/>
                  <w:vAlign w:val="center"/>
                </w:tcPr>
                <w:p w14:paraId="65A2E22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25" w:type="pct"/>
                  <w:noWrap w:val="0"/>
                  <w:vAlign w:val="center"/>
                </w:tcPr>
                <w:p w14:paraId="724D553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kg/h</w:t>
                  </w:r>
                  <w:r>
                    <w:rPr>
                      <w:rFonts w:hint="eastAsia" w:cs="Times New Roman"/>
                      <w:b w:val="0"/>
                      <w:bCs/>
                      <w:color w:val="auto"/>
                      <w:kern w:val="0"/>
                      <w:sz w:val="21"/>
                      <w:szCs w:val="21"/>
                      <w:lang w:eastAsia="zh-CN"/>
                    </w:rPr>
                    <w:t>)</w:t>
                  </w:r>
                </w:p>
              </w:tc>
              <w:tc>
                <w:tcPr>
                  <w:tcW w:w="306" w:type="pct"/>
                  <w:noWrap w:val="0"/>
                  <w:vAlign w:val="center"/>
                </w:tcPr>
                <w:p w14:paraId="173A598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t/a</w:t>
                  </w:r>
                  <w:r>
                    <w:rPr>
                      <w:rFonts w:hint="eastAsia" w:cs="Times New Roman"/>
                      <w:b w:val="0"/>
                      <w:bCs/>
                      <w:color w:val="auto"/>
                      <w:kern w:val="0"/>
                      <w:sz w:val="21"/>
                      <w:szCs w:val="21"/>
                      <w:lang w:eastAsia="zh-CN"/>
                    </w:rPr>
                    <w:t>)</w:t>
                  </w:r>
                </w:p>
              </w:tc>
              <w:tc>
                <w:tcPr>
                  <w:tcW w:w="235" w:type="pct"/>
                  <w:vMerge w:val="continue"/>
                  <w:noWrap w:val="0"/>
                  <w:vAlign w:val="center"/>
                </w:tcPr>
                <w:p w14:paraId="75FDC85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r>
            <w:tr w14:paraId="19F269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245" w:type="pct"/>
                  <w:vMerge w:val="restart"/>
                  <w:noWrap w:val="0"/>
                  <w:vAlign w:val="center"/>
                </w:tcPr>
                <w:p w14:paraId="47FE2CE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bCs/>
                      <w:color w:val="auto"/>
                      <w:sz w:val="21"/>
                      <w:szCs w:val="21"/>
                      <w:lang w:val="en-US" w:eastAsia="zh-CN"/>
                    </w:rPr>
                  </w:pPr>
                  <w:r>
                    <w:rPr>
                      <w:rFonts w:hint="eastAsia" w:cs="Times New Roman"/>
                      <w:bCs/>
                      <w:color w:val="auto"/>
                      <w:sz w:val="21"/>
                      <w:szCs w:val="21"/>
                      <w:lang w:val="en-US" w:eastAsia="zh-CN"/>
                    </w:rPr>
                    <w:t>灌装合胶、密封、压片、加热</w:t>
                  </w:r>
                </w:p>
              </w:tc>
              <w:tc>
                <w:tcPr>
                  <w:tcW w:w="199" w:type="pct"/>
                  <w:vMerge w:val="restart"/>
                  <w:noWrap w:val="0"/>
                  <w:vAlign w:val="center"/>
                </w:tcPr>
                <w:p w14:paraId="69C7338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bCs/>
                      <w:color w:val="auto"/>
                      <w:sz w:val="21"/>
                      <w:szCs w:val="21"/>
                      <w:lang w:val="en-US" w:eastAsia="zh-CN"/>
                    </w:rPr>
                  </w:pPr>
                  <w:r>
                    <w:rPr>
                      <w:rFonts w:hint="eastAsia" w:cs="Times New Roman"/>
                      <w:bCs/>
                      <w:color w:val="auto"/>
                      <w:sz w:val="21"/>
                      <w:szCs w:val="21"/>
                      <w:lang w:val="en-US" w:eastAsia="zh-CN"/>
                    </w:rPr>
                    <w:t>G</w:t>
                  </w:r>
                  <w:r>
                    <w:rPr>
                      <w:rFonts w:hint="eastAsia" w:cs="Times New Roman"/>
                      <w:bCs/>
                      <w:color w:val="auto"/>
                      <w:sz w:val="21"/>
                      <w:szCs w:val="21"/>
                      <w:vertAlign w:val="subscript"/>
                      <w:lang w:val="en-US" w:eastAsia="zh-CN"/>
                    </w:rPr>
                    <w:t>1-1</w:t>
                  </w:r>
                  <w:r>
                    <w:rPr>
                      <w:rFonts w:hint="eastAsia" w:cs="Times New Roman"/>
                      <w:bCs/>
                      <w:color w:val="auto"/>
                      <w:sz w:val="21"/>
                      <w:szCs w:val="21"/>
                      <w:vertAlign w:val="baseline"/>
                      <w:lang w:val="en-US" w:eastAsia="zh-CN"/>
                    </w:rPr>
                    <w:t>、G</w:t>
                  </w:r>
                  <w:r>
                    <w:rPr>
                      <w:rFonts w:hint="eastAsia" w:cs="Times New Roman"/>
                      <w:bCs/>
                      <w:color w:val="auto"/>
                      <w:sz w:val="21"/>
                      <w:szCs w:val="21"/>
                      <w:vertAlign w:val="subscript"/>
                      <w:lang w:val="en-US" w:eastAsia="zh-CN"/>
                    </w:rPr>
                    <w:t>1-2</w:t>
                  </w:r>
                  <w:r>
                    <w:rPr>
                      <w:rFonts w:hint="eastAsia" w:cs="Times New Roman"/>
                      <w:bCs/>
                      <w:color w:val="auto"/>
                      <w:sz w:val="21"/>
                      <w:szCs w:val="21"/>
                      <w:vertAlign w:val="baseline"/>
                      <w:lang w:val="en-US" w:eastAsia="zh-CN"/>
                    </w:rPr>
                    <w:t>、G</w:t>
                  </w:r>
                  <w:r>
                    <w:rPr>
                      <w:rFonts w:hint="eastAsia" w:cs="Times New Roman"/>
                      <w:bCs/>
                      <w:color w:val="auto"/>
                      <w:sz w:val="21"/>
                      <w:szCs w:val="21"/>
                      <w:vertAlign w:val="subscript"/>
                      <w:lang w:val="en-US" w:eastAsia="zh-CN"/>
                    </w:rPr>
                    <w:t>2-1</w:t>
                  </w:r>
                </w:p>
              </w:tc>
              <w:tc>
                <w:tcPr>
                  <w:tcW w:w="277" w:type="pct"/>
                  <w:noWrap w:val="0"/>
                  <w:vAlign w:val="center"/>
                </w:tcPr>
                <w:p w14:paraId="23A0F9E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eastAsia" w:eastAsia="宋体" w:cs="Times New Roman"/>
                      <w:bCs/>
                      <w:color w:val="auto"/>
                      <w:sz w:val="21"/>
                      <w:szCs w:val="21"/>
                      <w:lang w:val="en-US" w:eastAsia="zh-CN"/>
                    </w:rPr>
                    <w:t>有组织</w:t>
                  </w:r>
                </w:p>
              </w:tc>
              <w:tc>
                <w:tcPr>
                  <w:tcW w:w="392" w:type="pct"/>
                  <w:vMerge w:val="restart"/>
                  <w:noWrap w:val="0"/>
                  <w:vAlign w:val="center"/>
                </w:tcPr>
                <w:p w14:paraId="393C797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val="en-US" w:eastAsia="zh-CN"/>
                    </w:rPr>
                  </w:pPr>
                  <w:r>
                    <w:rPr>
                      <w:rFonts w:hint="eastAsia" w:cs="Times New Roman"/>
                      <w:bCs/>
                      <w:color w:val="auto"/>
                      <w:kern w:val="0"/>
                      <w:sz w:val="21"/>
                      <w:szCs w:val="21"/>
                      <w:lang w:val="en-US" w:eastAsia="zh-CN"/>
                    </w:rPr>
                    <w:t>非甲烷总烃</w:t>
                  </w:r>
                </w:p>
              </w:tc>
              <w:tc>
                <w:tcPr>
                  <w:tcW w:w="268" w:type="pct"/>
                  <w:vMerge w:val="restart"/>
                  <w:noWrap w:val="0"/>
                  <w:vAlign w:val="center"/>
                </w:tcPr>
                <w:p w14:paraId="548E4CB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eastAsia="zh-CN"/>
                    </w:rPr>
                  </w:pPr>
                  <w:r>
                    <w:rPr>
                      <w:rFonts w:hint="eastAsia" w:cs="Times New Roman"/>
                      <w:bCs/>
                      <w:color w:val="auto"/>
                      <w:kern w:val="0"/>
                      <w:sz w:val="21"/>
                      <w:szCs w:val="21"/>
                      <w:lang w:val="en-US" w:eastAsia="zh-CN"/>
                    </w:rPr>
                    <w:t>物料平衡法</w:t>
                  </w:r>
                </w:p>
              </w:tc>
              <w:tc>
                <w:tcPr>
                  <w:tcW w:w="367" w:type="pct"/>
                  <w:noWrap w:val="0"/>
                  <w:vAlign w:val="center"/>
                </w:tcPr>
                <w:p w14:paraId="35ADF39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64</w:t>
                  </w:r>
                  <w:r>
                    <w:rPr>
                      <w:rFonts w:hint="eastAsia" w:ascii="Times New Roman" w:hAnsi="Times New Roman" w:cs="Times New Roman"/>
                      <w:bCs/>
                      <w:color w:val="auto"/>
                      <w:sz w:val="21"/>
                      <w:szCs w:val="21"/>
                      <w:lang w:val="en-US" w:eastAsia="zh-CN"/>
                    </w:rPr>
                    <w:t>00</w:t>
                  </w:r>
                </w:p>
              </w:tc>
              <w:tc>
                <w:tcPr>
                  <w:tcW w:w="345" w:type="pct"/>
                  <w:noWrap w:val="0"/>
                  <w:vAlign w:val="center"/>
                </w:tcPr>
                <w:p w14:paraId="63A1F737">
                  <w:pPr>
                    <w:keepNext w:val="0"/>
                    <w:keepLines w:val="0"/>
                    <w:widowControl/>
                    <w:suppressLineNumbers w:val="0"/>
                    <w:jc w:val="center"/>
                    <w:textAlignment w:val="center"/>
                    <w:rPr>
                      <w:rFonts w:hint="default" w:ascii="Times New Roman" w:hAnsi="Times New Roman" w:cs="Times New Roman"/>
                      <w:bCs/>
                      <w:color w:val="auto"/>
                      <w:sz w:val="21"/>
                      <w:szCs w:val="21"/>
                      <w:lang w:val="en-US" w:eastAsia="zh-CN"/>
                    </w:rPr>
                  </w:pPr>
                  <w:r>
                    <w:rPr>
                      <w:rFonts w:hint="eastAsia" w:cs="宋体"/>
                      <w:i w:val="0"/>
                      <w:iCs w:val="0"/>
                      <w:color w:val="auto"/>
                      <w:kern w:val="0"/>
                      <w:sz w:val="22"/>
                      <w:szCs w:val="22"/>
                      <w:u w:val="none"/>
                      <w:lang w:val="en-US" w:eastAsia="zh-CN" w:bidi="ar"/>
                    </w:rPr>
                    <w:t>11.055</w:t>
                  </w:r>
                </w:p>
              </w:tc>
              <w:tc>
                <w:tcPr>
                  <w:tcW w:w="325" w:type="pct"/>
                  <w:noWrap w:val="0"/>
                  <w:vAlign w:val="center"/>
                </w:tcPr>
                <w:p w14:paraId="39889B7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宋体"/>
                      <w:i w:val="0"/>
                      <w:iCs w:val="0"/>
                      <w:color w:val="auto"/>
                      <w:kern w:val="0"/>
                      <w:sz w:val="22"/>
                      <w:szCs w:val="22"/>
                      <w:u w:val="none"/>
                      <w:lang w:val="en-US" w:eastAsia="zh-CN" w:bidi="ar"/>
                    </w:rPr>
                    <w:t>0.071</w:t>
                  </w:r>
                </w:p>
              </w:tc>
              <w:tc>
                <w:tcPr>
                  <w:tcW w:w="324" w:type="pct"/>
                  <w:noWrap w:val="0"/>
                  <w:vAlign w:val="center"/>
                </w:tcPr>
                <w:p w14:paraId="3C1E8B47">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cs="宋体"/>
                      <w:i w:val="0"/>
                      <w:iCs w:val="0"/>
                      <w:color w:val="auto"/>
                      <w:kern w:val="0"/>
                      <w:sz w:val="22"/>
                      <w:szCs w:val="22"/>
                      <w:u w:val="none"/>
                      <w:lang w:val="en-US" w:eastAsia="zh-CN" w:bidi="ar"/>
                    </w:rPr>
                    <w:t>0.509</w:t>
                  </w:r>
                </w:p>
              </w:tc>
              <w:tc>
                <w:tcPr>
                  <w:tcW w:w="309" w:type="pct"/>
                  <w:noWrap w:val="0"/>
                  <w:vAlign w:val="center"/>
                </w:tcPr>
                <w:p w14:paraId="1345FF7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cs="Times New Roman"/>
                      <w:bCs/>
                      <w:color w:val="auto"/>
                      <w:kern w:val="0"/>
                      <w:sz w:val="21"/>
                      <w:szCs w:val="21"/>
                      <w:lang w:val="en-US" w:eastAsia="zh-CN"/>
                    </w:rPr>
                    <w:t>二级活性炭吸附装置</w:t>
                  </w:r>
                </w:p>
              </w:tc>
              <w:tc>
                <w:tcPr>
                  <w:tcW w:w="196" w:type="pct"/>
                  <w:noWrap w:val="0"/>
                  <w:vAlign w:val="center"/>
                </w:tcPr>
                <w:p w14:paraId="2D2D96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cs="Times New Roman"/>
                      <w:bCs/>
                      <w:color w:val="auto"/>
                      <w:kern w:val="0"/>
                      <w:sz w:val="21"/>
                      <w:szCs w:val="21"/>
                      <w:lang w:val="en-US" w:eastAsia="zh-CN"/>
                    </w:rPr>
                    <w:t>90%</w:t>
                  </w:r>
                </w:p>
              </w:tc>
              <w:tc>
                <w:tcPr>
                  <w:tcW w:w="257" w:type="pct"/>
                  <w:vMerge w:val="restart"/>
                  <w:noWrap w:val="0"/>
                  <w:vAlign w:val="center"/>
                </w:tcPr>
                <w:p w14:paraId="325F73C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产污系数法</w:t>
                  </w:r>
                </w:p>
              </w:tc>
              <w:tc>
                <w:tcPr>
                  <w:tcW w:w="313" w:type="pct"/>
                  <w:noWrap w:val="0"/>
                  <w:vAlign w:val="center"/>
                </w:tcPr>
                <w:p w14:paraId="2714FDD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64</w:t>
                  </w:r>
                  <w:r>
                    <w:rPr>
                      <w:rFonts w:hint="eastAsia" w:ascii="Times New Roman" w:hAnsi="Times New Roman" w:cs="Times New Roman"/>
                      <w:i w:val="0"/>
                      <w:iCs w:val="0"/>
                      <w:color w:val="auto"/>
                      <w:kern w:val="0"/>
                      <w:sz w:val="21"/>
                      <w:szCs w:val="21"/>
                      <w:u w:val="none"/>
                      <w:lang w:val="en-US" w:eastAsia="zh-CN" w:bidi="ar"/>
                    </w:rPr>
                    <w:t>00</w:t>
                  </w:r>
                </w:p>
              </w:tc>
              <w:tc>
                <w:tcPr>
                  <w:tcW w:w="313" w:type="pct"/>
                  <w:shd w:val="clear" w:color="auto" w:fill="auto"/>
                  <w:noWrap w:val="0"/>
                  <w:vAlign w:val="center"/>
                </w:tcPr>
                <w:p w14:paraId="5D23F36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宋体"/>
                      <w:i w:val="0"/>
                      <w:iCs w:val="0"/>
                      <w:color w:val="auto"/>
                      <w:kern w:val="0"/>
                      <w:sz w:val="22"/>
                      <w:szCs w:val="22"/>
                      <w:u w:val="none"/>
                      <w:lang w:val="en-US" w:eastAsia="zh-CN" w:bidi="ar"/>
                    </w:rPr>
                    <w:t>1.105</w:t>
                  </w:r>
                </w:p>
              </w:tc>
              <w:tc>
                <w:tcPr>
                  <w:tcW w:w="325" w:type="pct"/>
                  <w:shd w:val="clear" w:color="auto" w:fill="auto"/>
                  <w:noWrap w:val="0"/>
                  <w:vAlign w:val="center"/>
                </w:tcPr>
                <w:p w14:paraId="7A0E681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宋体"/>
                      <w:i w:val="0"/>
                      <w:iCs w:val="0"/>
                      <w:color w:val="auto"/>
                      <w:kern w:val="0"/>
                      <w:sz w:val="22"/>
                      <w:szCs w:val="22"/>
                      <w:u w:val="none"/>
                      <w:lang w:val="en-US" w:eastAsia="zh-CN" w:bidi="ar"/>
                    </w:rPr>
                    <w:t>0.007</w:t>
                  </w:r>
                </w:p>
              </w:tc>
              <w:tc>
                <w:tcPr>
                  <w:tcW w:w="306" w:type="pct"/>
                  <w:shd w:val="clear" w:color="auto" w:fill="auto"/>
                  <w:noWrap w:val="0"/>
                  <w:vAlign w:val="center"/>
                </w:tcPr>
                <w:p w14:paraId="52AD8FA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宋体"/>
                      <w:i w:val="0"/>
                      <w:iCs w:val="0"/>
                      <w:color w:val="auto"/>
                      <w:kern w:val="0"/>
                      <w:sz w:val="22"/>
                      <w:szCs w:val="22"/>
                      <w:u w:val="none"/>
                      <w:lang w:val="en-US" w:eastAsia="zh-CN" w:bidi="ar"/>
                    </w:rPr>
                    <w:t>0.051</w:t>
                  </w:r>
                </w:p>
              </w:tc>
              <w:tc>
                <w:tcPr>
                  <w:tcW w:w="235" w:type="pct"/>
                  <w:vMerge w:val="restart"/>
                  <w:noWrap w:val="0"/>
                  <w:vAlign w:val="center"/>
                </w:tcPr>
                <w:p w14:paraId="48C489A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7200</w:t>
                  </w:r>
                </w:p>
              </w:tc>
            </w:tr>
            <w:tr w14:paraId="6453E8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245" w:type="pct"/>
                  <w:vMerge w:val="continue"/>
                  <w:noWrap w:val="0"/>
                  <w:vAlign w:val="center"/>
                </w:tcPr>
                <w:p w14:paraId="2A588CD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cs="Times New Roman"/>
                      <w:bCs/>
                      <w:color w:val="auto"/>
                      <w:sz w:val="21"/>
                      <w:szCs w:val="21"/>
                      <w:lang w:val="en-US" w:eastAsia="zh-CN"/>
                    </w:rPr>
                  </w:pPr>
                </w:p>
              </w:tc>
              <w:tc>
                <w:tcPr>
                  <w:tcW w:w="199" w:type="pct"/>
                  <w:vMerge w:val="continue"/>
                  <w:noWrap w:val="0"/>
                  <w:vAlign w:val="center"/>
                </w:tcPr>
                <w:p w14:paraId="74D33BE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cs="Times New Roman"/>
                      <w:bCs/>
                      <w:color w:val="auto"/>
                      <w:sz w:val="21"/>
                      <w:szCs w:val="21"/>
                      <w:lang w:val="en-US" w:eastAsia="zh-CN"/>
                    </w:rPr>
                  </w:pPr>
                </w:p>
              </w:tc>
              <w:tc>
                <w:tcPr>
                  <w:tcW w:w="277" w:type="pct"/>
                  <w:noWrap w:val="0"/>
                  <w:vAlign w:val="center"/>
                </w:tcPr>
                <w:p w14:paraId="33B5ED9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eastAsia" w:eastAsia="宋体" w:cs="Times New Roman"/>
                      <w:bCs/>
                      <w:color w:val="auto"/>
                      <w:sz w:val="21"/>
                      <w:szCs w:val="21"/>
                      <w:lang w:val="en-US" w:eastAsia="zh-CN"/>
                    </w:rPr>
                    <w:t>无组织</w:t>
                  </w:r>
                </w:p>
              </w:tc>
              <w:tc>
                <w:tcPr>
                  <w:tcW w:w="392" w:type="pct"/>
                  <w:vMerge w:val="continue"/>
                  <w:noWrap w:val="0"/>
                  <w:vAlign w:val="center"/>
                </w:tcPr>
                <w:p w14:paraId="18C932F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268" w:type="pct"/>
                  <w:vMerge w:val="continue"/>
                  <w:noWrap w:val="0"/>
                  <w:vAlign w:val="center"/>
                </w:tcPr>
                <w:p w14:paraId="1AB921A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367" w:type="pct"/>
                  <w:noWrap w:val="0"/>
                  <w:vAlign w:val="center"/>
                </w:tcPr>
                <w:p w14:paraId="3B348EB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w:t>
                  </w:r>
                </w:p>
              </w:tc>
              <w:tc>
                <w:tcPr>
                  <w:tcW w:w="345" w:type="pct"/>
                  <w:noWrap w:val="0"/>
                  <w:vAlign w:val="center"/>
                </w:tcPr>
                <w:p w14:paraId="647DE43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w:t>
                  </w:r>
                </w:p>
              </w:tc>
              <w:tc>
                <w:tcPr>
                  <w:tcW w:w="977" w:type="dxa"/>
                  <w:noWrap w:val="0"/>
                  <w:vAlign w:val="center"/>
                </w:tcPr>
                <w:p w14:paraId="31D40CD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宋体"/>
                      <w:i w:val="0"/>
                      <w:iCs w:val="0"/>
                      <w:color w:val="auto"/>
                      <w:kern w:val="0"/>
                      <w:sz w:val="22"/>
                      <w:szCs w:val="22"/>
                      <w:u w:val="none"/>
                      <w:lang w:val="en-US" w:eastAsia="zh-CN" w:bidi="ar"/>
                    </w:rPr>
                    <w:t>0.008</w:t>
                  </w:r>
                </w:p>
              </w:tc>
              <w:tc>
                <w:tcPr>
                  <w:tcW w:w="974" w:type="dxa"/>
                  <w:noWrap w:val="0"/>
                  <w:vAlign w:val="center"/>
                </w:tcPr>
                <w:p w14:paraId="017CC364">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cs="宋体"/>
                      <w:i w:val="0"/>
                      <w:iCs w:val="0"/>
                      <w:color w:val="auto"/>
                      <w:kern w:val="0"/>
                      <w:sz w:val="22"/>
                      <w:szCs w:val="22"/>
                      <w:u w:val="none"/>
                      <w:lang w:val="en-US" w:eastAsia="zh-CN" w:bidi="ar"/>
                    </w:rPr>
                    <w:t>0.057</w:t>
                  </w:r>
                </w:p>
              </w:tc>
              <w:tc>
                <w:tcPr>
                  <w:tcW w:w="309" w:type="pct"/>
                  <w:noWrap w:val="0"/>
                  <w:vAlign w:val="center"/>
                </w:tcPr>
                <w:p w14:paraId="5C9C901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cs="Times New Roman"/>
                      <w:bCs/>
                      <w:color w:val="auto"/>
                      <w:kern w:val="0"/>
                      <w:sz w:val="21"/>
                      <w:szCs w:val="21"/>
                      <w:lang w:val="en-US" w:eastAsia="zh-CN"/>
                    </w:rPr>
                    <w:t>/</w:t>
                  </w:r>
                </w:p>
              </w:tc>
              <w:tc>
                <w:tcPr>
                  <w:tcW w:w="196" w:type="pct"/>
                  <w:noWrap w:val="0"/>
                  <w:vAlign w:val="center"/>
                </w:tcPr>
                <w:p w14:paraId="3291E9E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kern w:val="0"/>
                      <w:sz w:val="21"/>
                      <w:szCs w:val="21"/>
                      <w:lang w:val="en-US" w:eastAsia="zh-CN"/>
                    </w:rPr>
                  </w:pPr>
                  <w:r>
                    <w:rPr>
                      <w:rFonts w:hint="eastAsia" w:ascii="Times New Roman" w:hAnsi="Times New Roman" w:cs="Times New Roman"/>
                      <w:bCs/>
                      <w:color w:val="auto"/>
                      <w:kern w:val="0"/>
                      <w:sz w:val="21"/>
                      <w:szCs w:val="21"/>
                      <w:lang w:val="en-US" w:eastAsia="zh-CN"/>
                    </w:rPr>
                    <w:t>/</w:t>
                  </w:r>
                </w:p>
              </w:tc>
              <w:tc>
                <w:tcPr>
                  <w:tcW w:w="257" w:type="pct"/>
                  <w:vMerge w:val="continue"/>
                  <w:noWrap w:val="0"/>
                  <w:vAlign w:val="center"/>
                </w:tcPr>
                <w:p w14:paraId="69A3224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c>
                <w:tcPr>
                  <w:tcW w:w="313" w:type="pct"/>
                  <w:noWrap w:val="0"/>
                  <w:vAlign w:val="center"/>
                </w:tcPr>
                <w:p w14:paraId="289367D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w:t>
                  </w:r>
                </w:p>
              </w:tc>
              <w:tc>
                <w:tcPr>
                  <w:tcW w:w="313" w:type="pct"/>
                  <w:shd w:val="clear" w:color="auto" w:fill="auto"/>
                  <w:noWrap w:val="0"/>
                  <w:vAlign w:val="center"/>
                </w:tcPr>
                <w:p w14:paraId="5ADFA1C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w:t>
                  </w:r>
                </w:p>
              </w:tc>
              <w:tc>
                <w:tcPr>
                  <w:tcW w:w="325" w:type="pct"/>
                  <w:shd w:val="clear" w:color="auto" w:fill="auto"/>
                  <w:noWrap w:val="0"/>
                  <w:vAlign w:val="center"/>
                </w:tcPr>
                <w:p w14:paraId="1CD4549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宋体"/>
                      <w:i w:val="0"/>
                      <w:iCs w:val="0"/>
                      <w:color w:val="auto"/>
                      <w:kern w:val="0"/>
                      <w:sz w:val="22"/>
                      <w:szCs w:val="22"/>
                      <w:u w:val="none"/>
                      <w:lang w:val="en-US" w:eastAsia="zh-CN" w:bidi="ar"/>
                    </w:rPr>
                    <w:t>0.008</w:t>
                  </w:r>
                </w:p>
              </w:tc>
              <w:tc>
                <w:tcPr>
                  <w:tcW w:w="306" w:type="pct"/>
                  <w:shd w:val="clear" w:color="auto" w:fill="auto"/>
                  <w:noWrap w:val="0"/>
                  <w:vAlign w:val="center"/>
                </w:tcPr>
                <w:p w14:paraId="1D82AA3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宋体"/>
                      <w:i w:val="0"/>
                      <w:iCs w:val="0"/>
                      <w:color w:val="auto"/>
                      <w:kern w:val="0"/>
                      <w:sz w:val="22"/>
                      <w:szCs w:val="22"/>
                      <w:u w:val="none"/>
                      <w:lang w:val="en-US" w:eastAsia="zh-CN" w:bidi="ar"/>
                    </w:rPr>
                    <w:t>0.057</w:t>
                  </w:r>
                </w:p>
              </w:tc>
              <w:tc>
                <w:tcPr>
                  <w:tcW w:w="235" w:type="pct"/>
                  <w:vMerge w:val="continue"/>
                  <w:noWrap w:val="0"/>
                  <w:vAlign w:val="center"/>
                </w:tcPr>
                <w:p w14:paraId="10C469B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kern w:val="0"/>
                      <w:sz w:val="21"/>
                      <w:szCs w:val="21"/>
                      <w:lang w:val="en-US" w:eastAsia="zh-CN" w:bidi="ar"/>
                    </w:rPr>
                  </w:pPr>
                </w:p>
              </w:tc>
            </w:tr>
          </w:tbl>
          <w:p w14:paraId="701AE107">
            <w:pPr>
              <w:widowControl/>
              <w:adjustRightInd w:val="0"/>
              <w:snapToGrid w:val="0"/>
              <w:spacing w:line="240" w:lineRule="auto"/>
              <w:ind w:firstLine="0" w:firstLineChars="0"/>
              <w:rPr>
                <w:rFonts w:hint="default" w:ascii="Times New Roman" w:hAnsi="Times New Roman" w:eastAsia="宋体" w:cs="Times New Roman"/>
                <w:bCs/>
                <w:color w:val="auto"/>
                <w:kern w:val="0"/>
                <w:sz w:val="18"/>
                <w:szCs w:val="18"/>
              </w:rPr>
            </w:pPr>
          </w:p>
          <w:p w14:paraId="4BF560E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表4-2</w:t>
            </w:r>
            <w:r>
              <w:rPr>
                <w:rFonts w:hint="eastAsia" w:cs="Times New Roman"/>
                <w:b/>
                <w:color w:val="auto"/>
                <w:kern w:val="0"/>
                <w:sz w:val="21"/>
                <w:szCs w:val="21"/>
                <w:lang w:val="en-US" w:eastAsia="zh-CN"/>
              </w:rPr>
              <w:t xml:space="preserve">  本项目建成后</w:t>
            </w:r>
            <w:r>
              <w:rPr>
                <w:rFonts w:hint="default" w:ascii="Times New Roman" w:hAnsi="Times New Roman" w:eastAsia="宋体" w:cs="Times New Roman"/>
                <w:b/>
                <w:color w:val="auto"/>
                <w:kern w:val="0"/>
                <w:sz w:val="21"/>
                <w:szCs w:val="21"/>
              </w:rPr>
              <w:t>有组织废气污染源源强核算结果及相关参数一览表</w:t>
            </w:r>
          </w:p>
          <w:tbl>
            <w:tblPr>
              <w:tblStyle w:val="22"/>
              <w:tblW w:w="1503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936"/>
              <w:gridCol w:w="1109"/>
              <w:gridCol w:w="1006"/>
              <w:gridCol w:w="681"/>
              <w:gridCol w:w="1189"/>
              <w:gridCol w:w="982"/>
              <w:gridCol w:w="853"/>
              <w:gridCol w:w="1084"/>
              <w:gridCol w:w="683"/>
              <w:gridCol w:w="681"/>
              <w:gridCol w:w="1189"/>
              <w:gridCol w:w="982"/>
              <w:gridCol w:w="820"/>
              <w:gridCol w:w="1189"/>
              <w:gridCol w:w="983"/>
              <w:gridCol w:w="668"/>
            </w:tblGrid>
            <w:tr w14:paraId="43F52D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66" w:hRule="atLeast"/>
                <w:jc w:val="center"/>
              </w:trPr>
              <w:tc>
                <w:tcPr>
                  <w:tcW w:w="936" w:type="dxa"/>
                  <w:vMerge w:val="restart"/>
                  <w:noWrap/>
                  <w:vAlign w:val="center"/>
                </w:tcPr>
                <w:p w14:paraId="4739604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污染源</w:t>
                  </w:r>
                </w:p>
              </w:tc>
              <w:tc>
                <w:tcPr>
                  <w:tcW w:w="1109" w:type="dxa"/>
                  <w:vMerge w:val="restart"/>
                  <w:noWrap/>
                  <w:vAlign w:val="center"/>
                </w:tcPr>
                <w:p w14:paraId="774E568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污染物名称</w:t>
                  </w:r>
                </w:p>
              </w:tc>
              <w:tc>
                <w:tcPr>
                  <w:tcW w:w="1006" w:type="dxa"/>
                  <w:vMerge w:val="restart"/>
                  <w:noWrap/>
                  <w:vAlign w:val="center"/>
                </w:tcPr>
                <w:p w14:paraId="74CC0D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废气产生量（m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/h）</w:t>
                  </w:r>
                </w:p>
              </w:tc>
              <w:tc>
                <w:tcPr>
                  <w:tcW w:w="681" w:type="dxa"/>
                  <w:vMerge w:val="restart"/>
                  <w:noWrap/>
                  <w:vAlign w:val="center"/>
                </w:tcPr>
                <w:p w14:paraId="30D4D9A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w:t>
                  </w:r>
                </w:p>
                <w:p w14:paraId="40C778A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方法</w:t>
                  </w:r>
                </w:p>
              </w:tc>
              <w:tc>
                <w:tcPr>
                  <w:tcW w:w="3024" w:type="dxa"/>
                  <w:gridSpan w:val="3"/>
                  <w:noWrap/>
                  <w:vAlign w:val="center"/>
                </w:tcPr>
                <w:p w14:paraId="60C6B06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产生情况</w:t>
                  </w:r>
                </w:p>
              </w:tc>
              <w:tc>
                <w:tcPr>
                  <w:tcW w:w="1767" w:type="dxa"/>
                  <w:gridSpan w:val="2"/>
                  <w:noWrap/>
                  <w:vAlign w:val="center"/>
                </w:tcPr>
                <w:p w14:paraId="78BA906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治理措施</w:t>
                  </w:r>
                </w:p>
              </w:tc>
              <w:tc>
                <w:tcPr>
                  <w:tcW w:w="681" w:type="dxa"/>
                  <w:vMerge w:val="restart"/>
                  <w:noWrap/>
                  <w:vAlign w:val="center"/>
                </w:tcPr>
                <w:p w14:paraId="1604A66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w:t>
                  </w:r>
                </w:p>
                <w:p w14:paraId="5FABE18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方法</w:t>
                  </w:r>
                </w:p>
              </w:tc>
              <w:tc>
                <w:tcPr>
                  <w:tcW w:w="2991" w:type="dxa"/>
                  <w:gridSpan w:val="3"/>
                  <w:noWrap/>
                  <w:vAlign w:val="center"/>
                </w:tcPr>
                <w:p w14:paraId="03F5786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排放情况</w:t>
                  </w:r>
                </w:p>
              </w:tc>
              <w:tc>
                <w:tcPr>
                  <w:tcW w:w="2172" w:type="dxa"/>
                  <w:gridSpan w:val="2"/>
                  <w:noWrap/>
                  <w:vAlign w:val="center"/>
                </w:tcPr>
                <w:p w14:paraId="66269C1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执行标准</w:t>
                  </w:r>
                </w:p>
              </w:tc>
              <w:tc>
                <w:tcPr>
                  <w:tcW w:w="668" w:type="dxa"/>
                  <w:vMerge w:val="restart"/>
                  <w:noWrap w:val="0"/>
                  <w:vAlign w:val="center"/>
                </w:tcPr>
                <w:p w14:paraId="29814E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排放时间</w:t>
                  </w:r>
                </w:p>
                <w:p w14:paraId="1DE784F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h</w:t>
                  </w:r>
                  <w:r>
                    <w:rPr>
                      <w:rFonts w:hint="eastAsia" w:cs="Times New Roman"/>
                      <w:b w:val="0"/>
                      <w:bCs/>
                      <w:color w:val="auto"/>
                      <w:kern w:val="0"/>
                      <w:sz w:val="21"/>
                      <w:szCs w:val="21"/>
                      <w:lang w:eastAsia="zh-CN"/>
                    </w:rPr>
                    <w:t>)</w:t>
                  </w:r>
                </w:p>
              </w:tc>
            </w:tr>
            <w:tr w14:paraId="7F45F6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60" w:hRule="atLeast"/>
                <w:jc w:val="center"/>
              </w:trPr>
              <w:tc>
                <w:tcPr>
                  <w:tcW w:w="936" w:type="dxa"/>
                  <w:vMerge w:val="continue"/>
                  <w:noWrap/>
                  <w:vAlign w:val="center"/>
                </w:tcPr>
                <w:p w14:paraId="1840548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109" w:type="dxa"/>
                  <w:vMerge w:val="continue"/>
                  <w:noWrap/>
                  <w:vAlign w:val="center"/>
                </w:tcPr>
                <w:p w14:paraId="46D7BEB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006" w:type="dxa"/>
                  <w:vMerge w:val="continue"/>
                  <w:noWrap/>
                  <w:vAlign w:val="center"/>
                </w:tcPr>
                <w:p w14:paraId="6049919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681" w:type="dxa"/>
                  <w:vMerge w:val="continue"/>
                  <w:noWrap/>
                  <w:vAlign w:val="center"/>
                </w:tcPr>
                <w:p w14:paraId="6F563CD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189" w:type="dxa"/>
                  <w:noWrap/>
                  <w:vAlign w:val="center"/>
                </w:tcPr>
                <w:p w14:paraId="535DD0B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浓度（mg/m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w:t>
                  </w:r>
                </w:p>
              </w:tc>
              <w:tc>
                <w:tcPr>
                  <w:tcW w:w="982" w:type="dxa"/>
                  <w:noWrap/>
                  <w:vAlign w:val="center"/>
                </w:tcPr>
                <w:p w14:paraId="743E84F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速率（kg/h）</w:t>
                  </w:r>
                </w:p>
              </w:tc>
              <w:tc>
                <w:tcPr>
                  <w:tcW w:w="853" w:type="dxa"/>
                  <w:noWrap/>
                  <w:vAlign w:val="center"/>
                </w:tcPr>
                <w:p w14:paraId="4E265BB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产生量（t/a）</w:t>
                  </w:r>
                </w:p>
              </w:tc>
              <w:tc>
                <w:tcPr>
                  <w:tcW w:w="1084" w:type="dxa"/>
                  <w:noWrap/>
                  <w:vAlign w:val="center"/>
                </w:tcPr>
                <w:p w14:paraId="5CE14B4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工艺</w:t>
                  </w:r>
                </w:p>
              </w:tc>
              <w:tc>
                <w:tcPr>
                  <w:tcW w:w="683" w:type="dxa"/>
                  <w:noWrap/>
                  <w:vAlign w:val="center"/>
                </w:tcPr>
                <w:p w14:paraId="0F6B277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效率</w:t>
                  </w:r>
                </w:p>
              </w:tc>
              <w:tc>
                <w:tcPr>
                  <w:tcW w:w="681" w:type="dxa"/>
                  <w:vMerge w:val="continue"/>
                  <w:noWrap/>
                  <w:vAlign w:val="center"/>
                </w:tcPr>
                <w:p w14:paraId="112017A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189" w:type="dxa"/>
                  <w:noWrap/>
                  <w:vAlign w:val="center"/>
                </w:tcPr>
                <w:p w14:paraId="7CAD400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浓度（mg/m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w:t>
                  </w:r>
                </w:p>
              </w:tc>
              <w:tc>
                <w:tcPr>
                  <w:tcW w:w="982" w:type="dxa"/>
                  <w:noWrap/>
                  <w:vAlign w:val="center"/>
                </w:tcPr>
                <w:p w14:paraId="0C3281E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速率（kg/h）</w:t>
                  </w:r>
                </w:p>
              </w:tc>
              <w:tc>
                <w:tcPr>
                  <w:tcW w:w="820" w:type="dxa"/>
                  <w:noWrap/>
                  <w:vAlign w:val="center"/>
                </w:tcPr>
                <w:p w14:paraId="044B52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排放量（t/a）</w:t>
                  </w:r>
                </w:p>
              </w:tc>
              <w:tc>
                <w:tcPr>
                  <w:tcW w:w="1189" w:type="dxa"/>
                  <w:noWrap/>
                  <w:vAlign w:val="center"/>
                </w:tcPr>
                <w:p w14:paraId="180030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浓度（mg/m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w:t>
                  </w:r>
                </w:p>
              </w:tc>
              <w:tc>
                <w:tcPr>
                  <w:tcW w:w="983" w:type="dxa"/>
                  <w:noWrap/>
                  <w:vAlign w:val="center"/>
                </w:tcPr>
                <w:p w14:paraId="19F1F55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速率（kg/h）</w:t>
                  </w:r>
                </w:p>
              </w:tc>
              <w:tc>
                <w:tcPr>
                  <w:tcW w:w="668" w:type="dxa"/>
                  <w:vMerge w:val="continue"/>
                  <w:noWrap w:val="0"/>
                  <w:vAlign w:val="center"/>
                </w:tcPr>
                <w:p w14:paraId="3147EC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r>
            <w:tr w14:paraId="09F724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90" w:hRule="atLeast"/>
                <w:jc w:val="center"/>
              </w:trPr>
              <w:tc>
                <w:tcPr>
                  <w:tcW w:w="936" w:type="dxa"/>
                  <w:noWrap/>
                  <w:vAlign w:val="center"/>
                </w:tcPr>
                <w:p w14:paraId="4475DC9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DA001</w:t>
                  </w:r>
                </w:p>
              </w:tc>
              <w:tc>
                <w:tcPr>
                  <w:tcW w:w="1109" w:type="dxa"/>
                  <w:noWrap/>
                  <w:vAlign w:val="center"/>
                </w:tcPr>
                <w:p w14:paraId="7977718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eastAsia="zh-CN"/>
                    </w:rPr>
                  </w:pPr>
                  <w:r>
                    <w:rPr>
                      <w:rFonts w:hint="eastAsia" w:cs="Times New Roman"/>
                      <w:b w:val="0"/>
                      <w:bCs/>
                      <w:color w:val="auto"/>
                      <w:sz w:val="21"/>
                      <w:szCs w:val="21"/>
                      <w:lang w:val="en-US" w:eastAsia="zh-CN"/>
                    </w:rPr>
                    <w:t>非甲烷总烃</w:t>
                  </w:r>
                </w:p>
              </w:tc>
              <w:tc>
                <w:tcPr>
                  <w:tcW w:w="1006" w:type="dxa"/>
                  <w:noWrap/>
                  <w:vAlign w:val="center"/>
                </w:tcPr>
                <w:p w14:paraId="2BA63EB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color w:val="auto"/>
                      <w:sz w:val="21"/>
                      <w:szCs w:val="21"/>
                      <w:lang w:val="en-US"/>
                    </w:rPr>
                  </w:pPr>
                  <w:r>
                    <w:rPr>
                      <w:rFonts w:hint="eastAsia" w:cs="Times New Roman"/>
                      <w:b w:val="0"/>
                      <w:bCs/>
                      <w:color w:val="auto"/>
                      <w:kern w:val="0"/>
                      <w:sz w:val="21"/>
                      <w:szCs w:val="21"/>
                      <w:lang w:val="en-US" w:eastAsia="zh-CN" w:bidi="ar"/>
                    </w:rPr>
                    <w:t>6400</w:t>
                  </w:r>
                </w:p>
              </w:tc>
              <w:tc>
                <w:tcPr>
                  <w:tcW w:w="681" w:type="dxa"/>
                  <w:noWrap/>
                  <w:vAlign w:val="center"/>
                </w:tcPr>
                <w:p w14:paraId="7FAB742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sz w:val="21"/>
                      <w:szCs w:val="21"/>
                      <w:lang w:eastAsia="zh-CN"/>
                    </w:rPr>
                  </w:pPr>
                  <w:r>
                    <w:rPr>
                      <w:rFonts w:hint="eastAsia" w:cs="Times New Roman"/>
                      <w:b w:val="0"/>
                      <w:bCs/>
                      <w:color w:val="auto"/>
                      <w:kern w:val="0"/>
                      <w:sz w:val="21"/>
                      <w:szCs w:val="21"/>
                      <w:lang w:val="en-US" w:eastAsia="zh-CN"/>
                    </w:rPr>
                    <w:t>物料平衡法</w:t>
                  </w:r>
                </w:p>
              </w:tc>
              <w:tc>
                <w:tcPr>
                  <w:tcW w:w="1189" w:type="dxa"/>
                  <w:noWrap/>
                  <w:vAlign w:val="center"/>
                </w:tcPr>
                <w:p w14:paraId="628033A6">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cs="宋体"/>
                      <w:i w:val="0"/>
                      <w:iCs w:val="0"/>
                      <w:color w:val="auto"/>
                      <w:kern w:val="0"/>
                      <w:sz w:val="22"/>
                      <w:szCs w:val="22"/>
                      <w:u w:val="none"/>
                      <w:lang w:val="en-US" w:eastAsia="zh-CN" w:bidi="ar"/>
                    </w:rPr>
                    <w:t>11.055</w:t>
                  </w:r>
                </w:p>
              </w:tc>
              <w:tc>
                <w:tcPr>
                  <w:tcW w:w="982" w:type="dxa"/>
                  <w:noWrap/>
                  <w:vAlign w:val="center"/>
                </w:tcPr>
                <w:p w14:paraId="3AAAE51C">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cs="宋体"/>
                      <w:i w:val="0"/>
                      <w:iCs w:val="0"/>
                      <w:color w:val="auto"/>
                      <w:kern w:val="0"/>
                      <w:sz w:val="22"/>
                      <w:szCs w:val="22"/>
                      <w:u w:val="none"/>
                      <w:lang w:val="en-US" w:eastAsia="zh-CN" w:bidi="ar"/>
                    </w:rPr>
                    <w:t>0.071</w:t>
                  </w:r>
                </w:p>
              </w:tc>
              <w:tc>
                <w:tcPr>
                  <w:tcW w:w="853" w:type="dxa"/>
                  <w:noWrap/>
                  <w:vAlign w:val="center"/>
                </w:tcPr>
                <w:p w14:paraId="51FC5D1B">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cs="宋体"/>
                      <w:i w:val="0"/>
                      <w:iCs w:val="0"/>
                      <w:color w:val="auto"/>
                      <w:kern w:val="0"/>
                      <w:sz w:val="22"/>
                      <w:szCs w:val="22"/>
                      <w:u w:val="none"/>
                      <w:lang w:val="en-US" w:eastAsia="zh-CN" w:bidi="ar"/>
                    </w:rPr>
                    <w:t>0.509</w:t>
                  </w:r>
                </w:p>
              </w:tc>
              <w:tc>
                <w:tcPr>
                  <w:tcW w:w="1084" w:type="dxa"/>
                  <w:noWrap/>
                  <w:vAlign w:val="center"/>
                </w:tcPr>
                <w:p w14:paraId="727DD0B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rPr>
                  </w:pPr>
                  <w:r>
                    <w:rPr>
                      <w:rFonts w:hint="eastAsia" w:cs="Times New Roman"/>
                      <w:b w:val="0"/>
                      <w:bCs/>
                      <w:color w:val="auto"/>
                      <w:kern w:val="0"/>
                      <w:sz w:val="21"/>
                      <w:szCs w:val="21"/>
                      <w:lang w:val="en-US" w:eastAsia="zh-CN"/>
                    </w:rPr>
                    <w:t>二级活性炭吸附装置</w:t>
                  </w:r>
                </w:p>
              </w:tc>
              <w:tc>
                <w:tcPr>
                  <w:tcW w:w="683" w:type="dxa"/>
                  <w:noWrap/>
                  <w:vAlign w:val="center"/>
                </w:tcPr>
                <w:p w14:paraId="3BBA7B6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90%</w:t>
                  </w:r>
                </w:p>
              </w:tc>
              <w:tc>
                <w:tcPr>
                  <w:tcW w:w="681" w:type="dxa"/>
                  <w:noWrap/>
                  <w:vAlign w:val="center"/>
                </w:tcPr>
                <w:p w14:paraId="5771D2A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eastAsia="zh-CN"/>
                    </w:rPr>
                  </w:pPr>
                  <w:r>
                    <w:rPr>
                      <w:rFonts w:hint="eastAsia" w:cs="Times New Roman"/>
                      <w:b w:val="0"/>
                      <w:bCs/>
                      <w:color w:val="auto"/>
                      <w:kern w:val="0"/>
                      <w:sz w:val="21"/>
                      <w:szCs w:val="21"/>
                      <w:lang w:val="en-US" w:eastAsia="zh-CN"/>
                    </w:rPr>
                    <w:t>产污系数法</w:t>
                  </w:r>
                </w:p>
              </w:tc>
              <w:tc>
                <w:tcPr>
                  <w:tcW w:w="1189" w:type="dxa"/>
                  <w:noWrap/>
                  <w:vAlign w:val="center"/>
                </w:tcPr>
                <w:p w14:paraId="08E57AA7">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cs="宋体"/>
                      <w:i w:val="0"/>
                      <w:iCs w:val="0"/>
                      <w:color w:val="auto"/>
                      <w:kern w:val="0"/>
                      <w:sz w:val="22"/>
                      <w:szCs w:val="22"/>
                      <w:u w:val="none"/>
                      <w:lang w:val="en-US" w:eastAsia="zh-CN" w:bidi="ar"/>
                    </w:rPr>
                    <w:t>1.105</w:t>
                  </w:r>
                </w:p>
              </w:tc>
              <w:tc>
                <w:tcPr>
                  <w:tcW w:w="982" w:type="dxa"/>
                  <w:noWrap/>
                  <w:vAlign w:val="center"/>
                </w:tcPr>
                <w:p w14:paraId="6BD9BEEF">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cs="宋体"/>
                      <w:i w:val="0"/>
                      <w:iCs w:val="0"/>
                      <w:color w:val="auto"/>
                      <w:kern w:val="0"/>
                      <w:sz w:val="22"/>
                      <w:szCs w:val="22"/>
                      <w:u w:val="none"/>
                      <w:lang w:val="en-US" w:eastAsia="zh-CN" w:bidi="ar"/>
                    </w:rPr>
                    <w:t>0.007</w:t>
                  </w:r>
                </w:p>
              </w:tc>
              <w:tc>
                <w:tcPr>
                  <w:tcW w:w="820" w:type="dxa"/>
                  <w:noWrap/>
                  <w:vAlign w:val="center"/>
                </w:tcPr>
                <w:p w14:paraId="6D3471A4">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cs="宋体"/>
                      <w:i w:val="0"/>
                      <w:iCs w:val="0"/>
                      <w:color w:val="auto"/>
                      <w:kern w:val="0"/>
                      <w:sz w:val="22"/>
                      <w:szCs w:val="22"/>
                      <w:u w:val="none"/>
                      <w:lang w:val="en-US" w:eastAsia="zh-CN" w:bidi="ar"/>
                    </w:rPr>
                    <w:t>0.051</w:t>
                  </w:r>
                </w:p>
              </w:tc>
              <w:tc>
                <w:tcPr>
                  <w:tcW w:w="1189" w:type="dxa"/>
                  <w:noWrap/>
                  <w:vAlign w:val="center"/>
                </w:tcPr>
                <w:p w14:paraId="4C9F98E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80</w:t>
                  </w:r>
                </w:p>
              </w:tc>
              <w:tc>
                <w:tcPr>
                  <w:tcW w:w="983" w:type="dxa"/>
                  <w:noWrap/>
                  <w:vAlign w:val="center"/>
                </w:tcPr>
                <w:p w14:paraId="0107DD0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eastAsia="zh-CN"/>
                    </w:rPr>
                  </w:pPr>
                  <w:r>
                    <w:rPr>
                      <w:rFonts w:hint="eastAsia" w:cs="Times New Roman"/>
                      <w:b w:val="0"/>
                      <w:bCs/>
                      <w:color w:val="auto"/>
                      <w:kern w:val="0"/>
                      <w:sz w:val="21"/>
                      <w:szCs w:val="21"/>
                      <w:lang w:val="en-US" w:eastAsia="zh-CN"/>
                    </w:rPr>
                    <w:t>/</w:t>
                  </w:r>
                </w:p>
              </w:tc>
              <w:tc>
                <w:tcPr>
                  <w:tcW w:w="668" w:type="dxa"/>
                  <w:noWrap w:val="0"/>
                  <w:vAlign w:val="center"/>
                </w:tcPr>
                <w:p w14:paraId="23978AE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rPr>
                  </w:pPr>
                  <w:r>
                    <w:rPr>
                      <w:rFonts w:hint="eastAsia" w:cs="Times New Roman"/>
                      <w:b w:val="0"/>
                      <w:bCs/>
                      <w:color w:val="auto"/>
                      <w:sz w:val="21"/>
                      <w:szCs w:val="21"/>
                      <w:lang w:val="en-US" w:eastAsia="zh-CN"/>
                    </w:rPr>
                    <w:t>7200</w:t>
                  </w:r>
                </w:p>
              </w:tc>
            </w:tr>
          </w:tbl>
          <w:p w14:paraId="24AD316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18"/>
              </w:rPr>
            </w:pPr>
            <w:r>
              <w:rPr>
                <w:rFonts w:hint="default" w:ascii="Times New Roman" w:hAnsi="Times New Roman" w:eastAsia="宋体" w:cs="Times New Roman"/>
                <w:color w:val="auto"/>
                <w:kern w:val="0"/>
                <w:sz w:val="24"/>
              </w:rPr>
              <w:t>由上述分析可知，</w:t>
            </w:r>
            <w:r>
              <w:rPr>
                <w:rFonts w:hint="eastAsia" w:eastAsia="宋体" w:cs="Times New Roman"/>
                <w:color w:val="auto"/>
                <w:kern w:val="0"/>
                <w:sz w:val="24"/>
                <w:lang w:val="en-US" w:eastAsia="zh-CN"/>
              </w:rPr>
              <w:t>本项目建成后</w:t>
            </w:r>
            <w:r>
              <w:rPr>
                <w:rFonts w:hint="default" w:ascii="Times New Roman" w:hAnsi="Times New Roman" w:eastAsia="宋体" w:cs="Times New Roman"/>
                <w:color w:val="auto"/>
                <w:kern w:val="0"/>
                <w:sz w:val="24"/>
              </w:rPr>
              <w:t>排气筒（DA001）</w:t>
            </w:r>
            <w:r>
              <w:rPr>
                <w:rFonts w:hint="eastAsia" w:ascii="Times New Roman" w:hAnsi="Times New Roman" w:cs="Times New Roman"/>
                <w:color w:val="auto"/>
                <w:kern w:val="0"/>
                <w:sz w:val="24"/>
                <w:lang w:val="en-US" w:eastAsia="zh-CN"/>
              </w:rPr>
              <w:t>非甲烷总烃</w:t>
            </w:r>
            <w:r>
              <w:rPr>
                <w:rFonts w:hint="default" w:ascii="Times New Roman" w:hAnsi="Times New Roman" w:eastAsia="宋体" w:cs="Times New Roman"/>
                <w:color w:val="auto"/>
                <w:kern w:val="0"/>
                <w:sz w:val="24"/>
              </w:rPr>
              <w:t>排放</w:t>
            </w:r>
            <w:r>
              <w:rPr>
                <w:rFonts w:hint="eastAsia" w:eastAsia="宋体" w:cs="Times New Roman"/>
                <w:color w:val="auto"/>
                <w:kern w:val="0"/>
                <w:sz w:val="24"/>
                <w:lang w:val="en-US" w:eastAsia="zh-CN"/>
              </w:rPr>
              <w:t>浓度</w:t>
            </w:r>
            <w:r>
              <w:rPr>
                <w:rFonts w:hint="default" w:ascii="Times New Roman" w:hAnsi="Times New Roman" w:eastAsia="宋体" w:cs="Times New Roman"/>
                <w:color w:val="auto"/>
                <w:kern w:val="0"/>
                <w:sz w:val="24"/>
              </w:rPr>
              <w:t>满足</w:t>
            </w:r>
            <w:r>
              <w:rPr>
                <w:rFonts w:hint="default" w:ascii="Times New Roman" w:hAnsi="Times New Roman" w:eastAsia="宋体" w:cs="Times New Roman"/>
                <w:color w:val="auto"/>
                <w:sz w:val="24"/>
              </w:rPr>
              <w:t>《玻璃工业大气污染物排放标准》（GB26453-2022）表</w:t>
            </w:r>
            <w:r>
              <w:rPr>
                <w:rFonts w:hint="eastAsia" w:cs="Times New Roman"/>
                <w:color w:val="auto"/>
                <w:sz w:val="24"/>
                <w:lang w:val="en-US" w:eastAsia="zh-CN"/>
              </w:rPr>
              <w:t>1</w:t>
            </w:r>
            <w:r>
              <w:rPr>
                <w:rFonts w:hint="default" w:ascii="Times New Roman" w:hAnsi="Times New Roman" w:eastAsia="宋体" w:cs="Times New Roman"/>
                <w:color w:val="auto"/>
                <w:sz w:val="24"/>
              </w:rPr>
              <w:t>中非甲烷总烃的标准限值。</w:t>
            </w:r>
          </w:p>
          <w:p w14:paraId="56DA54BE">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p>
          <w:p w14:paraId="5D38D98A">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p>
          <w:p w14:paraId="058BB762">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p>
          <w:p w14:paraId="4EC49374">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p>
          <w:p w14:paraId="0D501125">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p>
          <w:p w14:paraId="0C4E8184">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p>
          <w:p w14:paraId="0D8821E5">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r>
              <w:rPr>
                <w:rFonts w:hint="default" w:ascii="Times New Roman" w:hAnsi="Times New Roman" w:eastAsia="宋体" w:cs="Times New Roman"/>
                <w:b/>
                <w:color w:val="auto"/>
                <w:kern w:val="0"/>
                <w:sz w:val="21"/>
                <w:szCs w:val="20"/>
              </w:rPr>
              <w:t>表4-3</w:t>
            </w:r>
            <w:r>
              <w:rPr>
                <w:rFonts w:hint="eastAsia" w:cs="Times New Roman"/>
                <w:b/>
                <w:color w:val="auto"/>
                <w:kern w:val="0"/>
                <w:sz w:val="21"/>
                <w:szCs w:val="20"/>
                <w:lang w:val="en-US" w:eastAsia="zh-CN"/>
              </w:rPr>
              <w:t xml:space="preserve">  本项目建成后</w:t>
            </w:r>
            <w:r>
              <w:rPr>
                <w:rFonts w:hint="default" w:ascii="Times New Roman" w:hAnsi="Times New Roman" w:eastAsia="宋体" w:cs="Times New Roman"/>
                <w:b/>
                <w:color w:val="auto"/>
                <w:kern w:val="0"/>
                <w:sz w:val="21"/>
                <w:szCs w:val="20"/>
              </w:rPr>
              <w:t>无组织废气污染源源强合并结果及相关参数一览表</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1669"/>
              <w:gridCol w:w="1669"/>
              <w:gridCol w:w="1669"/>
              <w:gridCol w:w="1678"/>
              <w:gridCol w:w="3116"/>
              <w:gridCol w:w="1892"/>
              <w:gridCol w:w="1670"/>
            </w:tblGrid>
            <w:tr w14:paraId="743B43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4" w:type="pct"/>
                  <w:vMerge w:val="restart"/>
                  <w:noWrap w:val="0"/>
                  <w:vAlign w:val="center"/>
                </w:tcPr>
                <w:p w14:paraId="161252EB">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污染源位置</w:t>
                  </w:r>
                </w:p>
              </w:tc>
              <w:tc>
                <w:tcPr>
                  <w:tcW w:w="555" w:type="pct"/>
                  <w:vMerge w:val="restart"/>
                  <w:noWrap w:val="0"/>
                  <w:vAlign w:val="center"/>
                </w:tcPr>
                <w:p w14:paraId="4B4C07C6">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污染物名称</w:t>
                  </w:r>
                </w:p>
              </w:tc>
              <w:tc>
                <w:tcPr>
                  <w:tcW w:w="555" w:type="pct"/>
                  <w:vMerge w:val="restart"/>
                  <w:noWrap w:val="0"/>
                  <w:vAlign w:val="center"/>
                </w:tcPr>
                <w:p w14:paraId="7F138F94">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核算方法</w:t>
                  </w:r>
                </w:p>
              </w:tc>
              <w:tc>
                <w:tcPr>
                  <w:tcW w:w="1113" w:type="pct"/>
                  <w:gridSpan w:val="2"/>
                  <w:noWrap w:val="0"/>
                  <w:vAlign w:val="center"/>
                </w:tcPr>
                <w:p w14:paraId="610DB106">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排放源强</w:t>
                  </w:r>
                </w:p>
              </w:tc>
              <w:tc>
                <w:tcPr>
                  <w:tcW w:w="1036" w:type="pct"/>
                  <w:vMerge w:val="restart"/>
                  <w:noWrap w:val="0"/>
                  <w:vAlign w:val="center"/>
                </w:tcPr>
                <w:p w14:paraId="0643D27B">
                  <w:pPr>
                    <w:widowControl/>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rPr>
                    <w:t>面源</w:t>
                  </w:r>
                  <w:r>
                    <w:rPr>
                      <w:rFonts w:hint="eastAsia" w:cs="Times New Roman"/>
                      <w:b w:val="0"/>
                      <w:bCs/>
                      <w:color w:val="auto"/>
                      <w:kern w:val="0"/>
                      <w:sz w:val="21"/>
                      <w:szCs w:val="21"/>
                      <w:lang w:val="en-US" w:eastAsia="zh-CN"/>
                    </w:rPr>
                    <w:t>面积</w:t>
                  </w:r>
                </w:p>
                <w:p w14:paraId="53D666E9">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m</w:t>
                  </w:r>
                  <w:r>
                    <w:rPr>
                      <w:rFonts w:hint="eastAsia" w:cs="Times New Roman"/>
                      <w:b w:val="0"/>
                      <w:bCs/>
                      <w:color w:val="auto"/>
                      <w:kern w:val="0"/>
                      <w:sz w:val="21"/>
                      <w:szCs w:val="21"/>
                      <w:vertAlign w:val="superscript"/>
                      <w:lang w:val="en-US" w:eastAsia="zh-CN"/>
                    </w:rPr>
                    <w:t>2)</w:t>
                  </w:r>
                </w:p>
              </w:tc>
              <w:tc>
                <w:tcPr>
                  <w:tcW w:w="629" w:type="pct"/>
                  <w:vMerge w:val="restart"/>
                  <w:noWrap w:val="0"/>
                  <w:vAlign w:val="center"/>
                </w:tcPr>
                <w:p w14:paraId="5E5085C8">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面源高度</w:t>
                  </w:r>
                </w:p>
                <w:p w14:paraId="2BACF93D">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m</w:t>
                  </w:r>
                  <w:r>
                    <w:rPr>
                      <w:rFonts w:hint="eastAsia" w:cs="Times New Roman"/>
                      <w:b w:val="0"/>
                      <w:bCs/>
                      <w:color w:val="auto"/>
                      <w:kern w:val="0"/>
                      <w:sz w:val="21"/>
                      <w:szCs w:val="21"/>
                      <w:lang w:eastAsia="zh-CN"/>
                    </w:rPr>
                    <w:t>)</w:t>
                  </w:r>
                </w:p>
              </w:tc>
              <w:tc>
                <w:tcPr>
                  <w:tcW w:w="555" w:type="pct"/>
                  <w:vMerge w:val="restart"/>
                  <w:noWrap w:val="0"/>
                  <w:vAlign w:val="center"/>
                </w:tcPr>
                <w:p w14:paraId="603B7163">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排放时间</w:t>
                  </w:r>
                </w:p>
                <w:p w14:paraId="3B48197D">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h</w:t>
                  </w:r>
                  <w:r>
                    <w:rPr>
                      <w:rFonts w:hint="eastAsia" w:cs="Times New Roman"/>
                      <w:b w:val="0"/>
                      <w:bCs/>
                      <w:color w:val="auto"/>
                      <w:kern w:val="0"/>
                      <w:sz w:val="21"/>
                      <w:szCs w:val="21"/>
                      <w:lang w:eastAsia="zh-CN"/>
                    </w:rPr>
                    <w:t>)</w:t>
                  </w:r>
                </w:p>
              </w:tc>
            </w:tr>
            <w:tr w14:paraId="48DCF0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4" w:type="pct"/>
                  <w:vMerge w:val="continue"/>
                  <w:noWrap w:val="0"/>
                  <w:vAlign w:val="top"/>
                </w:tcPr>
                <w:p w14:paraId="42B79805">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555" w:type="pct"/>
                  <w:vMerge w:val="continue"/>
                  <w:noWrap w:val="0"/>
                  <w:vAlign w:val="top"/>
                </w:tcPr>
                <w:p w14:paraId="7998380D">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555" w:type="pct"/>
                  <w:vMerge w:val="continue"/>
                  <w:noWrap w:val="0"/>
                  <w:vAlign w:val="top"/>
                </w:tcPr>
                <w:p w14:paraId="075B957F">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555" w:type="pct"/>
                  <w:noWrap w:val="0"/>
                  <w:vAlign w:val="center"/>
                </w:tcPr>
                <w:p w14:paraId="471DA1F0">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kg/h</w:t>
                  </w:r>
                  <w:r>
                    <w:rPr>
                      <w:rFonts w:hint="eastAsia" w:cs="Times New Roman"/>
                      <w:b w:val="0"/>
                      <w:bCs/>
                      <w:color w:val="auto"/>
                      <w:kern w:val="0"/>
                      <w:sz w:val="21"/>
                      <w:szCs w:val="21"/>
                      <w:lang w:eastAsia="zh-CN"/>
                    </w:rPr>
                    <w:t>)</w:t>
                  </w:r>
                </w:p>
              </w:tc>
              <w:tc>
                <w:tcPr>
                  <w:tcW w:w="558" w:type="pct"/>
                  <w:noWrap w:val="0"/>
                  <w:vAlign w:val="center"/>
                </w:tcPr>
                <w:p w14:paraId="4BECE0DC">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t/a</w:t>
                  </w:r>
                  <w:r>
                    <w:rPr>
                      <w:rFonts w:hint="eastAsia" w:cs="Times New Roman"/>
                      <w:b w:val="0"/>
                      <w:bCs/>
                      <w:color w:val="auto"/>
                      <w:kern w:val="0"/>
                      <w:sz w:val="21"/>
                      <w:szCs w:val="21"/>
                      <w:lang w:eastAsia="zh-CN"/>
                    </w:rPr>
                    <w:t>)</w:t>
                  </w:r>
                </w:p>
              </w:tc>
              <w:tc>
                <w:tcPr>
                  <w:tcW w:w="1036" w:type="pct"/>
                  <w:vMerge w:val="continue"/>
                  <w:noWrap w:val="0"/>
                  <w:vAlign w:val="top"/>
                </w:tcPr>
                <w:p w14:paraId="2A02C142">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629" w:type="pct"/>
                  <w:vMerge w:val="continue"/>
                  <w:noWrap w:val="0"/>
                  <w:vAlign w:val="top"/>
                </w:tcPr>
                <w:p w14:paraId="13FD8B82">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555" w:type="pct"/>
                  <w:vMerge w:val="continue"/>
                  <w:noWrap w:val="0"/>
                  <w:vAlign w:val="top"/>
                </w:tcPr>
                <w:p w14:paraId="7E1C8328">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r>
            <w:tr w14:paraId="7E239A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4" w:type="pct"/>
                  <w:noWrap w:val="0"/>
                  <w:vAlign w:val="center"/>
                </w:tcPr>
                <w:p w14:paraId="6F311C78">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厂房</w:t>
                  </w:r>
                </w:p>
              </w:tc>
              <w:tc>
                <w:tcPr>
                  <w:tcW w:w="555" w:type="pct"/>
                  <w:noWrap w:val="0"/>
                  <w:vAlign w:val="center"/>
                </w:tcPr>
                <w:p w14:paraId="3336ACE6">
                  <w:pPr>
                    <w:widowControl/>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eastAsia="zh-CN"/>
                    </w:rPr>
                  </w:pPr>
                  <w:r>
                    <w:rPr>
                      <w:rFonts w:hint="eastAsia" w:cs="Times New Roman"/>
                      <w:b w:val="0"/>
                      <w:bCs/>
                      <w:color w:val="auto"/>
                      <w:kern w:val="0"/>
                      <w:sz w:val="21"/>
                      <w:szCs w:val="21"/>
                      <w:lang w:val="en-US" w:eastAsia="zh-CN"/>
                    </w:rPr>
                    <w:t>非甲烷总烃</w:t>
                  </w:r>
                </w:p>
              </w:tc>
              <w:tc>
                <w:tcPr>
                  <w:tcW w:w="555" w:type="pct"/>
                  <w:noWrap w:val="0"/>
                  <w:vAlign w:val="center"/>
                </w:tcPr>
                <w:p w14:paraId="166CF568">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产污系数法</w:t>
                  </w:r>
                </w:p>
              </w:tc>
              <w:tc>
                <w:tcPr>
                  <w:tcW w:w="1669" w:type="dxa"/>
                  <w:noWrap w:val="0"/>
                  <w:vAlign w:val="center"/>
                </w:tcPr>
                <w:p w14:paraId="0BB81E60">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cs="宋体"/>
                      <w:i w:val="0"/>
                      <w:iCs w:val="0"/>
                      <w:color w:val="auto"/>
                      <w:kern w:val="0"/>
                      <w:sz w:val="22"/>
                      <w:szCs w:val="22"/>
                      <w:u w:val="none"/>
                      <w:lang w:val="en-US" w:eastAsia="zh-CN" w:bidi="ar"/>
                    </w:rPr>
                    <w:t>0.008</w:t>
                  </w:r>
                </w:p>
              </w:tc>
              <w:tc>
                <w:tcPr>
                  <w:tcW w:w="1678" w:type="dxa"/>
                  <w:noWrap w:val="0"/>
                  <w:vAlign w:val="center"/>
                </w:tcPr>
                <w:p w14:paraId="51256166">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cs="宋体"/>
                      <w:i w:val="0"/>
                      <w:iCs w:val="0"/>
                      <w:color w:val="auto"/>
                      <w:kern w:val="0"/>
                      <w:sz w:val="22"/>
                      <w:szCs w:val="22"/>
                      <w:u w:val="none"/>
                      <w:lang w:val="en-US" w:eastAsia="zh-CN" w:bidi="ar"/>
                    </w:rPr>
                    <w:t>0.057</w:t>
                  </w:r>
                </w:p>
              </w:tc>
              <w:tc>
                <w:tcPr>
                  <w:tcW w:w="1036" w:type="pct"/>
                  <w:noWrap w:val="0"/>
                  <w:vAlign w:val="center"/>
                </w:tcPr>
                <w:p w14:paraId="08FEB9B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6451</w:t>
                  </w:r>
                </w:p>
              </w:tc>
              <w:tc>
                <w:tcPr>
                  <w:tcW w:w="629" w:type="pct"/>
                  <w:noWrap w:val="0"/>
                  <w:vAlign w:val="center"/>
                </w:tcPr>
                <w:p w14:paraId="2C2909A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9</w:t>
                  </w:r>
                </w:p>
              </w:tc>
              <w:tc>
                <w:tcPr>
                  <w:tcW w:w="555" w:type="pct"/>
                  <w:noWrap w:val="0"/>
                  <w:vAlign w:val="center"/>
                </w:tcPr>
                <w:p w14:paraId="7BE39427">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7200</w:t>
                  </w:r>
                </w:p>
              </w:tc>
            </w:tr>
          </w:tbl>
          <w:p w14:paraId="61A8050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21"/>
              </w:rPr>
            </w:pPr>
          </w:p>
          <w:p w14:paraId="57B6621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21"/>
              </w:rPr>
            </w:pPr>
            <w:r>
              <w:rPr>
                <w:rFonts w:hint="default" w:ascii="Times New Roman" w:hAnsi="Times New Roman" w:eastAsia="宋体" w:cs="Times New Roman"/>
                <w:b/>
                <w:color w:val="auto"/>
                <w:sz w:val="21"/>
              </w:rPr>
              <w:t>表</w:t>
            </w:r>
            <w:r>
              <w:rPr>
                <w:rFonts w:hint="default" w:ascii="Times New Roman" w:hAnsi="Times New Roman" w:eastAsia="宋体" w:cs="Times New Roman"/>
                <w:b/>
                <w:bCs/>
                <w:color w:val="auto"/>
                <w:sz w:val="21"/>
              </w:rPr>
              <w:t>4-4</w:t>
            </w:r>
            <w:r>
              <w:rPr>
                <w:rFonts w:hint="eastAsia" w:cs="Times New Roman"/>
                <w:b/>
                <w:bCs/>
                <w:color w:val="auto"/>
                <w:sz w:val="21"/>
                <w:lang w:val="en-US" w:eastAsia="zh-CN"/>
              </w:rPr>
              <w:t xml:space="preserve">  </w:t>
            </w:r>
            <w:r>
              <w:rPr>
                <w:rFonts w:hint="default" w:ascii="Times New Roman" w:hAnsi="Times New Roman" w:eastAsia="宋体" w:cs="Times New Roman"/>
                <w:b/>
                <w:color w:val="auto"/>
                <w:sz w:val="21"/>
              </w:rPr>
              <w:t>建设项目废气收集、治理措施及排放情况汇总表</w:t>
            </w:r>
          </w:p>
          <w:tbl>
            <w:tblPr>
              <w:tblStyle w:val="22"/>
              <w:tblW w:w="4966" w:type="pct"/>
              <w:tblInd w:w="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342"/>
              <w:gridCol w:w="1593"/>
              <w:gridCol w:w="1919"/>
              <w:gridCol w:w="2244"/>
              <w:gridCol w:w="995"/>
              <w:gridCol w:w="1312"/>
              <w:gridCol w:w="1509"/>
              <w:gridCol w:w="1393"/>
              <w:gridCol w:w="1171"/>
              <w:gridCol w:w="1455"/>
            </w:tblGrid>
            <w:tr w14:paraId="439655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82" w:type="pct"/>
                  <w:gridSpan w:val="2"/>
                  <w:noWrap w:val="0"/>
                  <w:vAlign w:val="center"/>
                </w:tcPr>
                <w:p w14:paraId="6DA9AEE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产污环节</w:t>
                  </w:r>
                </w:p>
              </w:tc>
              <w:tc>
                <w:tcPr>
                  <w:tcW w:w="642" w:type="pct"/>
                  <w:vMerge w:val="restart"/>
                  <w:noWrap w:val="0"/>
                  <w:vAlign w:val="center"/>
                </w:tcPr>
                <w:p w14:paraId="66D92CC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污染物种类</w:t>
                  </w:r>
                </w:p>
              </w:tc>
              <w:tc>
                <w:tcPr>
                  <w:tcW w:w="751" w:type="pct"/>
                  <w:vMerge w:val="restart"/>
                  <w:noWrap w:val="0"/>
                  <w:vAlign w:val="center"/>
                </w:tcPr>
                <w:p w14:paraId="279B498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收集方式</w:t>
                  </w:r>
                </w:p>
              </w:tc>
              <w:tc>
                <w:tcPr>
                  <w:tcW w:w="333" w:type="pct"/>
                  <w:vMerge w:val="restart"/>
                  <w:noWrap w:val="0"/>
                  <w:vAlign w:val="center"/>
                </w:tcPr>
                <w:p w14:paraId="6699A7A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收集效率</w:t>
                  </w:r>
                </w:p>
              </w:tc>
              <w:tc>
                <w:tcPr>
                  <w:tcW w:w="439" w:type="pct"/>
                  <w:vMerge w:val="restart"/>
                  <w:noWrap w:val="0"/>
                  <w:vAlign w:val="center"/>
                </w:tcPr>
                <w:p w14:paraId="688C5F8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设计风量</w:t>
                  </w:r>
                </w:p>
                <w:p w14:paraId="7959C4E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eastAsia="zh-CN"/>
                    </w:rPr>
                    <w:t>(</w:t>
                  </w:r>
                  <w:r>
                    <w:rPr>
                      <w:rFonts w:hint="default" w:ascii="Times New Roman" w:hAnsi="Times New Roman" w:eastAsia="宋体" w:cs="Times New Roman"/>
                      <w:b w:val="0"/>
                      <w:bCs/>
                      <w:color w:val="auto"/>
                      <w:sz w:val="21"/>
                      <w:szCs w:val="21"/>
                    </w:rPr>
                    <w:t>m</w:t>
                  </w:r>
                  <w:r>
                    <w:rPr>
                      <w:rFonts w:hint="default" w:ascii="Times New Roman" w:hAnsi="Times New Roman" w:eastAsia="宋体" w:cs="Times New Roman"/>
                      <w:b w:val="0"/>
                      <w:bCs/>
                      <w:color w:val="auto"/>
                      <w:sz w:val="21"/>
                      <w:szCs w:val="21"/>
                      <w:vertAlign w:val="superscript"/>
                    </w:rPr>
                    <w:t>3</w:t>
                  </w:r>
                  <w:r>
                    <w:rPr>
                      <w:rFonts w:hint="default" w:ascii="Times New Roman" w:hAnsi="Times New Roman" w:eastAsia="宋体" w:cs="Times New Roman"/>
                      <w:b w:val="0"/>
                      <w:bCs/>
                      <w:color w:val="auto"/>
                      <w:sz w:val="21"/>
                      <w:szCs w:val="21"/>
                    </w:rPr>
                    <w:t>/h</w:t>
                  </w:r>
                  <w:r>
                    <w:rPr>
                      <w:rFonts w:hint="eastAsia" w:cs="Times New Roman"/>
                      <w:b w:val="0"/>
                      <w:bCs/>
                      <w:color w:val="auto"/>
                      <w:sz w:val="21"/>
                      <w:szCs w:val="21"/>
                      <w:lang w:eastAsia="zh-CN"/>
                    </w:rPr>
                    <w:t>)</w:t>
                  </w:r>
                </w:p>
              </w:tc>
              <w:tc>
                <w:tcPr>
                  <w:tcW w:w="505" w:type="pct"/>
                  <w:vMerge w:val="restart"/>
                  <w:noWrap w:val="0"/>
                  <w:vAlign w:val="center"/>
                </w:tcPr>
                <w:p w14:paraId="50FC5CA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治理工艺</w:t>
                  </w:r>
                </w:p>
              </w:tc>
              <w:tc>
                <w:tcPr>
                  <w:tcW w:w="466" w:type="pct"/>
                  <w:vMerge w:val="restart"/>
                  <w:noWrap w:val="0"/>
                  <w:vAlign w:val="center"/>
                </w:tcPr>
                <w:p w14:paraId="3E28AC0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去除效率</w:t>
                  </w:r>
                </w:p>
              </w:tc>
              <w:tc>
                <w:tcPr>
                  <w:tcW w:w="392" w:type="pct"/>
                  <w:vMerge w:val="restart"/>
                  <w:noWrap w:val="0"/>
                  <w:vAlign w:val="center"/>
                </w:tcPr>
                <w:p w14:paraId="472087B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是否为可行技术</w:t>
                  </w:r>
                </w:p>
              </w:tc>
              <w:tc>
                <w:tcPr>
                  <w:tcW w:w="487" w:type="pct"/>
                  <w:vMerge w:val="restart"/>
                  <w:noWrap w:val="0"/>
                  <w:vAlign w:val="center"/>
                </w:tcPr>
                <w:p w14:paraId="5446206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排放形式</w:t>
                  </w:r>
                </w:p>
              </w:tc>
            </w:tr>
            <w:tr w14:paraId="3D9AE9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449" w:type="pct"/>
                  <w:noWrap w:val="0"/>
                  <w:vAlign w:val="center"/>
                </w:tcPr>
                <w:p w14:paraId="432F7B5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生产装置</w:t>
                  </w:r>
                </w:p>
              </w:tc>
              <w:tc>
                <w:tcPr>
                  <w:tcW w:w="533" w:type="pct"/>
                  <w:noWrap w:val="0"/>
                  <w:vAlign w:val="center"/>
                </w:tcPr>
                <w:p w14:paraId="3CB3E8E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废气种类</w:t>
                  </w:r>
                </w:p>
              </w:tc>
              <w:tc>
                <w:tcPr>
                  <w:tcW w:w="642" w:type="pct"/>
                  <w:vMerge w:val="continue"/>
                  <w:noWrap w:val="0"/>
                  <w:vAlign w:val="center"/>
                </w:tcPr>
                <w:p w14:paraId="0A343F5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751" w:type="pct"/>
                  <w:vMerge w:val="continue"/>
                  <w:noWrap w:val="0"/>
                  <w:vAlign w:val="center"/>
                </w:tcPr>
                <w:p w14:paraId="3DD4DCF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333" w:type="pct"/>
                  <w:vMerge w:val="continue"/>
                  <w:noWrap w:val="0"/>
                  <w:vAlign w:val="center"/>
                </w:tcPr>
                <w:p w14:paraId="23B943F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439" w:type="pct"/>
                  <w:vMerge w:val="continue"/>
                  <w:noWrap w:val="0"/>
                  <w:vAlign w:val="center"/>
                </w:tcPr>
                <w:p w14:paraId="50400AD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505" w:type="pct"/>
                  <w:vMerge w:val="continue"/>
                  <w:noWrap w:val="0"/>
                  <w:vAlign w:val="center"/>
                </w:tcPr>
                <w:p w14:paraId="58DB2A8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466" w:type="pct"/>
                  <w:vMerge w:val="continue"/>
                  <w:noWrap w:val="0"/>
                  <w:vAlign w:val="center"/>
                </w:tcPr>
                <w:p w14:paraId="4E523F2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392" w:type="pct"/>
                  <w:vMerge w:val="continue"/>
                  <w:noWrap w:val="0"/>
                  <w:vAlign w:val="center"/>
                </w:tcPr>
                <w:p w14:paraId="55A7342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487" w:type="pct"/>
                  <w:vMerge w:val="continue"/>
                  <w:noWrap w:val="0"/>
                  <w:vAlign w:val="center"/>
                </w:tcPr>
                <w:p w14:paraId="64B154F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r>
            <w:tr w14:paraId="4091BC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46" w:hRule="atLeast"/>
              </w:trPr>
              <w:tc>
                <w:tcPr>
                  <w:tcW w:w="449" w:type="pct"/>
                  <w:shd w:val="clear" w:color="auto" w:fill="auto"/>
                  <w:noWrap w:val="0"/>
                  <w:vAlign w:val="center"/>
                </w:tcPr>
                <w:p w14:paraId="79873BF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0"/>
                      <w:sz w:val="21"/>
                      <w:szCs w:val="21"/>
                      <w:lang w:val="en-US" w:eastAsia="zh-CN" w:bidi="ar-SA"/>
                    </w:rPr>
                  </w:pPr>
                  <w:r>
                    <w:rPr>
                      <w:rFonts w:hint="eastAsia" w:cs="Times New Roman"/>
                      <w:b w:val="0"/>
                      <w:bCs/>
                      <w:color w:val="auto"/>
                      <w:kern w:val="0"/>
                      <w:sz w:val="21"/>
                      <w:szCs w:val="21"/>
                      <w:lang w:val="en-US" w:eastAsia="zh-CN"/>
                    </w:rPr>
                    <w:t>涂胶机</w:t>
                  </w:r>
                </w:p>
              </w:tc>
              <w:tc>
                <w:tcPr>
                  <w:tcW w:w="533" w:type="pct"/>
                  <w:noWrap w:val="0"/>
                  <w:vAlign w:val="center"/>
                </w:tcPr>
                <w:p w14:paraId="4F61AAB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有机废气</w:t>
                  </w:r>
                </w:p>
              </w:tc>
              <w:tc>
                <w:tcPr>
                  <w:tcW w:w="642" w:type="pct"/>
                  <w:noWrap w:val="0"/>
                  <w:vAlign w:val="center"/>
                </w:tcPr>
                <w:p w14:paraId="6DBB94E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eastAsia" w:cs="Times New Roman"/>
                      <w:b w:val="0"/>
                      <w:bCs/>
                      <w:color w:val="auto"/>
                      <w:kern w:val="0"/>
                      <w:sz w:val="21"/>
                      <w:szCs w:val="21"/>
                      <w:lang w:val="en-US" w:eastAsia="zh-CN"/>
                    </w:rPr>
                    <w:t>非甲烷总烃</w:t>
                  </w:r>
                </w:p>
              </w:tc>
              <w:tc>
                <w:tcPr>
                  <w:tcW w:w="751" w:type="pct"/>
                  <w:noWrap w:val="0"/>
                  <w:vAlign w:val="center"/>
                </w:tcPr>
                <w:p w14:paraId="13FCDA0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集气罩</w:t>
                  </w:r>
                </w:p>
              </w:tc>
              <w:tc>
                <w:tcPr>
                  <w:tcW w:w="333" w:type="pct"/>
                  <w:noWrap w:val="0"/>
                  <w:vAlign w:val="center"/>
                </w:tcPr>
                <w:p w14:paraId="473F625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90%</w:t>
                  </w:r>
                </w:p>
              </w:tc>
              <w:tc>
                <w:tcPr>
                  <w:tcW w:w="439" w:type="pct"/>
                  <w:vMerge w:val="restart"/>
                  <w:noWrap w:val="0"/>
                  <w:vAlign w:val="center"/>
                </w:tcPr>
                <w:p w14:paraId="14CD3B8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rPr>
                  </w:pPr>
                  <w:r>
                    <w:rPr>
                      <w:rFonts w:hint="eastAsia" w:cs="Times New Roman"/>
                      <w:b w:val="0"/>
                      <w:bCs/>
                      <w:color w:val="auto"/>
                      <w:sz w:val="21"/>
                      <w:szCs w:val="21"/>
                      <w:lang w:val="en-US" w:eastAsia="zh-CN"/>
                    </w:rPr>
                    <w:t>6400</w:t>
                  </w:r>
                </w:p>
              </w:tc>
              <w:tc>
                <w:tcPr>
                  <w:tcW w:w="505" w:type="pct"/>
                  <w:vMerge w:val="restart"/>
                  <w:noWrap w:val="0"/>
                  <w:vAlign w:val="center"/>
                </w:tcPr>
                <w:p w14:paraId="6172136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二级活性炭吸附装置</w:t>
                  </w:r>
                </w:p>
              </w:tc>
              <w:tc>
                <w:tcPr>
                  <w:tcW w:w="466" w:type="pct"/>
                  <w:vMerge w:val="restart"/>
                  <w:noWrap w:val="0"/>
                  <w:vAlign w:val="center"/>
                </w:tcPr>
                <w:p w14:paraId="1C2A2C9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kern w:val="0"/>
                      <w:sz w:val="21"/>
                      <w:szCs w:val="21"/>
                      <w:lang w:val="en-US" w:eastAsia="zh-CN"/>
                    </w:rPr>
                    <w:t>9</w:t>
                  </w:r>
                  <w:r>
                    <w:rPr>
                      <w:rFonts w:hint="eastAsia" w:cs="Times New Roman"/>
                      <w:b w:val="0"/>
                      <w:bCs/>
                      <w:color w:val="auto"/>
                      <w:kern w:val="0"/>
                      <w:sz w:val="21"/>
                      <w:szCs w:val="21"/>
                      <w:lang w:val="en-US" w:eastAsia="zh-CN"/>
                    </w:rPr>
                    <w:t>0</w:t>
                  </w:r>
                  <w:r>
                    <w:rPr>
                      <w:rFonts w:hint="eastAsia" w:ascii="Times New Roman" w:hAnsi="Times New Roman" w:eastAsia="宋体" w:cs="Times New Roman"/>
                      <w:b w:val="0"/>
                      <w:bCs/>
                      <w:color w:val="auto"/>
                      <w:kern w:val="0"/>
                      <w:sz w:val="21"/>
                      <w:szCs w:val="21"/>
                      <w:lang w:val="en-US" w:eastAsia="zh-CN"/>
                    </w:rPr>
                    <w:t>%</w:t>
                  </w:r>
                </w:p>
              </w:tc>
              <w:tc>
                <w:tcPr>
                  <w:tcW w:w="392" w:type="pct"/>
                  <w:vMerge w:val="restart"/>
                  <w:noWrap w:val="0"/>
                  <w:vAlign w:val="center"/>
                </w:tcPr>
                <w:p w14:paraId="0B0C9BA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lang w:val="en-US" w:eastAsia="zh-CN"/>
                    </w:rPr>
                    <w:t>是</w:t>
                  </w:r>
                </w:p>
              </w:tc>
              <w:tc>
                <w:tcPr>
                  <w:tcW w:w="487" w:type="pct"/>
                  <w:vMerge w:val="restart"/>
                  <w:noWrap w:val="0"/>
                  <w:vAlign w:val="center"/>
                </w:tcPr>
                <w:p w14:paraId="3A9AC23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有组织</w:t>
                  </w:r>
                </w:p>
              </w:tc>
            </w:tr>
            <w:tr w14:paraId="2C11CF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46" w:hRule="atLeast"/>
              </w:trPr>
              <w:tc>
                <w:tcPr>
                  <w:tcW w:w="449" w:type="pct"/>
                  <w:shd w:val="clear" w:color="auto" w:fill="auto"/>
                  <w:noWrap w:val="0"/>
                  <w:vAlign w:val="center"/>
                </w:tcPr>
                <w:p w14:paraId="6615630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0"/>
                      <w:sz w:val="21"/>
                      <w:szCs w:val="21"/>
                      <w:lang w:val="en-US" w:eastAsia="zh-CN" w:bidi="ar-SA"/>
                    </w:rPr>
                  </w:pPr>
                  <w:r>
                    <w:rPr>
                      <w:rFonts w:hint="eastAsia" w:cs="Times New Roman"/>
                      <w:b w:val="0"/>
                      <w:bCs/>
                      <w:color w:val="auto"/>
                      <w:kern w:val="0"/>
                      <w:sz w:val="21"/>
                      <w:szCs w:val="21"/>
                      <w:lang w:val="en-US" w:eastAsia="zh-CN"/>
                    </w:rPr>
                    <w:t>打胶机</w:t>
                  </w:r>
                </w:p>
              </w:tc>
              <w:tc>
                <w:tcPr>
                  <w:tcW w:w="533" w:type="pct"/>
                  <w:noWrap w:val="0"/>
                  <w:vAlign w:val="center"/>
                </w:tcPr>
                <w:p w14:paraId="4B21733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kern w:val="0"/>
                      <w:sz w:val="21"/>
                      <w:szCs w:val="21"/>
                      <w:lang w:val="en-US" w:eastAsia="zh-CN"/>
                    </w:rPr>
                  </w:pPr>
                  <w:r>
                    <w:rPr>
                      <w:rFonts w:hint="eastAsia" w:cs="Times New Roman"/>
                      <w:b w:val="0"/>
                      <w:bCs/>
                      <w:color w:val="auto"/>
                      <w:kern w:val="0"/>
                      <w:sz w:val="21"/>
                      <w:szCs w:val="21"/>
                      <w:lang w:val="en-US" w:eastAsia="zh-CN"/>
                    </w:rPr>
                    <w:t>有机废气</w:t>
                  </w:r>
                </w:p>
              </w:tc>
              <w:tc>
                <w:tcPr>
                  <w:tcW w:w="642" w:type="pct"/>
                  <w:noWrap w:val="0"/>
                  <w:vAlign w:val="center"/>
                </w:tcPr>
                <w:p w14:paraId="66B04B0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kern w:val="0"/>
                      <w:sz w:val="21"/>
                      <w:szCs w:val="21"/>
                      <w:lang w:val="en-US" w:eastAsia="zh-CN"/>
                    </w:rPr>
                  </w:pPr>
                  <w:r>
                    <w:rPr>
                      <w:rFonts w:hint="eastAsia" w:cs="Times New Roman"/>
                      <w:b w:val="0"/>
                      <w:bCs/>
                      <w:color w:val="auto"/>
                      <w:kern w:val="0"/>
                      <w:sz w:val="21"/>
                      <w:szCs w:val="21"/>
                      <w:lang w:val="en-US" w:eastAsia="zh-CN"/>
                    </w:rPr>
                    <w:t>非甲烷总烃</w:t>
                  </w:r>
                </w:p>
              </w:tc>
              <w:tc>
                <w:tcPr>
                  <w:tcW w:w="751" w:type="pct"/>
                  <w:noWrap w:val="0"/>
                  <w:vAlign w:val="center"/>
                </w:tcPr>
                <w:p w14:paraId="43C96B9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集气罩</w:t>
                  </w:r>
                </w:p>
              </w:tc>
              <w:tc>
                <w:tcPr>
                  <w:tcW w:w="333" w:type="pct"/>
                  <w:noWrap w:val="0"/>
                  <w:vAlign w:val="center"/>
                </w:tcPr>
                <w:p w14:paraId="0023625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90%</w:t>
                  </w:r>
                </w:p>
              </w:tc>
              <w:tc>
                <w:tcPr>
                  <w:tcW w:w="439" w:type="pct"/>
                  <w:vMerge w:val="continue"/>
                  <w:noWrap w:val="0"/>
                  <w:vAlign w:val="center"/>
                </w:tcPr>
                <w:p w14:paraId="213B06C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p>
              </w:tc>
              <w:tc>
                <w:tcPr>
                  <w:tcW w:w="505" w:type="pct"/>
                  <w:vMerge w:val="continue"/>
                  <w:noWrap w:val="0"/>
                  <w:vAlign w:val="center"/>
                </w:tcPr>
                <w:p w14:paraId="3FF2773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kern w:val="0"/>
                      <w:sz w:val="21"/>
                      <w:szCs w:val="21"/>
                      <w:lang w:val="en-US" w:eastAsia="zh-CN"/>
                    </w:rPr>
                  </w:pPr>
                </w:p>
              </w:tc>
              <w:tc>
                <w:tcPr>
                  <w:tcW w:w="466" w:type="pct"/>
                  <w:vMerge w:val="continue"/>
                  <w:noWrap w:val="0"/>
                  <w:vAlign w:val="center"/>
                </w:tcPr>
                <w:p w14:paraId="0EB0837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lang w:val="en-US" w:eastAsia="zh-CN"/>
                    </w:rPr>
                  </w:pPr>
                </w:p>
              </w:tc>
              <w:tc>
                <w:tcPr>
                  <w:tcW w:w="392" w:type="pct"/>
                  <w:vMerge w:val="continue"/>
                  <w:noWrap w:val="0"/>
                  <w:vAlign w:val="center"/>
                </w:tcPr>
                <w:p w14:paraId="748022E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487" w:type="pct"/>
                  <w:vMerge w:val="continue"/>
                  <w:noWrap w:val="0"/>
                  <w:vAlign w:val="center"/>
                </w:tcPr>
                <w:p w14:paraId="2E749BB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p>
              </w:tc>
            </w:tr>
            <w:tr w14:paraId="22F03B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46" w:hRule="atLeast"/>
              </w:trPr>
              <w:tc>
                <w:tcPr>
                  <w:tcW w:w="449" w:type="pct"/>
                  <w:noWrap w:val="0"/>
                  <w:vAlign w:val="center"/>
                </w:tcPr>
                <w:p w14:paraId="02AFC0B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辊压机</w:t>
                  </w:r>
                </w:p>
              </w:tc>
              <w:tc>
                <w:tcPr>
                  <w:tcW w:w="533" w:type="pct"/>
                  <w:noWrap w:val="0"/>
                  <w:vAlign w:val="center"/>
                </w:tcPr>
                <w:p w14:paraId="2B491CF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kern w:val="0"/>
                      <w:sz w:val="21"/>
                      <w:szCs w:val="21"/>
                      <w:lang w:val="en-US" w:eastAsia="zh-CN"/>
                    </w:rPr>
                  </w:pPr>
                  <w:r>
                    <w:rPr>
                      <w:rFonts w:hint="eastAsia" w:cs="Times New Roman"/>
                      <w:b w:val="0"/>
                      <w:bCs/>
                      <w:color w:val="auto"/>
                      <w:kern w:val="0"/>
                      <w:sz w:val="21"/>
                      <w:szCs w:val="21"/>
                      <w:lang w:val="en-US" w:eastAsia="zh-CN"/>
                    </w:rPr>
                    <w:t>有机废气</w:t>
                  </w:r>
                </w:p>
              </w:tc>
              <w:tc>
                <w:tcPr>
                  <w:tcW w:w="642" w:type="pct"/>
                  <w:noWrap w:val="0"/>
                  <w:vAlign w:val="center"/>
                </w:tcPr>
                <w:p w14:paraId="24466B9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kern w:val="0"/>
                      <w:sz w:val="21"/>
                      <w:szCs w:val="21"/>
                      <w:lang w:val="en-US" w:eastAsia="zh-CN"/>
                    </w:rPr>
                  </w:pPr>
                  <w:r>
                    <w:rPr>
                      <w:rFonts w:hint="eastAsia" w:cs="Times New Roman"/>
                      <w:b w:val="0"/>
                      <w:bCs/>
                      <w:color w:val="auto"/>
                      <w:kern w:val="0"/>
                      <w:sz w:val="21"/>
                      <w:szCs w:val="21"/>
                      <w:lang w:val="en-US" w:eastAsia="zh-CN"/>
                    </w:rPr>
                    <w:t>非甲烷总烃</w:t>
                  </w:r>
                </w:p>
              </w:tc>
              <w:tc>
                <w:tcPr>
                  <w:tcW w:w="751" w:type="pct"/>
                  <w:noWrap w:val="0"/>
                  <w:vAlign w:val="center"/>
                </w:tcPr>
                <w:p w14:paraId="7C4D4CD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集气罩</w:t>
                  </w:r>
                </w:p>
              </w:tc>
              <w:tc>
                <w:tcPr>
                  <w:tcW w:w="333" w:type="pct"/>
                  <w:noWrap w:val="0"/>
                  <w:vAlign w:val="center"/>
                </w:tcPr>
                <w:p w14:paraId="5D64928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90%</w:t>
                  </w:r>
                </w:p>
              </w:tc>
              <w:tc>
                <w:tcPr>
                  <w:tcW w:w="439" w:type="pct"/>
                  <w:vMerge w:val="continue"/>
                  <w:noWrap w:val="0"/>
                  <w:vAlign w:val="center"/>
                </w:tcPr>
                <w:p w14:paraId="3DF8080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p>
              </w:tc>
              <w:tc>
                <w:tcPr>
                  <w:tcW w:w="505" w:type="pct"/>
                  <w:vMerge w:val="continue"/>
                  <w:noWrap w:val="0"/>
                  <w:vAlign w:val="center"/>
                </w:tcPr>
                <w:p w14:paraId="206D92B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kern w:val="0"/>
                      <w:sz w:val="21"/>
                      <w:szCs w:val="21"/>
                      <w:lang w:val="en-US" w:eastAsia="zh-CN"/>
                    </w:rPr>
                  </w:pPr>
                </w:p>
              </w:tc>
              <w:tc>
                <w:tcPr>
                  <w:tcW w:w="466" w:type="pct"/>
                  <w:vMerge w:val="continue"/>
                  <w:noWrap w:val="0"/>
                  <w:vAlign w:val="center"/>
                </w:tcPr>
                <w:p w14:paraId="20A77BD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lang w:val="en-US" w:eastAsia="zh-CN"/>
                    </w:rPr>
                  </w:pPr>
                </w:p>
              </w:tc>
              <w:tc>
                <w:tcPr>
                  <w:tcW w:w="392" w:type="pct"/>
                  <w:vMerge w:val="continue"/>
                  <w:noWrap w:val="0"/>
                  <w:vAlign w:val="center"/>
                </w:tcPr>
                <w:p w14:paraId="3E142D0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487" w:type="pct"/>
                  <w:vMerge w:val="continue"/>
                  <w:noWrap w:val="0"/>
                  <w:vAlign w:val="center"/>
                </w:tcPr>
                <w:p w14:paraId="117E0A9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p>
              </w:tc>
            </w:tr>
            <w:tr w14:paraId="083B53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46" w:hRule="atLeast"/>
              </w:trPr>
              <w:tc>
                <w:tcPr>
                  <w:tcW w:w="449" w:type="pct"/>
                  <w:shd w:val="clear" w:color="auto" w:fill="auto"/>
                  <w:noWrap w:val="0"/>
                  <w:vAlign w:val="center"/>
                </w:tcPr>
                <w:p w14:paraId="067A40B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lang w:val="en-US" w:eastAsia="zh-CN" w:bidi="ar-SA"/>
                    </w:rPr>
                  </w:pPr>
                  <w:r>
                    <w:rPr>
                      <w:rFonts w:hint="eastAsia" w:cs="Times New Roman"/>
                      <w:b w:val="0"/>
                      <w:bCs/>
                      <w:color w:val="auto"/>
                      <w:kern w:val="0"/>
                      <w:sz w:val="21"/>
                      <w:szCs w:val="21"/>
                      <w:lang w:val="en-US" w:eastAsia="zh-CN"/>
                    </w:rPr>
                    <w:t>高压釜</w:t>
                  </w:r>
                </w:p>
              </w:tc>
              <w:tc>
                <w:tcPr>
                  <w:tcW w:w="533" w:type="pct"/>
                  <w:shd w:val="clear" w:color="auto" w:fill="auto"/>
                  <w:noWrap w:val="0"/>
                  <w:vAlign w:val="center"/>
                </w:tcPr>
                <w:p w14:paraId="2A50BEB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lang w:val="en-US" w:eastAsia="zh-CN" w:bidi="ar-SA"/>
                    </w:rPr>
                  </w:pPr>
                  <w:r>
                    <w:rPr>
                      <w:rFonts w:hint="eastAsia" w:cs="Times New Roman"/>
                      <w:b w:val="0"/>
                      <w:bCs/>
                      <w:color w:val="auto"/>
                      <w:kern w:val="0"/>
                      <w:sz w:val="21"/>
                      <w:szCs w:val="21"/>
                      <w:lang w:val="en-US" w:eastAsia="zh-CN"/>
                    </w:rPr>
                    <w:t>有机废气</w:t>
                  </w:r>
                </w:p>
              </w:tc>
              <w:tc>
                <w:tcPr>
                  <w:tcW w:w="642" w:type="pct"/>
                  <w:shd w:val="clear" w:color="auto" w:fill="auto"/>
                  <w:noWrap w:val="0"/>
                  <w:vAlign w:val="center"/>
                </w:tcPr>
                <w:p w14:paraId="6552254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lang w:val="en-US" w:eastAsia="zh-CN" w:bidi="ar-SA"/>
                    </w:rPr>
                  </w:pPr>
                  <w:r>
                    <w:rPr>
                      <w:rFonts w:hint="eastAsia" w:cs="Times New Roman"/>
                      <w:b w:val="0"/>
                      <w:bCs/>
                      <w:color w:val="auto"/>
                      <w:kern w:val="0"/>
                      <w:sz w:val="21"/>
                      <w:szCs w:val="21"/>
                      <w:lang w:val="en-US" w:eastAsia="zh-CN"/>
                    </w:rPr>
                    <w:t>非甲烷总烃</w:t>
                  </w:r>
                </w:p>
              </w:tc>
              <w:tc>
                <w:tcPr>
                  <w:tcW w:w="751" w:type="pct"/>
                  <w:shd w:val="clear" w:color="auto" w:fill="auto"/>
                  <w:noWrap w:val="0"/>
                  <w:vAlign w:val="center"/>
                </w:tcPr>
                <w:p w14:paraId="0F0A734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2"/>
                      <w:sz w:val="21"/>
                      <w:szCs w:val="21"/>
                      <w:lang w:val="en-US" w:eastAsia="zh-CN" w:bidi="ar-SA"/>
                    </w:rPr>
                  </w:pPr>
                  <w:r>
                    <w:rPr>
                      <w:rFonts w:hint="eastAsia" w:cs="Times New Roman"/>
                      <w:b w:val="0"/>
                      <w:bCs/>
                      <w:color w:val="auto"/>
                      <w:sz w:val="21"/>
                      <w:szCs w:val="21"/>
                      <w:lang w:val="en-US" w:eastAsia="zh-CN"/>
                    </w:rPr>
                    <w:t>集气罩</w:t>
                  </w:r>
                </w:p>
              </w:tc>
              <w:tc>
                <w:tcPr>
                  <w:tcW w:w="333" w:type="pct"/>
                  <w:noWrap w:val="0"/>
                  <w:vAlign w:val="center"/>
                </w:tcPr>
                <w:p w14:paraId="1F0E402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90%</w:t>
                  </w:r>
                </w:p>
              </w:tc>
              <w:tc>
                <w:tcPr>
                  <w:tcW w:w="439" w:type="pct"/>
                  <w:vMerge w:val="continue"/>
                  <w:noWrap w:val="0"/>
                  <w:vAlign w:val="center"/>
                </w:tcPr>
                <w:p w14:paraId="2B3188E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p>
              </w:tc>
              <w:tc>
                <w:tcPr>
                  <w:tcW w:w="505" w:type="pct"/>
                  <w:vMerge w:val="continue"/>
                  <w:noWrap w:val="0"/>
                  <w:vAlign w:val="center"/>
                </w:tcPr>
                <w:p w14:paraId="3C34951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kern w:val="0"/>
                      <w:sz w:val="21"/>
                      <w:szCs w:val="21"/>
                      <w:lang w:val="en-US" w:eastAsia="zh-CN"/>
                    </w:rPr>
                  </w:pPr>
                </w:p>
              </w:tc>
              <w:tc>
                <w:tcPr>
                  <w:tcW w:w="466" w:type="pct"/>
                  <w:vMerge w:val="continue"/>
                  <w:noWrap w:val="0"/>
                  <w:vAlign w:val="center"/>
                </w:tcPr>
                <w:p w14:paraId="0E83012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lang w:val="en-US" w:eastAsia="zh-CN"/>
                    </w:rPr>
                  </w:pPr>
                </w:p>
              </w:tc>
              <w:tc>
                <w:tcPr>
                  <w:tcW w:w="392" w:type="pct"/>
                  <w:vMerge w:val="continue"/>
                  <w:noWrap w:val="0"/>
                  <w:vAlign w:val="center"/>
                </w:tcPr>
                <w:p w14:paraId="2AAABB4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p>
              </w:tc>
              <w:tc>
                <w:tcPr>
                  <w:tcW w:w="487" w:type="pct"/>
                  <w:vMerge w:val="continue"/>
                  <w:noWrap w:val="0"/>
                  <w:vAlign w:val="center"/>
                </w:tcPr>
                <w:p w14:paraId="07A3E31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color w:val="auto"/>
                      <w:sz w:val="21"/>
                      <w:szCs w:val="21"/>
                      <w:lang w:val="en-US" w:eastAsia="zh-CN"/>
                    </w:rPr>
                  </w:pPr>
                </w:p>
              </w:tc>
            </w:tr>
          </w:tbl>
          <w:p w14:paraId="5C162478">
            <w:pPr>
              <w:adjustRightInd w:val="0"/>
              <w:snapToGrid w:val="0"/>
              <w:spacing w:before="120" w:beforeLines="50" w:line="240" w:lineRule="auto"/>
              <w:ind w:firstLine="0" w:firstLineChars="0"/>
              <w:jc w:val="center"/>
              <w:rPr>
                <w:rFonts w:hint="default" w:ascii="Times New Roman" w:hAnsi="Times New Roman" w:eastAsia="宋体" w:cs="Times New Roman"/>
                <w:b/>
                <w:color w:val="auto"/>
                <w:kern w:val="0"/>
                <w:sz w:val="21"/>
                <w:szCs w:val="20"/>
              </w:rPr>
            </w:pPr>
            <w:r>
              <w:rPr>
                <w:rFonts w:hint="default" w:ascii="Times New Roman" w:hAnsi="Times New Roman" w:eastAsia="宋体" w:cs="Times New Roman"/>
                <w:b/>
                <w:color w:val="auto"/>
                <w:kern w:val="0"/>
                <w:sz w:val="21"/>
                <w:szCs w:val="20"/>
              </w:rPr>
              <w:t>表</w:t>
            </w:r>
            <w:r>
              <w:rPr>
                <w:rFonts w:hint="default" w:ascii="Times New Roman" w:hAnsi="Times New Roman" w:eastAsia="宋体" w:cs="Times New Roman"/>
                <w:b/>
                <w:bCs/>
                <w:color w:val="auto"/>
                <w:kern w:val="0"/>
                <w:sz w:val="21"/>
                <w:szCs w:val="20"/>
              </w:rPr>
              <w:t>4-</w:t>
            </w:r>
            <w:r>
              <w:rPr>
                <w:rFonts w:hint="default" w:ascii="Times New Roman" w:hAnsi="Times New Roman" w:eastAsia="宋体" w:cs="Times New Roman"/>
                <w:b/>
                <w:bCs/>
                <w:color w:val="auto"/>
                <w:kern w:val="0"/>
                <w:sz w:val="21"/>
                <w:szCs w:val="20"/>
                <w:lang w:val="en-US" w:eastAsia="zh-CN"/>
              </w:rPr>
              <w:t>5</w:t>
            </w:r>
            <w:r>
              <w:rPr>
                <w:rFonts w:hint="eastAsia" w:cs="Times New Roman"/>
                <w:b/>
                <w:bCs/>
                <w:color w:val="auto"/>
                <w:kern w:val="0"/>
                <w:sz w:val="21"/>
                <w:szCs w:val="20"/>
                <w:lang w:val="en-US" w:eastAsia="zh-CN"/>
              </w:rPr>
              <w:t xml:space="preserve">  </w:t>
            </w:r>
            <w:r>
              <w:rPr>
                <w:rFonts w:hint="default" w:ascii="Times New Roman" w:hAnsi="Times New Roman" w:eastAsia="宋体" w:cs="Times New Roman"/>
                <w:b/>
                <w:color w:val="auto"/>
                <w:kern w:val="0"/>
                <w:sz w:val="21"/>
                <w:szCs w:val="20"/>
              </w:rPr>
              <w:t>建设项目废气排放口基本情况一览表</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266"/>
              <w:gridCol w:w="980"/>
              <w:gridCol w:w="1244"/>
              <w:gridCol w:w="2031"/>
              <w:gridCol w:w="2121"/>
              <w:gridCol w:w="1038"/>
              <w:gridCol w:w="806"/>
              <w:gridCol w:w="635"/>
              <w:gridCol w:w="635"/>
              <w:gridCol w:w="569"/>
              <w:gridCol w:w="1005"/>
              <w:gridCol w:w="1281"/>
              <w:gridCol w:w="1200"/>
              <w:gridCol w:w="1218"/>
            </w:tblGrid>
            <w:tr w14:paraId="06AC26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50" w:hRule="atLeast"/>
              </w:trPr>
              <w:tc>
                <w:tcPr>
                  <w:tcW w:w="88" w:type="pct"/>
                  <w:vMerge w:val="restart"/>
                  <w:noWrap w:val="0"/>
                  <w:vAlign w:val="center"/>
                </w:tcPr>
                <w:p w14:paraId="2C30ACA7">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编号</w:t>
                  </w:r>
                </w:p>
              </w:tc>
              <w:tc>
                <w:tcPr>
                  <w:tcW w:w="326" w:type="pct"/>
                  <w:vMerge w:val="restart"/>
                  <w:noWrap w:val="0"/>
                  <w:vAlign w:val="center"/>
                </w:tcPr>
                <w:p w14:paraId="1A3D7C26">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名称</w:t>
                  </w:r>
                </w:p>
              </w:tc>
              <w:tc>
                <w:tcPr>
                  <w:tcW w:w="414" w:type="pct"/>
                  <w:vMerge w:val="restart"/>
                  <w:noWrap w:val="0"/>
                  <w:vAlign w:val="center"/>
                </w:tcPr>
                <w:p w14:paraId="27E73BAB">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排放口类型</w:t>
                  </w:r>
                </w:p>
              </w:tc>
              <w:tc>
                <w:tcPr>
                  <w:tcW w:w="1380" w:type="pct"/>
                  <w:gridSpan w:val="2"/>
                  <w:vMerge w:val="restart"/>
                  <w:noWrap w:val="0"/>
                  <w:vAlign w:val="center"/>
                </w:tcPr>
                <w:p w14:paraId="163EDDB5">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排气筒底部中心坐标</w:t>
                  </w:r>
                </w:p>
                <w:p w14:paraId="1CF5A5D9">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w:t>
                  </w:r>
                  <w:r>
                    <w:rPr>
                      <w:rFonts w:hint="default" w:ascii="Times New Roman" w:hAnsi="Times New Roman" w:eastAsia="宋体" w:cs="Times New Roman"/>
                      <w:b w:val="0"/>
                      <w:bCs/>
                      <w:color w:val="auto"/>
                      <w:kern w:val="0"/>
                      <w:sz w:val="21"/>
                      <w:szCs w:val="21"/>
                      <w:lang w:val="en-US" w:eastAsia="zh-CN"/>
                    </w:rPr>
                    <w:t>经纬度</w:t>
                  </w:r>
                  <w:r>
                    <w:rPr>
                      <w:rFonts w:hint="default" w:ascii="Times New Roman" w:hAnsi="Times New Roman" w:eastAsia="宋体" w:cs="Times New Roman"/>
                      <w:b w:val="0"/>
                      <w:bCs/>
                      <w:color w:val="auto"/>
                      <w:kern w:val="0"/>
                      <w:sz w:val="21"/>
                      <w:szCs w:val="21"/>
                    </w:rPr>
                    <w:t>）</w:t>
                  </w:r>
                </w:p>
              </w:tc>
              <w:tc>
                <w:tcPr>
                  <w:tcW w:w="345" w:type="pct"/>
                  <w:vMerge w:val="restart"/>
                  <w:noWrap w:val="0"/>
                  <w:vAlign w:val="center"/>
                </w:tcPr>
                <w:p w14:paraId="78BFD9C3">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排气筒底部</w:t>
                  </w:r>
                  <w:r>
                    <w:rPr>
                      <w:rFonts w:hint="eastAsia" w:cs="Times New Roman"/>
                      <w:b w:val="0"/>
                      <w:bCs/>
                      <w:color w:val="auto"/>
                      <w:kern w:val="0"/>
                      <w:sz w:val="21"/>
                      <w:szCs w:val="21"/>
                      <w:lang w:eastAsia="zh-CN"/>
                    </w:rPr>
                    <w:t>海拔</w:t>
                  </w:r>
                  <w:r>
                    <w:rPr>
                      <w:rFonts w:hint="default" w:ascii="Times New Roman" w:hAnsi="Times New Roman" w:eastAsia="宋体" w:cs="Times New Roman"/>
                      <w:b w:val="0"/>
                      <w:bCs/>
                      <w:color w:val="auto"/>
                      <w:kern w:val="0"/>
                      <w:sz w:val="21"/>
                      <w:szCs w:val="21"/>
                    </w:rPr>
                    <w:t>/m</w:t>
                  </w:r>
                </w:p>
              </w:tc>
              <w:tc>
                <w:tcPr>
                  <w:tcW w:w="268" w:type="pct"/>
                  <w:vMerge w:val="restart"/>
                  <w:noWrap w:val="0"/>
                  <w:vAlign w:val="center"/>
                </w:tcPr>
                <w:p w14:paraId="2A8D3940">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排气筒高度/m</w:t>
                  </w:r>
                </w:p>
              </w:tc>
              <w:tc>
                <w:tcPr>
                  <w:tcW w:w="211" w:type="pct"/>
                  <w:vMerge w:val="restart"/>
                  <w:noWrap w:val="0"/>
                  <w:vAlign w:val="center"/>
                </w:tcPr>
                <w:p w14:paraId="7CB15C6F">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排气筒内径/m</w:t>
                  </w:r>
                </w:p>
              </w:tc>
              <w:tc>
                <w:tcPr>
                  <w:tcW w:w="211" w:type="pct"/>
                  <w:vMerge w:val="restart"/>
                  <w:noWrap w:val="0"/>
                  <w:vAlign w:val="center"/>
                </w:tcPr>
                <w:p w14:paraId="193B9978">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烟气温度/℃</w:t>
                  </w:r>
                </w:p>
              </w:tc>
              <w:tc>
                <w:tcPr>
                  <w:tcW w:w="189" w:type="pct"/>
                  <w:vMerge w:val="restart"/>
                  <w:noWrap w:val="0"/>
                  <w:vAlign w:val="center"/>
                </w:tcPr>
                <w:p w14:paraId="1C460263">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排放工况</w:t>
                  </w:r>
                </w:p>
              </w:tc>
              <w:tc>
                <w:tcPr>
                  <w:tcW w:w="334" w:type="pct"/>
                  <w:vMerge w:val="restart"/>
                  <w:noWrap w:val="0"/>
                  <w:vAlign w:val="center"/>
                </w:tcPr>
                <w:p w14:paraId="1C30F07B">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污染物类型</w:t>
                  </w:r>
                </w:p>
              </w:tc>
              <w:tc>
                <w:tcPr>
                  <w:tcW w:w="1230" w:type="pct"/>
                  <w:gridSpan w:val="3"/>
                  <w:noWrap w:val="0"/>
                  <w:vAlign w:val="center"/>
                </w:tcPr>
                <w:p w14:paraId="03BB1DA9">
                  <w:pPr>
                    <w:widowControl/>
                    <w:adjustRightInd w:val="0"/>
                    <w:snapToGrid w:val="0"/>
                    <w:spacing w:line="240" w:lineRule="auto"/>
                    <w:ind w:firstLine="0" w:firstLineChars="0"/>
                    <w:jc w:val="center"/>
                    <w:rPr>
                      <w:rFonts w:hint="default" w:ascii="Times New Roman" w:hAnsi="Times New Roman" w:eastAsia="宋体" w:cs="Times New Roman"/>
                      <w:b w:val="0"/>
                      <w:bCs/>
                      <w:color w:val="auto"/>
                      <w:sz w:val="21"/>
                      <w:lang w:val="en-US" w:eastAsia="zh-CN"/>
                    </w:rPr>
                  </w:pPr>
                  <w:r>
                    <w:rPr>
                      <w:rFonts w:hint="default" w:ascii="Times New Roman" w:hAnsi="Times New Roman" w:eastAsia="宋体" w:cs="Times New Roman"/>
                      <w:b w:val="0"/>
                      <w:bCs/>
                      <w:color w:val="auto"/>
                      <w:sz w:val="21"/>
                      <w:lang w:val="en-US" w:eastAsia="zh-CN"/>
                    </w:rPr>
                    <w:t>排放情况</w:t>
                  </w:r>
                </w:p>
              </w:tc>
            </w:tr>
            <w:tr w14:paraId="72F24D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21" w:hRule="atLeast"/>
              </w:trPr>
              <w:tc>
                <w:tcPr>
                  <w:tcW w:w="88" w:type="pct"/>
                  <w:vMerge w:val="continue"/>
                  <w:noWrap w:val="0"/>
                  <w:vAlign w:val="center"/>
                </w:tcPr>
                <w:p w14:paraId="4944D4D1">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26" w:type="pct"/>
                  <w:vMerge w:val="continue"/>
                  <w:noWrap w:val="0"/>
                  <w:vAlign w:val="center"/>
                </w:tcPr>
                <w:p w14:paraId="3AE49C6E">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14" w:type="pct"/>
                  <w:vMerge w:val="continue"/>
                  <w:noWrap w:val="0"/>
                  <w:vAlign w:val="center"/>
                </w:tcPr>
                <w:p w14:paraId="550FAAEF">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380" w:type="pct"/>
                  <w:gridSpan w:val="2"/>
                  <w:vMerge w:val="continue"/>
                  <w:noWrap w:val="0"/>
                  <w:vAlign w:val="center"/>
                </w:tcPr>
                <w:p w14:paraId="072F1DB8">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45" w:type="pct"/>
                  <w:vMerge w:val="continue"/>
                  <w:noWrap w:val="0"/>
                  <w:vAlign w:val="center"/>
                </w:tcPr>
                <w:p w14:paraId="403DA4B4">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68" w:type="pct"/>
                  <w:vMerge w:val="continue"/>
                  <w:noWrap w:val="0"/>
                  <w:vAlign w:val="center"/>
                </w:tcPr>
                <w:p w14:paraId="5DD3A3A3">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11" w:type="pct"/>
                  <w:vMerge w:val="continue"/>
                  <w:noWrap w:val="0"/>
                  <w:vAlign w:val="center"/>
                </w:tcPr>
                <w:p w14:paraId="79F52DBC">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11" w:type="pct"/>
                  <w:vMerge w:val="continue"/>
                  <w:noWrap w:val="0"/>
                  <w:vAlign w:val="center"/>
                </w:tcPr>
                <w:p w14:paraId="1E2272BB">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89" w:type="pct"/>
                  <w:vMerge w:val="continue"/>
                  <w:noWrap w:val="0"/>
                  <w:vAlign w:val="center"/>
                </w:tcPr>
                <w:p w14:paraId="52BE20BC">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34" w:type="pct"/>
                  <w:vMerge w:val="continue"/>
                  <w:noWrap w:val="0"/>
                  <w:vAlign w:val="center"/>
                </w:tcPr>
                <w:p w14:paraId="471D581A">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26" w:type="pct"/>
                  <w:vMerge w:val="restart"/>
                  <w:noWrap w:val="0"/>
                  <w:vAlign w:val="center"/>
                </w:tcPr>
                <w:p w14:paraId="253D3F8C">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浓度</w:t>
                  </w:r>
                </w:p>
                <w:p w14:paraId="3BC77D6D">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mg/m</w:t>
                  </w:r>
                  <w:r>
                    <w:rPr>
                      <w:rFonts w:hint="default" w:ascii="Times New Roman" w:hAnsi="Times New Roman" w:eastAsia="宋体" w:cs="Times New Roman"/>
                      <w:b w:val="0"/>
                      <w:bCs/>
                      <w:color w:val="auto"/>
                      <w:kern w:val="0"/>
                      <w:sz w:val="21"/>
                      <w:szCs w:val="21"/>
                      <w:vertAlign w:val="superscript"/>
                    </w:rPr>
                    <w:t>3</w:t>
                  </w:r>
                  <w:r>
                    <w:rPr>
                      <w:rFonts w:hint="eastAsia" w:cs="Times New Roman"/>
                      <w:b w:val="0"/>
                      <w:bCs/>
                      <w:color w:val="auto"/>
                      <w:kern w:val="0"/>
                      <w:sz w:val="21"/>
                      <w:szCs w:val="21"/>
                      <w:vertAlign w:val="superscript"/>
                      <w:lang w:eastAsia="zh-CN"/>
                    </w:rPr>
                    <w:t>)</w:t>
                  </w:r>
                </w:p>
              </w:tc>
              <w:tc>
                <w:tcPr>
                  <w:tcW w:w="399" w:type="pct"/>
                  <w:vMerge w:val="restart"/>
                  <w:noWrap w:val="0"/>
                  <w:vAlign w:val="center"/>
                </w:tcPr>
                <w:p w14:paraId="0AC01493">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速率</w:t>
                  </w:r>
                </w:p>
                <w:p w14:paraId="2622067A">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kg/h</w:t>
                  </w:r>
                  <w:r>
                    <w:rPr>
                      <w:rFonts w:hint="eastAsia" w:cs="Times New Roman"/>
                      <w:b w:val="0"/>
                      <w:bCs/>
                      <w:color w:val="auto"/>
                      <w:kern w:val="0"/>
                      <w:sz w:val="21"/>
                      <w:szCs w:val="21"/>
                      <w:lang w:eastAsia="zh-CN"/>
                    </w:rPr>
                    <w:t>)</w:t>
                  </w:r>
                </w:p>
              </w:tc>
              <w:tc>
                <w:tcPr>
                  <w:tcW w:w="405" w:type="pct"/>
                  <w:vMerge w:val="restart"/>
                  <w:noWrap w:val="0"/>
                  <w:vAlign w:val="center"/>
                </w:tcPr>
                <w:p w14:paraId="00B52B49">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排放量（t/a）</w:t>
                  </w:r>
                </w:p>
              </w:tc>
            </w:tr>
            <w:tr w14:paraId="02520D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50" w:hRule="atLeast"/>
              </w:trPr>
              <w:tc>
                <w:tcPr>
                  <w:tcW w:w="88" w:type="pct"/>
                  <w:vMerge w:val="continue"/>
                  <w:noWrap w:val="0"/>
                  <w:vAlign w:val="center"/>
                </w:tcPr>
                <w:p w14:paraId="06C1647E">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26" w:type="pct"/>
                  <w:vMerge w:val="continue"/>
                  <w:noWrap w:val="0"/>
                  <w:vAlign w:val="center"/>
                </w:tcPr>
                <w:p w14:paraId="6DCE6F84">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14" w:type="pct"/>
                  <w:vMerge w:val="continue"/>
                  <w:noWrap w:val="0"/>
                  <w:vAlign w:val="center"/>
                </w:tcPr>
                <w:p w14:paraId="3B982595">
                  <w:pPr>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675" w:type="pct"/>
                  <w:noWrap w:val="0"/>
                  <w:vAlign w:val="center"/>
                </w:tcPr>
                <w:p w14:paraId="7B2BE380">
                  <w:pPr>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X</w:t>
                  </w:r>
                </w:p>
              </w:tc>
              <w:tc>
                <w:tcPr>
                  <w:tcW w:w="704" w:type="pct"/>
                  <w:noWrap w:val="0"/>
                  <w:vAlign w:val="center"/>
                </w:tcPr>
                <w:p w14:paraId="2143C309">
                  <w:pPr>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Y</w:t>
                  </w:r>
                </w:p>
              </w:tc>
              <w:tc>
                <w:tcPr>
                  <w:tcW w:w="345" w:type="pct"/>
                  <w:vMerge w:val="continue"/>
                  <w:noWrap w:val="0"/>
                  <w:vAlign w:val="center"/>
                </w:tcPr>
                <w:p w14:paraId="53556779">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68" w:type="pct"/>
                  <w:vMerge w:val="continue"/>
                  <w:noWrap w:val="0"/>
                  <w:vAlign w:val="center"/>
                </w:tcPr>
                <w:p w14:paraId="74976EBC">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11" w:type="pct"/>
                  <w:vMerge w:val="continue"/>
                  <w:noWrap w:val="0"/>
                  <w:vAlign w:val="center"/>
                </w:tcPr>
                <w:p w14:paraId="394BF91B">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11" w:type="pct"/>
                  <w:vMerge w:val="continue"/>
                  <w:noWrap w:val="0"/>
                  <w:vAlign w:val="center"/>
                </w:tcPr>
                <w:p w14:paraId="6FE3A9AA">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89" w:type="pct"/>
                  <w:vMerge w:val="continue"/>
                  <w:noWrap w:val="0"/>
                  <w:vAlign w:val="center"/>
                </w:tcPr>
                <w:p w14:paraId="7F5AC595">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34" w:type="pct"/>
                  <w:vMerge w:val="continue"/>
                  <w:noWrap w:val="0"/>
                  <w:vAlign w:val="center"/>
                </w:tcPr>
                <w:p w14:paraId="0F190CA5">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26" w:type="pct"/>
                  <w:vMerge w:val="continue"/>
                  <w:noWrap w:val="0"/>
                  <w:vAlign w:val="center"/>
                </w:tcPr>
                <w:p w14:paraId="6FF57778">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99" w:type="pct"/>
                  <w:vMerge w:val="continue"/>
                  <w:noWrap w:val="0"/>
                  <w:vAlign w:val="center"/>
                </w:tcPr>
                <w:p w14:paraId="07EFDBDF">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05" w:type="pct"/>
                  <w:vMerge w:val="continue"/>
                  <w:noWrap w:val="0"/>
                  <w:vAlign w:val="center"/>
                </w:tcPr>
                <w:p w14:paraId="6E9C32ED">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r>
            <w:tr w14:paraId="79E203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63" w:hRule="atLeast"/>
              </w:trPr>
              <w:tc>
                <w:tcPr>
                  <w:tcW w:w="88" w:type="pct"/>
                  <w:noWrap w:val="0"/>
                  <w:vAlign w:val="center"/>
                </w:tcPr>
                <w:p w14:paraId="2A9B82E4">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w:t>
                  </w:r>
                </w:p>
              </w:tc>
              <w:tc>
                <w:tcPr>
                  <w:tcW w:w="326" w:type="pct"/>
                  <w:noWrap w:val="0"/>
                  <w:vAlign w:val="center"/>
                </w:tcPr>
                <w:p w14:paraId="4E651582">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DA001</w:t>
                  </w:r>
                </w:p>
              </w:tc>
              <w:tc>
                <w:tcPr>
                  <w:tcW w:w="414" w:type="pct"/>
                  <w:noWrap w:val="0"/>
                  <w:vAlign w:val="center"/>
                </w:tcPr>
                <w:p w14:paraId="7E8A3775">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一般排放口</w:t>
                  </w:r>
                </w:p>
              </w:tc>
              <w:tc>
                <w:tcPr>
                  <w:tcW w:w="675" w:type="pct"/>
                  <w:noWrap w:val="0"/>
                  <w:vAlign w:val="center"/>
                </w:tcPr>
                <w:p w14:paraId="6604C36E">
                  <w:pPr>
                    <w:pStyle w:val="30"/>
                    <w:bidi w:val="0"/>
                    <w:ind w:firstLine="0" w:firstLineChars="0"/>
                    <w:rPr>
                      <w:rFonts w:hint="default" w:ascii="Times New Roman" w:hAnsi="Times New Roman" w:eastAsia="宋体" w:cs="Times New Roman"/>
                      <w:b w:val="0"/>
                      <w:bCs/>
                      <w:color w:val="auto"/>
                      <w:kern w:val="0"/>
                      <w:sz w:val="21"/>
                      <w:szCs w:val="21"/>
                      <w:lang w:val="en-US" w:eastAsia="zh-CN"/>
                    </w:rPr>
                  </w:pPr>
                  <w:r>
                    <w:rPr>
                      <w:rFonts w:hint="eastAsia" w:ascii="Times New Roman" w:cs="Times New Roman"/>
                      <w:b w:val="0"/>
                      <w:bCs/>
                      <w:color w:val="auto"/>
                      <w:sz w:val="21"/>
                      <w:szCs w:val="21"/>
                      <w:lang w:val="en-US" w:eastAsia="zh-CN"/>
                    </w:rPr>
                    <w:t>119°14′55.341″</w:t>
                  </w:r>
                </w:p>
              </w:tc>
              <w:tc>
                <w:tcPr>
                  <w:tcW w:w="704" w:type="pct"/>
                  <w:noWrap w:val="0"/>
                  <w:vAlign w:val="center"/>
                </w:tcPr>
                <w:p w14:paraId="3C1B73DF">
                  <w:pPr>
                    <w:pStyle w:val="30"/>
                    <w:bidi w:val="0"/>
                    <w:ind w:firstLine="0" w:firstLineChars="0"/>
                    <w:rPr>
                      <w:rFonts w:hint="default" w:ascii="Times New Roman" w:hAnsi="Times New Roman" w:eastAsia="宋体" w:cs="Times New Roman"/>
                      <w:b w:val="0"/>
                      <w:bCs/>
                      <w:color w:val="auto"/>
                      <w:sz w:val="21"/>
                      <w:szCs w:val="21"/>
                      <w:lang w:val="en-US" w:eastAsia="zh-CN"/>
                    </w:rPr>
                  </w:pPr>
                  <w:r>
                    <w:rPr>
                      <w:rFonts w:hint="eastAsia" w:ascii="Times New Roman" w:cs="Times New Roman"/>
                      <w:b w:val="0"/>
                      <w:bCs/>
                      <w:color w:val="auto"/>
                      <w:sz w:val="21"/>
                      <w:szCs w:val="21"/>
                      <w:lang w:val="en-US" w:eastAsia="zh-CN"/>
                    </w:rPr>
                    <w:t>33°48′28.992″</w:t>
                  </w:r>
                </w:p>
              </w:tc>
              <w:tc>
                <w:tcPr>
                  <w:tcW w:w="345" w:type="pct"/>
                  <w:noWrap w:val="0"/>
                  <w:vAlign w:val="center"/>
                </w:tcPr>
                <w:p w14:paraId="37DB8359">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3.83</w:t>
                  </w:r>
                </w:p>
              </w:tc>
              <w:tc>
                <w:tcPr>
                  <w:tcW w:w="268" w:type="pct"/>
                  <w:noWrap w:val="0"/>
                  <w:vAlign w:val="center"/>
                </w:tcPr>
                <w:p w14:paraId="0C8B377B">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15</w:t>
                  </w:r>
                </w:p>
              </w:tc>
              <w:tc>
                <w:tcPr>
                  <w:tcW w:w="211" w:type="pct"/>
                  <w:noWrap w:val="0"/>
                  <w:vAlign w:val="center"/>
                </w:tcPr>
                <w:p w14:paraId="563F9EDB">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eastAsia="zh-CN"/>
                    </w:rPr>
                  </w:pPr>
                  <w:r>
                    <w:rPr>
                      <w:rFonts w:hint="default" w:ascii="Times New Roman" w:hAnsi="Times New Roman" w:eastAsia="宋体" w:cs="Times New Roman"/>
                      <w:b w:val="0"/>
                      <w:bCs/>
                      <w:color w:val="auto"/>
                      <w:sz w:val="21"/>
                      <w:szCs w:val="21"/>
                    </w:rPr>
                    <w:t>0.</w:t>
                  </w:r>
                  <w:r>
                    <w:rPr>
                      <w:rFonts w:hint="default" w:ascii="Times New Roman" w:hAnsi="Times New Roman" w:eastAsia="宋体" w:cs="Times New Roman"/>
                      <w:b w:val="0"/>
                      <w:bCs/>
                      <w:color w:val="auto"/>
                      <w:sz w:val="21"/>
                      <w:szCs w:val="21"/>
                      <w:lang w:val="en-US" w:eastAsia="zh-CN"/>
                    </w:rPr>
                    <w:t>5</w:t>
                  </w:r>
                </w:p>
              </w:tc>
              <w:tc>
                <w:tcPr>
                  <w:tcW w:w="211" w:type="pct"/>
                  <w:noWrap w:val="0"/>
                  <w:vAlign w:val="center"/>
                </w:tcPr>
                <w:p w14:paraId="5E2F7CA7">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kern w:val="0"/>
                      <w:sz w:val="21"/>
                      <w:szCs w:val="21"/>
                    </w:rPr>
                    <w:t>25</w:t>
                  </w:r>
                </w:p>
              </w:tc>
              <w:tc>
                <w:tcPr>
                  <w:tcW w:w="189" w:type="pct"/>
                  <w:noWrap w:val="0"/>
                  <w:vAlign w:val="center"/>
                </w:tcPr>
                <w:p w14:paraId="22AA786F">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正常</w:t>
                  </w:r>
                </w:p>
              </w:tc>
              <w:tc>
                <w:tcPr>
                  <w:tcW w:w="334" w:type="pct"/>
                  <w:noWrap w:val="0"/>
                  <w:vAlign w:val="center"/>
                </w:tcPr>
                <w:p w14:paraId="736E92F5">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kern w:val="0"/>
                      <w:sz w:val="21"/>
                      <w:szCs w:val="21"/>
                      <w:lang w:val="en-US" w:eastAsia="zh-CN"/>
                    </w:rPr>
                    <w:t>非甲烷总烃</w:t>
                  </w:r>
                </w:p>
              </w:tc>
              <w:tc>
                <w:tcPr>
                  <w:tcW w:w="1281" w:type="dxa"/>
                  <w:noWrap w:val="0"/>
                  <w:vAlign w:val="center"/>
                </w:tcPr>
                <w:p w14:paraId="6DED720E">
                  <w:pPr>
                    <w:keepNext w:val="0"/>
                    <w:keepLines w:val="0"/>
                    <w:widowControl/>
                    <w:suppressLineNumbers w:val="0"/>
                    <w:jc w:val="center"/>
                    <w:textAlignment w:val="center"/>
                    <w:rPr>
                      <w:rFonts w:hint="default" w:ascii="Times New Roman" w:hAnsi="Times New Roman" w:eastAsia="宋体" w:cs="Times New Roman"/>
                      <w:b w:val="0"/>
                      <w:bCs/>
                      <w:color w:val="auto"/>
                      <w:sz w:val="21"/>
                      <w:szCs w:val="21"/>
                      <w:lang w:val="en-US"/>
                    </w:rPr>
                  </w:pPr>
                  <w:r>
                    <w:rPr>
                      <w:rFonts w:hint="eastAsia" w:cs="宋体"/>
                      <w:i w:val="0"/>
                      <w:iCs w:val="0"/>
                      <w:color w:val="auto"/>
                      <w:kern w:val="0"/>
                      <w:sz w:val="22"/>
                      <w:szCs w:val="22"/>
                      <w:u w:val="none"/>
                      <w:lang w:val="en-US" w:eastAsia="zh-CN" w:bidi="ar"/>
                    </w:rPr>
                    <w:t>1.105</w:t>
                  </w:r>
                </w:p>
              </w:tc>
              <w:tc>
                <w:tcPr>
                  <w:tcW w:w="1200" w:type="dxa"/>
                  <w:noWrap w:val="0"/>
                  <w:vAlign w:val="center"/>
                </w:tcPr>
                <w:p w14:paraId="6CC3A92B">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rPr>
                  </w:pPr>
                  <w:r>
                    <w:rPr>
                      <w:rFonts w:hint="eastAsia" w:cs="宋体"/>
                      <w:i w:val="0"/>
                      <w:iCs w:val="0"/>
                      <w:color w:val="auto"/>
                      <w:kern w:val="0"/>
                      <w:sz w:val="22"/>
                      <w:szCs w:val="22"/>
                      <w:u w:val="none"/>
                      <w:lang w:val="en-US" w:eastAsia="zh-CN" w:bidi="ar"/>
                    </w:rPr>
                    <w:t>0.007</w:t>
                  </w:r>
                </w:p>
              </w:tc>
              <w:tc>
                <w:tcPr>
                  <w:tcW w:w="1218" w:type="dxa"/>
                  <w:noWrap w:val="0"/>
                  <w:vAlign w:val="center"/>
                </w:tcPr>
                <w:p w14:paraId="1CB453AD">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eastAsia" w:cs="宋体"/>
                      <w:i w:val="0"/>
                      <w:iCs w:val="0"/>
                      <w:color w:val="auto"/>
                      <w:kern w:val="0"/>
                      <w:sz w:val="22"/>
                      <w:szCs w:val="22"/>
                      <w:u w:val="none"/>
                      <w:lang w:val="en-US" w:eastAsia="zh-CN" w:bidi="ar"/>
                    </w:rPr>
                    <w:t>0.051</w:t>
                  </w:r>
                </w:p>
              </w:tc>
            </w:tr>
          </w:tbl>
          <w:p w14:paraId="677B8F6D">
            <w:pPr>
              <w:pStyle w:val="2"/>
              <w:rPr>
                <w:color w:val="auto"/>
              </w:rPr>
            </w:pPr>
          </w:p>
        </w:tc>
      </w:tr>
    </w:tbl>
    <w:p w14:paraId="50D57E4A">
      <w:pPr>
        <w:adjustRightInd w:val="0"/>
        <w:snapToGrid w:val="0"/>
        <w:spacing w:line="360" w:lineRule="auto"/>
        <w:rPr>
          <w:rFonts w:hint="eastAsia" w:ascii="宋体" w:cs="宋体"/>
          <w:b/>
          <w:color w:val="auto"/>
          <w:kern w:val="0"/>
          <w:sz w:val="28"/>
          <w:szCs w:val="28"/>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22"/>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7D0A6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32" w:hRule="atLeast"/>
          <w:jc w:val="center"/>
        </w:trPr>
        <w:tc>
          <w:tcPr>
            <w:tcW w:w="746" w:type="dxa"/>
            <w:noWrap w:val="0"/>
            <w:tcMar>
              <w:left w:w="28" w:type="dxa"/>
              <w:right w:w="28" w:type="dxa"/>
            </w:tcMar>
            <w:vAlign w:val="center"/>
          </w:tcPr>
          <w:p w14:paraId="76A6EC55">
            <w:pPr>
              <w:pStyle w:val="6"/>
              <w:rPr>
                <w:color w:val="auto"/>
              </w:rPr>
            </w:pPr>
          </w:p>
        </w:tc>
        <w:tc>
          <w:tcPr>
            <w:tcW w:w="8162" w:type="dxa"/>
            <w:noWrap w:val="0"/>
            <w:vAlign w:val="top"/>
          </w:tcPr>
          <w:p w14:paraId="695D5A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both"/>
              <w:textAlignment w:val="auto"/>
              <w:rPr>
                <w:b w:val="0"/>
                <w:bCs w:val="0"/>
                <w:color w:val="auto"/>
              </w:rPr>
            </w:pPr>
            <w:r>
              <w:rPr>
                <w:rFonts w:ascii="Times New Roman" w:hAnsi="Times New Roman" w:eastAsia="宋体" w:cs="Times New Roman"/>
                <w:b w:val="0"/>
                <w:bCs w:val="0"/>
                <w:color w:val="auto"/>
                <w:kern w:val="2"/>
                <w:sz w:val="21"/>
                <w:szCs w:val="24"/>
                <w:lang w:val="en-US" w:eastAsia="zh-CN" w:bidi="ar-SA"/>
              </w:rPr>
              <w:t>2、</w:t>
            </w:r>
            <w:r>
              <w:rPr>
                <w:rFonts w:hint="eastAsia"/>
                <w:b w:val="0"/>
                <w:bCs w:val="0"/>
                <w:color w:val="auto"/>
                <w:sz w:val="24"/>
              </w:rPr>
              <w:t>废气污染物达标分析</w:t>
            </w:r>
          </w:p>
          <w:p w14:paraId="576AD5BC">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仿宋_GB2312"/>
                <w:color w:val="auto"/>
                <w:lang w:val="en-US" w:eastAsia="zh-CN"/>
              </w:rPr>
            </w:pPr>
            <w:r>
              <w:rPr>
                <w:rFonts w:hint="eastAsia" w:ascii="Times New Roman" w:hAnsi="Times New Roman" w:eastAsia="宋体" w:cs="Times New Roman"/>
                <w:b/>
                <w:bCs/>
                <w:color w:val="auto"/>
                <w:sz w:val="21"/>
                <w:szCs w:val="21"/>
                <w:lang w:val="en-US" w:eastAsia="zh-CN"/>
              </w:rPr>
              <w:t>表4-</w:t>
            </w:r>
            <w:r>
              <w:rPr>
                <w:rFonts w:hint="eastAsia" w:cs="Times New Roman"/>
                <w:b/>
                <w:bCs/>
                <w:color w:val="auto"/>
                <w:sz w:val="21"/>
                <w:szCs w:val="21"/>
                <w:lang w:val="en-US" w:eastAsia="zh-CN"/>
              </w:rPr>
              <w:t xml:space="preserve">6  </w:t>
            </w:r>
            <w:r>
              <w:rPr>
                <w:rFonts w:hint="eastAsia"/>
                <w:b/>
                <w:bCs/>
                <w:color w:val="auto"/>
                <w:sz w:val="21"/>
                <w:szCs w:val="21"/>
              </w:rPr>
              <w:t>废气污染物有组织排放</w:t>
            </w:r>
            <w:r>
              <w:rPr>
                <w:rFonts w:hint="eastAsia"/>
                <w:b/>
                <w:bCs/>
                <w:color w:val="auto"/>
                <w:sz w:val="21"/>
                <w:szCs w:val="21"/>
                <w:lang w:val="en-US" w:eastAsia="zh-CN"/>
              </w:rPr>
              <w:t>及达标</w:t>
            </w:r>
            <w:r>
              <w:rPr>
                <w:rFonts w:hint="eastAsia"/>
                <w:b/>
                <w:bCs/>
                <w:color w:val="auto"/>
                <w:sz w:val="21"/>
                <w:szCs w:val="21"/>
              </w:rPr>
              <w:t>情况一览表</w:t>
            </w:r>
          </w:p>
          <w:tbl>
            <w:tblPr>
              <w:tblStyle w:val="22"/>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74"/>
              <w:gridCol w:w="705"/>
              <w:gridCol w:w="765"/>
              <w:gridCol w:w="765"/>
              <w:gridCol w:w="885"/>
              <w:gridCol w:w="885"/>
              <w:gridCol w:w="984"/>
              <w:gridCol w:w="620"/>
              <w:gridCol w:w="1657"/>
            </w:tblGrid>
            <w:tr w14:paraId="07987F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pct"/>
                  <w:vMerge w:val="restart"/>
                  <w:tcBorders>
                    <w:tl2br w:val="nil"/>
                    <w:tr2bl w:val="nil"/>
                  </w:tcBorders>
                  <w:noWrap w:val="0"/>
                  <w:vAlign w:val="center"/>
                </w:tcPr>
                <w:p w14:paraId="6678120D">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排</w:t>
                  </w:r>
                </w:p>
                <w:p w14:paraId="167D1C45">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气</w:t>
                  </w:r>
                </w:p>
                <w:p w14:paraId="356D27C0">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筒</w:t>
                  </w:r>
                </w:p>
              </w:tc>
              <w:tc>
                <w:tcPr>
                  <w:tcW w:w="443" w:type="pct"/>
                  <w:vMerge w:val="restart"/>
                  <w:tcBorders>
                    <w:tl2br w:val="nil"/>
                    <w:tr2bl w:val="nil"/>
                  </w:tcBorders>
                  <w:noWrap w:val="0"/>
                  <w:vAlign w:val="center"/>
                </w:tcPr>
                <w:p w14:paraId="694699DE">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主要污染物</w:t>
                  </w:r>
                </w:p>
              </w:tc>
              <w:tc>
                <w:tcPr>
                  <w:tcW w:w="1520" w:type="pct"/>
                  <w:gridSpan w:val="3"/>
                  <w:tcBorders>
                    <w:tl2br w:val="nil"/>
                    <w:tr2bl w:val="nil"/>
                  </w:tcBorders>
                  <w:noWrap w:val="0"/>
                  <w:vAlign w:val="center"/>
                </w:tcPr>
                <w:p w14:paraId="1D45465E">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排放情况</w:t>
                  </w:r>
                </w:p>
              </w:tc>
              <w:tc>
                <w:tcPr>
                  <w:tcW w:w="1176" w:type="pct"/>
                  <w:gridSpan w:val="2"/>
                  <w:tcBorders>
                    <w:tl2br w:val="nil"/>
                    <w:tr2bl w:val="nil"/>
                  </w:tcBorders>
                  <w:noWrap w:val="0"/>
                  <w:vAlign w:val="center"/>
                </w:tcPr>
                <w:p w14:paraId="36EF14A3">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执行标准</w:t>
                  </w:r>
                </w:p>
              </w:tc>
              <w:tc>
                <w:tcPr>
                  <w:tcW w:w="390" w:type="pct"/>
                  <w:vMerge w:val="restart"/>
                  <w:tcBorders>
                    <w:tl2br w:val="nil"/>
                    <w:tr2bl w:val="nil"/>
                  </w:tcBorders>
                  <w:noWrap w:val="0"/>
                  <w:vAlign w:val="center"/>
                </w:tcPr>
                <w:p w14:paraId="031BCE4A">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达标</w:t>
                  </w:r>
                </w:p>
                <w:p w14:paraId="4A6FF2E9">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判定</w:t>
                  </w:r>
                </w:p>
              </w:tc>
              <w:tc>
                <w:tcPr>
                  <w:tcW w:w="1043" w:type="pct"/>
                  <w:vMerge w:val="restart"/>
                  <w:tcBorders>
                    <w:tl2br w:val="nil"/>
                    <w:tr2bl w:val="nil"/>
                  </w:tcBorders>
                  <w:noWrap w:val="0"/>
                  <w:vAlign w:val="center"/>
                </w:tcPr>
                <w:p w14:paraId="4C09B63F">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标准来源</w:t>
                  </w:r>
                </w:p>
              </w:tc>
            </w:tr>
            <w:tr w14:paraId="256468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pct"/>
                  <w:vMerge w:val="continue"/>
                  <w:tcBorders>
                    <w:tl2br w:val="nil"/>
                    <w:tr2bl w:val="nil"/>
                  </w:tcBorders>
                  <w:noWrap w:val="0"/>
                  <w:vAlign w:val="center"/>
                </w:tcPr>
                <w:p w14:paraId="58D55406">
                  <w:pPr>
                    <w:spacing w:line="320" w:lineRule="exact"/>
                    <w:jc w:val="center"/>
                    <w:rPr>
                      <w:rFonts w:hint="default"/>
                      <w:color w:val="auto"/>
                      <w:kern w:val="2"/>
                      <w:sz w:val="21"/>
                      <w:szCs w:val="21"/>
                      <w:lang w:val="en-US" w:eastAsia="zh-CN" w:bidi="ar-SA"/>
                    </w:rPr>
                  </w:pPr>
                </w:p>
              </w:tc>
              <w:tc>
                <w:tcPr>
                  <w:tcW w:w="443" w:type="pct"/>
                  <w:vMerge w:val="continue"/>
                  <w:tcBorders>
                    <w:tl2br w:val="nil"/>
                    <w:tr2bl w:val="nil"/>
                  </w:tcBorders>
                  <w:noWrap w:val="0"/>
                  <w:vAlign w:val="center"/>
                </w:tcPr>
                <w:p w14:paraId="3D862AD8">
                  <w:pPr>
                    <w:spacing w:line="320" w:lineRule="exact"/>
                    <w:jc w:val="center"/>
                    <w:rPr>
                      <w:rFonts w:hint="default"/>
                      <w:color w:val="auto"/>
                      <w:kern w:val="2"/>
                      <w:sz w:val="21"/>
                      <w:szCs w:val="21"/>
                      <w:lang w:val="en-US" w:eastAsia="zh-CN" w:bidi="ar-SA"/>
                    </w:rPr>
                  </w:pPr>
                </w:p>
              </w:tc>
              <w:tc>
                <w:tcPr>
                  <w:tcW w:w="481" w:type="pct"/>
                  <w:tcBorders>
                    <w:tl2br w:val="nil"/>
                    <w:tr2bl w:val="nil"/>
                  </w:tcBorders>
                  <w:noWrap w:val="0"/>
                  <w:vAlign w:val="center"/>
                </w:tcPr>
                <w:p w14:paraId="7B950C34">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排放量</w:t>
                  </w:r>
                </w:p>
                <w:p w14:paraId="5B532338">
                  <w:pPr>
                    <w:spacing w:line="32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kern w:val="2"/>
                      <w:sz w:val="21"/>
                      <w:szCs w:val="21"/>
                      <w:lang w:val="en-US" w:eastAsia="zh-CN" w:bidi="ar-SA"/>
                    </w:rPr>
                    <w:t>(</w:t>
                  </w:r>
                  <w:r>
                    <w:rPr>
                      <w:rFonts w:hint="default"/>
                      <w:color w:val="auto"/>
                      <w:kern w:val="2"/>
                      <w:sz w:val="21"/>
                      <w:szCs w:val="21"/>
                      <w:lang w:val="en-US" w:eastAsia="zh-CN" w:bidi="ar-SA"/>
                    </w:rPr>
                    <w:t>t/a</w:t>
                  </w:r>
                  <w:r>
                    <w:rPr>
                      <w:rFonts w:hint="eastAsia"/>
                      <w:color w:val="auto"/>
                      <w:kern w:val="2"/>
                      <w:sz w:val="21"/>
                      <w:szCs w:val="21"/>
                      <w:lang w:val="en-US" w:eastAsia="zh-CN" w:bidi="ar-SA"/>
                    </w:rPr>
                    <w:t>)</w:t>
                  </w:r>
                </w:p>
              </w:tc>
              <w:tc>
                <w:tcPr>
                  <w:tcW w:w="481" w:type="pct"/>
                  <w:tcBorders>
                    <w:tl2br w:val="nil"/>
                    <w:tr2bl w:val="nil"/>
                  </w:tcBorders>
                  <w:noWrap w:val="0"/>
                  <w:vAlign w:val="center"/>
                </w:tcPr>
                <w:p w14:paraId="5C16BB7B">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速率</w:t>
                  </w:r>
                </w:p>
                <w:p w14:paraId="23A3768A">
                  <w:pPr>
                    <w:spacing w:line="320" w:lineRule="exact"/>
                    <w:jc w:val="center"/>
                    <w:rPr>
                      <w:rFonts w:hint="default" w:ascii="Times New Roman" w:hAnsi="Times New Roman" w:eastAsia="宋体" w:cs="Times New Roman"/>
                      <w:color w:val="auto"/>
                      <w:kern w:val="2"/>
                      <w:sz w:val="21"/>
                      <w:szCs w:val="21"/>
                      <w:lang w:val="en-US" w:eastAsia="zh-CN" w:bidi="ar-SA"/>
                    </w:rPr>
                  </w:pPr>
                  <w:r>
                    <w:rPr>
                      <w:rFonts w:hint="eastAsia"/>
                      <w:color w:val="auto"/>
                      <w:kern w:val="2"/>
                      <w:sz w:val="21"/>
                      <w:szCs w:val="21"/>
                      <w:lang w:val="en-US" w:eastAsia="zh-CN" w:bidi="ar-SA"/>
                    </w:rPr>
                    <w:t>(</w:t>
                  </w:r>
                  <w:r>
                    <w:rPr>
                      <w:rFonts w:hint="default"/>
                      <w:color w:val="auto"/>
                      <w:kern w:val="2"/>
                      <w:sz w:val="21"/>
                      <w:szCs w:val="21"/>
                      <w:lang w:val="en-US" w:eastAsia="zh-CN" w:bidi="ar-SA"/>
                    </w:rPr>
                    <w:t>kg/h</w:t>
                  </w:r>
                  <w:r>
                    <w:rPr>
                      <w:rFonts w:hint="eastAsia"/>
                      <w:color w:val="auto"/>
                      <w:kern w:val="2"/>
                      <w:sz w:val="21"/>
                      <w:szCs w:val="21"/>
                      <w:lang w:val="en-US" w:eastAsia="zh-CN" w:bidi="ar-SA"/>
                    </w:rPr>
                    <w:t>)</w:t>
                  </w:r>
                </w:p>
              </w:tc>
              <w:tc>
                <w:tcPr>
                  <w:tcW w:w="557" w:type="pct"/>
                  <w:tcBorders>
                    <w:tl2br w:val="nil"/>
                    <w:tr2bl w:val="nil"/>
                  </w:tcBorders>
                  <w:noWrap w:val="0"/>
                  <w:vAlign w:val="center"/>
                </w:tcPr>
                <w:p w14:paraId="3D0ECCF8">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浓度</w:t>
                  </w:r>
                  <w:r>
                    <w:rPr>
                      <w:rFonts w:hint="eastAsia"/>
                      <w:color w:val="auto"/>
                      <w:kern w:val="2"/>
                      <w:sz w:val="21"/>
                      <w:szCs w:val="21"/>
                      <w:lang w:val="en-US" w:eastAsia="zh-CN" w:bidi="ar-SA"/>
                    </w:rPr>
                    <w:t>（</w:t>
                  </w:r>
                  <w:r>
                    <w:rPr>
                      <w:rFonts w:hint="default"/>
                      <w:color w:val="auto"/>
                      <w:kern w:val="2"/>
                      <w:sz w:val="21"/>
                      <w:szCs w:val="21"/>
                      <w:lang w:val="en-US" w:eastAsia="zh-CN" w:bidi="ar-SA"/>
                    </w:rPr>
                    <w:t>mg/m</w:t>
                  </w:r>
                  <w:r>
                    <w:rPr>
                      <w:rFonts w:hint="default"/>
                      <w:color w:val="auto"/>
                      <w:kern w:val="2"/>
                      <w:sz w:val="21"/>
                      <w:szCs w:val="21"/>
                      <w:vertAlign w:val="superscript"/>
                      <w:lang w:val="en-US" w:eastAsia="zh-CN" w:bidi="ar-SA"/>
                    </w:rPr>
                    <w:t>3</w:t>
                  </w:r>
                  <w:r>
                    <w:rPr>
                      <w:rFonts w:hint="eastAsia"/>
                      <w:color w:val="auto"/>
                      <w:kern w:val="2"/>
                      <w:sz w:val="21"/>
                      <w:szCs w:val="21"/>
                      <w:lang w:val="en-US" w:eastAsia="zh-CN" w:bidi="ar-SA"/>
                    </w:rPr>
                    <w:t>）</w:t>
                  </w:r>
                </w:p>
              </w:tc>
              <w:tc>
                <w:tcPr>
                  <w:tcW w:w="557" w:type="pct"/>
                  <w:tcBorders>
                    <w:tl2br w:val="nil"/>
                    <w:tr2bl w:val="nil"/>
                  </w:tcBorders>
                  <w:noWrap w:val="0"/>
                  <w:vAlign w:val="center"/>
                </w:tcPr>
                <w:p w14:paraId="25E9FEAD">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速率</w:t>
                  </w:r>
                </w:p>
                <w:p w14:paraId="670FCB63">
                  <w:pPr>
                    <w:spacing w:line="320" w:lineRule="exact"/>
                    <w:jc w:val="center"/>
                    <w:rPr>
                      <w:rFonts w:hint="default"/>
                      <w:color w:val="auto"/>
                      <w:kern w:val="2"/>
                      <w:sz w:val="21"/>
                      <w:szCs w:val="21"/>
                      <w:lang w:val="en-US" w:eastAsia="zh-CN" w:bidi="ar-SA"/>
                    </w:rPr>
                  </w:pPr>
                  <w:r>
                    <w:rPr>
                      <w:rFonts w:hint="eastAsia"/>
                      <w:color w:val="auto"/>
                      <w:kern w:val="2"/>
                      <w:sz w:val="21"/>
                      <w:szCs w:val="21"/>
                      <w:lang w:val="en-US" w:eastAsia="zh-CN" w:bidi="ar-SA"/>
                    </w:rPr>
                    <w:t>(</w:t>
                  </w:r>
                  <w:r>
                    <w:rPr>
                      <w:rFonts w:hint="default"/>
                      <w:color w:val="auto"/>
                      <w:kern w:val="2"/>
                      <w:sz w:val="21"/>
                      <w:szCs w:val="21"/>
                      <w:lang w:val="en-US" w:eastAsia="zh-CN" w:bidi="ar-SA"/>
                    </w:rPr>
                    <w:t>kg/h</w:t>
                  </w:r>
                  <w:r>
                    <w:rPr>
                      <w:rFonts w:hint="eastAsia"/>
                      <w:color w:val="auto"/>
                      <w:kern w:val="2"/>
                      <w:sz w:val="21"/>
                      <w:szCs w:val="21"/>
                      <w:lang w:val="en-US" w:eastAsia="zh-CN" w:bidi="ar-SA"/>
                    </w:rPr>
                    <w:t>)</w:t>
                  </w:r>
                </w:p>
              </w:tc>
              <w:tc>
                <w:tcPr>
                  <w:tcW w:w="619" w:type="pct"/>
                  <w:tcBorders>
                    <w:tl2br w:val="nil"/>
                    <w:tr2bl w:val="nil"/>
                  </w:tcBorders>
                  <w:noWrap w:val="0"/>
                  <w:vAlign w:val="center"/>
                </w:tcPr>
                <w:p w14:paraId="27CE8883">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浓度</w:t>
                  </w:r>
                  <w:r>
                    <w:rPr>
                      <w:rFonts w:hint="eastAsia"/>
                      <w:color w:val="auto"/>
                      <w:kern w:val="2"/>
                      <w:sz w:val="21"/>
                      <w:szCs w:val="21"/>
                      <w:lang w:val="en-US" w:eastAsia="zh-CN" w:bidi="ar-SA"/>
                    </w:rPr>
                    <w:t>（</w:t>
                  </w:r>
                  <w:r>
                    <w:rPr>
                      <w:rFonts w:hint="default"/>
                      <w:color w:val="auto"/>
                      <w:kern w:val="2"/>
                      <w:sz w:val="21"/>
                      <w:szCs w:val="21"/>
                      <w:lang w:val="en-US" w:eastAsia="zh-CN" w:bidi="ar-SA"/>
                    </w:rPr>
                    <w:t>mg/m</w:t>
                  </w:r>
                  <w:r>
                    <w:rPr>
                      <w:rFonts w:hint="default"/>
                      <w:color w:val="auto"/>
                      <w:kern w:val="2"/>
                      <w:sz w:val="21"/>
                      <w:szCs w:val="21"/>
                      <w:vertAlign w:val="superscript"/>
                      <w:lang w:val="en-US" w:eastAsia="zh-CN" w:bidi="ar-SA"/>
                    </w:rPr>
                    <w:t>3</w:t>
                  </w:r>
                  <w:r>
                    <w:rPr>
                      <w:rFonts w:hint="eastAsia"/>
                      <w:color w:val="auto"/>
                      <w:kern w:val="2"/>
                      <w:sz w:val="21"/>
                      <w:szCs w:val="21"/>
                      <w:lang w:val="en-US" w:eastAsia="zh-CN" w:bidi="ar-SA"/>
                    </w:rPr>
                    <w:t>）</w:t>
                  </w:r>
                </w:p>
              </w:tc>
              <w:tc>
                <w:tcPr>
                  <w:tcW w:w="390" w:type="pct"/>
                  <w:vMerge w:val="continue"/>
                  <w:tcBorders>
                    <w:tl2br w:val="nil"/>
                    <w:tr2bl w:val="nil"/>
                  </w:tcBorders>
                  <w:noWrap w:val="0"/>
                  <w:vAlign w:val="center"/>
                </w:tcPr>
                <w:p w14:paraId="0BD1EDE3">
                  <w:pPr>
                    <w:spacing w:line="320" w:lineRule="exact"/>
                    <w:jc w:val="center"/>
                    <w:rPr>
                      <w:rFonts w:hint="default"/>
                      <w:color w:val="auto"/>
                      <w:kern w:val="2"/>
                      <w:sz w:val="21"/>
                      <w:szCs w:val="21"/>
                      <w:lang w:val="en-US" w:eastAsia="zh-CN" w:bidi="ar-SA"/>
                    </w:rPr>
                  </w:pPr>
                </w:p>
              </w:tc>
              <w:tc>
                <w:tcPr>
                  <w:tcW w:w="1043" w:type="pct"/>
                  <w:vMerge w:val="continue"/>
                  <w:tcBorders>
                    <w:tl2br w:val="nil"/>
                    <w:tr2bl w:val="nil"/>
                  </w:tcBorders>
                  <w:noWrap w:val="0"/>
                  <w:vAlign w:val="center"/>
                </w:tcPr>
                <w:p w14:paraId="0DF6E4C8">
                  <w:pPr>
                    <w:spacing w:line="320" w:lineRule="exact"/>
                    <w:jc w:val="center"/>
                    <w:rPr>
                      <w:rFonts w:hint="default"/>
                      <w:color w:val="auto"/>
                      <w:kern w:val="2"/>
                      <w:sz w:val="21"/>
                      <w:szCs w:val="21"/>
                      <w:lang w:val="en-US" w:eastAsia="zh-CN" w:bidi="ar-SA"/>
                    </w:rPr>
                  </w:pPr>
                </w:p>
              </w:tc>
            </w:tr>
            <w:tr w14:paraId="38DAF5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24" w:type="pct"/>
                  <w:tcBorders>
                    <w:tl2br w:val="nil"/>
                    <w:tr2bl w:val="nil"/>
                  </w:tcBorders>
                  <w:noWrap w:val="0"/>
                  <w:vAlign w:val="center"/>
                </w:tcPr>
                <w:p w14:paraId="39018F06">
                  <w:pPr>
                    <w:spacing w:line="320" w:lineRule="exact"/>
                    <w:jc w:val="center"/>
                    <w:rPr>
                      <w:rFonts w:hint="default"/>
                      <w:color w:val="auto"/>
                      <w:kern w:val="2"/>
                      <w:sz w:val="21"/>
                      <w:szCs w:val="21"/>
                      <w:lang w:val="en-US" w:eastAsia="zh-CN" w:bidi="ar-SA"/>
                    </w:rPr>
                  </w:pPr>
                  <w:r>
                    <w:rPr>
                      <w:rFonts w:hint="eastAsia"/>
                      <w:color w:val="auto"/>
                      <w:kern w:val="2"/>
                      <w:sz w:val="21"/>
                      <w:szCs w:val="21"/>
                      <w:lang w:val="en-US" w:eastAsia="zh-CN" w:bidi="ar-SA"/>
                    </w:rPr>
                    <w:t>DA001</w:t>
                  </w:r>
                </w:p>
              </w:tc>
              <w:tc>
                <w:tcPr>
                  <w:tcW w:w="443" w:type="pct"/>
                  <w:tcBorders>
                    <w:tl2br w:val="nil"/>
                    <w:tr2bl w:val="nil"/>
                  </w:tcBorders>
                  <w:noWrap w:val="0"/>
                  <w:vAlign w:val="center"/>
                </w:tcPr>
                <w:p w14:paraId="4A3FF15C">
                  <w:pPr>
                    <w:spacing w:line="320" w:lineRule="exact"/>
                    <w:jc w:val="center"/>
                    <w:rPr>
                      <w:rFonts w:hint="default"/>
                      <w:color w:val="auto"/>
                      <w:kern w:val="2"/>
                      <w:sz w:val="21"/>
                      <w:szCs w:val="21"/>
                      <w:lang w:val="en-US" w:eastAsia="zh-CN" w:bidi="ar-SA"/>
                    </w:rPr>
                  </w:pPr>
                  <w:r>
                    <w:rPr>
                      <w:rFonts w:hint="eastAsia"/>
                      <w:color w:val="auto"/>
                      <w:kern w:val="2"/>
                      <w:sz w:val="21"/>
                      <w:szCs w:val="21"/>
                      <w:lang w:val="en-US" w:eastAsia="zh-CN" w:bidi="ar-SA"/>
                    </w:rPr>
                    <w:t>非甲烷总烃</w:t>
                  </w:r>
                </w:p>
              </w:tc>
              <w:tc>
                <w:tcPr>
                  <w:tcW w:w="765" w:type="dxa"/>
                  <w:tcBorders>
                    <w:tl2br w:val="nil"/>
                    <w:tr2bl w:val="nil"/>
                  </w:tcBorders>
                  <w:noWrap w:val="0"/>
                  <w:vAlign w:val="center"/>
                </w:tcPr>
                <w:p w14:paraId="40232A1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宋体"/>
                      <w:i w:val="0"/>
                      <w:iCs w:val="0"/>
                      <w:color w:val="auto"/>
                      <w:kern w:val="0"/>
                      <w:sz w:val="22"/>
                      <w:szCs w:val="22"/>
                      <w:u w:val="none"/>
                      <w:lang w:val="en-US" w:eastAsia="zh-CN" w:bidi="ar"/>
                    </w:rPr>
                    <w:t>1.105</w:t>
                  </w:r>
                </w:p>
              </w:tc>
              <w:tc>
                <w:tcPr>
                  <w:tcW w:w="765" w:type="dxa"/>
                  <w:tcBorders>
                    <w:tl2br w:val="nil"/>
                    <w:tr2bl w:val="nil"/>
                  </w:tcBorders>
                  <w:noWrap w:val="0"/>
                  <w:vAlign w:val="center"/>
                </w:tcPr>
                <w:p w14:paraId="38F60F6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宋体"/>
                      <w:i w:val="0"/>
                      <w:iCs w:val="0"/>
                      <w:color w:val="auto"/>
                      <w:kern w:val="0"/>
                      <w:sz w:val="22"/>
                      <w:szCs w:val="22"/>
                      <w:u w:val="none"/>
                      <w:lang w:val="en-US" w:eastAsia="zh-CN" w:bidi="ar"/>
                    </w:rPr>
                    <w:t>0.007</w:t>
                  </w:r>
                </w:p>
              </w:tc>
              <w:tc>
                <w:tcPr>
                  <w:tcW w:w="885" w:type="dxa"/>
                  <w:tcBorders>
                    <w:tl2br w:val="nil"/>
                    <w:tr2bl w:val="nil"/>
                  </w:tcBorders>
                  <w:noWrap w:val="0"/>
                  <w:vAlign w:val="center"/>
                </w:tcPr>
                <w:p w14:paraId="21B1A98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宋体"/>
                      <w:i w:val="0"/>
                      <w:iCs w:val="0"/>
                      <w:color w:val="auto"/>
                      <w:kern w:val="0"/>
                      <w:sz w:val="22"/>
                      <w:szCs w:val="22"/>
                      <w:u w:val="none"/>
                      <w:lang w:val="en-US" w:eastAsia="zh-CN" w:bidi="ar"/>
                    </w:rPr>
                    <w:t>0.051</w:t>
                  </w:r>
                </w:p>
              </w:tc>
              <w:tc>
                <w:tcPr>
                  <w:tcW w:w="557" w:type="pct"/>
                  <w:tcBorders>
                    <w:tl2br w:val="nil"/>
                    <w:tr2bl w:val="nil"/>
                  </w:tcBorders>
                  <w:noWrap w:val="0"/>
                  <w:vAlign w:val="center"/>
                </w:tcPr>
                <w:p w14:paraId="25E4089B">
                  <w:pPr>
                    <w:spacing w:line="320" w:lineRule="exact"/>
                    <w:jc w:val="center"/>
                    <w:rPr>
                      <w:rFonts w:hint="default"/>
                      <w:color w:val="auto"/>
                      <w:kern w:val="2"/>
                      <w:sz w:val="21"/>
                      <w:szCs w:val="21"/>
                      <w:lang w:val="en-US" w:eastAsia="zh-CN" w:bidi="ar-SA"/>
                    </w:rPr>
                  </w:pPr>
                  <w:r>
                    <w:rPr>
                      <w:rFonts w:hint="eastAsia"/>
                      <w:color w:val="auto"/>
                      <w:kern w:val="2"/>
                      <w:sz w:val="21"/>
                      <w:szCs w:val="21"/>
                      <w:lang w:val="en-US" w:eastAsia="zh-CN" w:bidi="ar-SA"/>
                    </w:rPr>
                    <w:t>/</w:t>
                  </w:r>
                </w:p>
              </w:tc>
              <w:tc>
                <w:tcPr>
                  <w:tcW w:w="619" w:type="pct"/>
                  <w:tcBorders>
                    <w:tl2br w:val="nil"/>
                    <w:tr2bl w:val="nil"/>
                  </w:tcBorders>
                  <w:noWrap w:val="0"/>
                  <w:vAlign w:val="center"/>
                </w:tcPr>
                <w:p w14:paraId="1DF738EC">
                  <w:pPr>
                    <w:spacing w:line="320" w:lineRule="exact"/>
                    <w:jc w:val="center"/>
                    <w:rPr>
                      <w:rFonts w:hint="default"/>
                      <w:color w:val="auto"/>
                      <w:kern w:val="2"/>
                      <w:sz w:val="21"/>
                      <w:szCs w:val="21"/>
                      <w:lang w:val="en-US" w:eastAsia="zh-CN" w:bidi="ar-SA"/>
                    </w:rPr>
                  </w:pPr>
                  <w:r>
                    <w:rPr>
                      <w:rFonts w:hint="eastAsia"/>
                      <w:color w:val="auto"/>
                      <w:kern w:val="2"/>
                      <w:sz w:val="21"/>
                      <w:szCs w:val="21"/>
                      <w:lang w:val="en-US" w:eastAsia="zh-CN" w:bidi="ar-SA"/>
                    </w:rPr>
                    <w:t>80</w:t>
                  </w:r>
                </w:p>
              </w:tc>
              <w:tc>
                <w:tcPr>
                  <w:tcW w:w="390" w:type="pct"/>
                  <w:tcBorders>
                    <w:tl2br w:val="nil"/>
                    <w:tr2bl w:val="nil"/>
                  </w:tcBorders>
                  <w:noWrap w:val="0"/>
                  <w:vAlign w:val="center"/>
                </w:tcPr>
                <w:p w14:paraId="5A2822CA">
                  <w:pPr>
                    <w:spacing w:line="320" w:lineRule="exact"/>
                    <w:jc w:val="center"/>
                    <w:rPr>
                      <w:rFonts w:hint="default"/>
                      <w:color w:val="auto"/>
                      <w:kern w:val="2"/>
                      <w:sz w:val="21"/>
                      <w:szCs w:val="21"/>
                      <w:lang w:val="en-US" w:eastAsia="zh-CN" w:bidi="ar-SA"/>
                    </w:rPr>
                  </w:pPr>
                  <w:r>
                    <w:rPr>
                      <w:rFonts w:hint="default"/>
                      <w:color w:val="auto"/>
                      <w:kern w:val="2"/>
                      <w:sz w:val="21"/>
                      <w:szCs w:val="21"/>
                      <w:lang w:val="en-US" w:eastAsia="zh-CN" w:bidi="ar-SA"/>
                    </w:rPr>
                    <w:t>达标</w:t>
                  </w:r>
                </w:p>
              </w:tc>
              <w:tc>
                <w:tcPr>
                  <w:tcW w:w="1043" w:type="pct"/>
                  <w:tcBorders>
                    <w:tl2br w:val="nil"/>
                    <w:tr2bl w:val="nil"/>
                  </w:tcBorders>
                  <w:noWrap w:val="0"/>
                  <w:vAlign w:val="center"/>
                </w:tcPr>
                <w:p w14:paraId="0302E1ED">
                  <w:pPr>
                    <w:pStyle w:val="5"/>
                    <w:jc w:val="center"/>
                    <w:rPr>
                      <w:rFonts w:hint="default"/>
                      <w:color w:val="auto"/>
                      <w:kern w:val="2"/>
                      <w:sz w:val="21"/>
                      <w:szCs w:val="21"/>
                      <w:lang w:val="en-US" w:eastAsia="zh-CN" w:bidi="ar-SA"/>
                    </w:rPr>
                  </w:pPr>
                  <w:r>
                    <w:rPr>
                      <w:rFonts w:hint="default"/>
                      <w:color w:val="auto"/>
                      <w:kern w:val="2"/>
                      <w:sz w:val="21"/>
                      <w:szCs w:val="21"/>
                      <w:lang w:val="en-US" w:eastAsia="zh-CN" w:bidi="ar-SA"/>
                    </w:rPr>
                    <w:t>《玻璃工业大气污染物排放标准》（GB26453-2022）</w:t>
                  </w:r>
                </w:p>
              </w:tc>
            </w:tr>
          </w:tbl>
          <w:p w14:paraId="51BF2EEC">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jc w:val="both"/>
              <w:textAlignment w:val="auto"/>
              <w:rPr>
                <w:color w:val="auto"/>
                <w:sz w:val="24"/>
                <w:szCs w:val="24"/>
              </w:rPr>
            </w:pPr>
            <w:r>
              <w:rPr>
                <w:rFonts w:hint="eastAsia"/>
                <w:color w:val="auto"/>
                <w:sz w:val="24"/>
                <w:szCs w:val="24"/>
              </w:rPr>
              <w:t>根据废气污染物有组织排放及达标情况一览表可知，</w:t>
            </w:r>
            <w:r>
              <w:rPr>
                <w:rFonts w:hint="eastAsia"/>
                <w:color w:val="auto"/>
                <w:sz w:val="24"/>
                <w:szCs w:val="24"/>
                <w:lang w:val="en-US" w:eastAsia="zh-CN"/>
              </w:rPr>
              <w:t>生产车间</w:t>
            </w:r>
            <w:r>
              <w:rPr>
                <w:rFonts w:hint="eastAsia"/>
                <w:bCs/>
                <w:color w:val="auto"/>
                <w:sz w:val="24"/>
                <w:lang w:val="en-US" w:eastAsia="zh-CN"/>
              </w:rPr>
              <w:t>灌装合胶、密封、合片、加热工序产生的非甲烷总烃采用集气罩收集，收集后废气一起</w:t>
            </w:r>
            <w:r>
              <w:rPr>
                <w:rFonts w:hint="eastAsia"/>
                <w:bCs/>
                <w:color w:val="auto"/>
                <w:sz w:val="24"/>
              </w:rPr>
              <w:t>经二级活性炭吸附装置处理，处理后</w:t>
            </w:r>
            <w:r>
              <w:rPr>
                <w:rFonts w:hint="eastAsia"/>
                <w:bCs/>
                <w:color w:val="auto"/>
                <w:sz w:val="24"/>
                <w:lang w:val="en-US" w:eastAsia="zh-CN"/>
              </w:rPr>
              <w:t>废气</w:t>
            </w:r>
            <w:r>
              <w:rPr>
                <w:rFonts w:hint="eastAsia"/>
                <w:bCs/>
                <w:color w:val="auto"/>
                <w:sz w:val="24"/>
              </w:rPr>
              <w:t>经15米高排气筒（DA00</w:t>
            </w:r>
            <w:r>
              <w:rPr>
                <w:rFonts w:hint="eastAsia"/>
                <w:bCs/>
                <w:color w:val="auto"/>
                <w:sz w:val="24"/>
                <w:lang w:val="en-US" w:eastAsia="zh-CN"/>
              </w:rPr>
              <w:t>1</w:t>
            </w:r>
            <w:r>
              <w:rPr>
                <w:rFonts w:hint="eastAsia"/>
                <w:bCs/>
                <w:color w:val="auto"/>
                <w:sz w:val="24"/>
              </w:rPr>
              <w:t>）排放。</w:t>
            </w:r>
            <w:r>
              <w:rPr>
                <w:rFonts w:hint="eastAsia"/>
                <w:bCs/>
                <w:color w:val="auto"/>
                <w:sz w:val="24"/>
                <w:lang w:val="en-US" w:eastAsia="zh-CN"/>
              </w:rPr>
              <w:t>本项目营运期产生的非甲烷总烃经处理后远</w:t>
            </w:r>
            <w:r>
              <w:rPr>
                <w:rFonts w:hint="eastAsia"/>
                <w:bCs/>
                <w:color w:val="auto"/>
                <w:sz w:val="24"/>
              </w:rPr>
              <w:t>低于</w:t>
            </w:r>
            <w:r>
              <w:rPr>
                <w:rFonts w:hint="default" w:ascii="Times New Roman" w:hAnsi="Times New Roman" w:eastAsia="宋体" w:cs="Times New Roman"/>
                <w:color w:val="auto"/>
                <w:sz w:val="24"/>
              </w:rPr>
              <w:t>《玻璃工业大气污染物排放标准》（GB26453-2022）</w:t>
            </w:r>
            <w:r>
              <w:rPr>
                <w:rFonts w:hint="eastAsia"/>
                <w:bCs/>
                <w:color w:val="auto"/>
                <w:sz w:val="24"/>
                <w:lang w:val="en-US" w:eastAsia="zh-CN"/>
              </w:rPr>
              <w:t>表1中非甲烷总烃的标准限值</w:t>
            </w:r>
            <w:r>
              <w:rPr>
                <w:rFonts w:hint="eastAsia" w:hAnsi="宋体"/>
                <w:color w:val="auto"/>
                <w:sz w:val="24"/>
                <w:szCs w:val="24"/>
                <w:lang w:eastAsia="zh-CN"/>
              </w:rPr>
              <w:t>，</w:t>
            </w:r>
            <w:r>
              <w:rPr>
                <w:rFonts w:hint="eastAsia"/>
                <w:bCs/>
                <w:color w:val="auto"/>
                <w:sz w:val="24"/>
              </w:rPr>
              <w:t>因此本项目废气排放对周围大气环境影响不大。</w:t>
            </w:r>
          </w:p>
          <w:p w14:paraId="32B0C9AA">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2"/>
              <w:jc w:val="both"/>
              <w:textAlignment w:val="auto"/>
              <w:rPr>
                <w:b w:val="0"/>
                <w:bCs w:val="0"/>
                <w:color w:val="auto"/>
                <w:szCs w:val="24"/>
              </w:rPr>
            </w:pPr>
            <w:r>
              <w:rPr>
                <w:rFonts w:hint="eastAsia"/>
                <w:b w:val="0"/>
                <w:bCs w:val="0"/>
                <w:color w:val="auto"/>
                <w:szCs w:val="24"/>
              </w:rPr>
              <w:t>3、非正常工况分析</w:t>
            </w:r>
          </w:p>
          <w:p w14:paraId="15476C14">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jc w:val="both"/>
              <w:textAlignment w:val="auto"/>
              <w:rPr>
                <w:color w:val="auto"/>
              </w:rPr>
            </w:pPr>
            <w:r>
              <w:rPr>
                <w:rFonts w:hint="eastAsia"/>
                <w:color w:val="auto"/>
              </w:rPr>
              <w:t>非正常排放是指生产设备在开、停车状态，检修状态或者部分设备未能完全运行的状态下污染物的排放情况。本项目生产中产生的所有工艺废气经收集处理后达标排放。若废气处理装置未正常运行，处理效率降低，造成废气的非正常排放事故。根据本项目废气产生及排放情况，本次评价考虑废气处理设施处理效率下降为</w:t>
            </w:r>
            <w:r>
              <w:rPr>
                <w:rFonts w:hint="eastAsia"/>
                <w:color w:val="auto"/>
                <w:lang w:val="en-US" w:eastAsia="zh-CN"/>
              </w:rPr>
              <w:t>50</w:t>
            </w:r>
            <w:r>
              <w:rPr>
                <w:rFonts w:hint="eastAsia"/>
                <w:color w:val="auto"/>
              </w:rPr>
              <w:t>%、非正常排放时间为1h的状况，本项目非正常工况见</w:t>
            </w:r>
            <w:r>
              <w:rPr>
                <w:rFonts w:hint="eastAsia"/>
                <w:color w:val="auto"/>
                <w:lang w:val="en-US" w:eastAsia="zh-CN"/>
              </w:rPr>
              <w:t>下表</w:t>
            </w:r>
            <w:r>
              <w:rPr>
                <w:rFonts w:hint="eastAsia"/>
                <w:color w:val="auto"/>
              </w:rPr>
              <w:t>。</w:t>
            </w:r>
          </w:p>
          <w:p w14:paraId="068C6B97">
            <w:pPr>
              <w:pStyle w:val="6"/>
              <w:spacing w:after="0" w:line="240" w:lineRule="auto"/>
              <w:ind w:left="0" w:leftChars="0" w:firstLine="0" w:firstLineChars="0"/>
              <w:jc w:val="center"/>
              <w:rPr>
                <w:b/>
                <w:bCs/>
                <w:color w:val="auto"/>
                <w:sz w:val="21"/>
                <w:szCs w:val="21"/>
              </w:rPr>
            </w:pPr>
            <w:r>
              <w:rPr>
                <w:b/>
                <w:bCs/>
                <w:color w:val="auto"/>
                <w:sz w:val="21"/>
                <w:szCs w:val="21"/>
              </w:rPr>
              <w:t>表4-</w:t>
            </w:r>
            <w:r>
              <w:rPr>
                <w:rFonts w:hint="eastAsia"/>
                <w:b/>
                <w:bCs/>
                <w:color w:val="auto"/>
                <w:sz w:val="21"/>
                <w:szCs w:val="21"/>
                <w:lang w:val="en-US" w:eastAsia="zh-CN"/>
              </w:rPr>
              <w:t xml:space="preserve">7  </w:t>
            </w:r>
            <w:r>
              <w:rPr>
                <w:b/>
                <w:bCs/>
                <w:color w:val="auto"/>
                <w:sz w:val="21"/>
                <w:szCs w:val="21"/>
              </w:rPr>
              <w:t>非正常工况排放</w:t>
            </w:r>
            <w:r>
              <w:rPr>
                <w:rFonts w:hint="eastAsia"/>
                <w:b/>
                <w:bCs/>
                <w:color w:val="auto"/>
                <w:sz w:val="21"/>
                <w:szCs w:val="21"/>
              </w:rPr>
              <w:t>情况分析</w:t>
            </w:r>
          </w:p>
          <w:tbl>
            <w:tblPr>
              <w:tblStyle w:val="22"/>
              <w:tblW w:w="791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12"/>
              <w:gridCol w:w="723"/>
              <w:gridCol w:w="675"/>
              <w:gridCol w:w="795"/>
              <w:gridCol w:w="974"/>
              <w:gridCol w:w="942"/>
              <w:gridCol w:w="636"/>
              <w:gridCol w:w="554"/>
              <w:gridCol w:w="527"/>
              <w:gridCol w:w="517"/>
              <w:gridCol w:w="861"/>
            </w:tblGrid>
            <w:tr w14:paraId="7E84B0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712" w:type="dxa"/>
                  <w:vMerge w:val="restart"/>
                  <w:noWrap w:val="0"/>
                  <w:vAlign w:val="center"/>
                </w:tcPr>
                <w:p w14:paraId="027F41DB">
                  <w:pPr>
                    <w:jc w:val="center"/>
                    <w:rPr>
                      <w:color w:val="auto"/>
                      <w:szCs w:val="21"/>
                    </w:rPr>
                  </w:pPr>
                  <w:r>
                    <w:rPr>
                      <w:color w:val="auto"/>
                      <w:szCs w:val="21"/>
                    </w:rPr>
                    <w:t>排气筒</w:t>
                  </w:r>
                </w:p>
                <w:p w14:paraId="14425EA5">
                  <w:pPr>
                    <w:jc w:val="center"/>
                    <w:rPr>
                      <w:color w:val="auto"/>
                      <w:szCs w:val="21"/>
                    </w:rPr>
                  </w:pPr>
                  <w:r>
                    <w:rPr>
                      <w:color w:val="auto"/>
                      <w:szCs w:val="21"/>
                    </w:rPr>
                    <w:t>编号</w:t>
                  </w:r>
                </w:p>
              </w:tc>
              <w:tc>
                <w:tcPr>
                  <w:tcW w:w="723" w:type="dxa"/>
                  <w:vMerge w:val="restart"/>
                  <w:noWrap w:val="0"/>
                  <w:vAlign w:val="center"/>
                </w:tcPr>
                <w:p w14:paraId="5404AF18">
                  <w:pPr>
                    <w:widowControl/>
                    <w:jc w:val="center"/>
                    <w:rPr>
                      <w:color w:val="auto"/>
                      <w:szCs w:val="21"/>
                    </w:rPr>
                  </w:pPr>
                  <w:r>
                    <w:rPr>
                      <w:color w:val="auto"/>
                      <w:kern w:val="0"/>
                      <w:szCs w:val="21"/>
                      <w:lang w:bidi="ar"/>
                    </w:rPr>
                    <w:t>非正常</w:t>
                  </w:r>
                </w:p>
                <w:p w14:paraId="61FA9438">
                  <w:pPr>
                    <w:widowControl/>
                    <w:jc w:val="center"/>
                    <w:rPr>
                      <w:color w:val="auto"/>
                      <w:szCs w:val="21"/>
                    </w:rPr>
                  </w:pPr>
                  <w:r>
                    <w:rPr>
                      <w:color w:val="auto"/>
                      <w:kern w:val="0"/>
                      <w:szCs w:val="21"/>
                      <w:lang w:bidi="ar"/>
                    </w:rPr>
                    <w:t>排放原</w:t>
                  </w:r>
                </w:p>
                <w:p w14:paraId="0E5E329E">
                  <w:pPr>
                    <w:widowControl/>
                    <w:jc w:val="center"/>
                    <w:rPr>
                      <w:color w:val="auto"/>
                      <w:szCs w:val="21"/>
                    </w:rPr>
                  </w:pPr>
                  <w:r>
                    <w:rPr>
                      <w:color w:val="auto"/>
                      <w:kern w:val="0"/>
                      <w:szCs w:val="21"/>
                      <w:lang w:bidi="ar"/>
                    </w:rPr>
                    <w:t>因</w:t>
                  </w:r>
                </w:p>
              </w:tc>
              <w:tc>
                <w:tcPr>
                  <w:tcW w:w="675" w:type="dxa"/>
                  <w:vMerge w:val="restart"/>
                  <w:noWrap w:val="0"/>
                  <w:vAlign w:val="center"/>
                </w:tcPr>
                <w:p w14:paraId="5C71E970">
                  <w:pPr>
                    <w:jc w:val="center"/>
                    <w:rPr>
                      <w:color w:val="auto"/>
                      <w:szCs w:val="21"/>
                    </w:rPr>
                  </w:pPr>
                  <w:r>
                    <w:rPr>
                      <w:color w:val="auto"/>
                      <w:szCs w:val="21"/>
                    </w:rPr>
                    <w:t>污染物</w:t>
                  </w:r>
                </w:p>
              </w:tc>
              <w:tc>
                <w:tcPr>
                  <w:tcW w:w="795" w:type="dxa"/>
                  <w:vMerge w:val="restart"/>
                  <w:noWrap w:val="0"/>
                  <w:vAlign w:val="center"/>
                </w:tcPr>
                <w:p w14:paraId="23B7BCB1">
                  <w:pPr>
                    <w:jc w:val="center"/>
                    <w:rPr>
                      <w:color w:val="auto"/>
                      <w:szCs w:val="21"/>
                    </w:rPr>
                  </w:pPr>
                  <w:r>
                    <w:rPr>
                      <w:rFonts w:hint="eastAsia"/>
                      <w:color w:val="auto"/>
                      <w:szCs w:val="21"/>
                    </w:rPr>
                    <w:t>非正常排放量（</w:t>
                  </w:r>
                  <w:r>
                    <w:rPr>
                      <w:rFonts w:hint="eastAsia"/>
                      <w:color w:val="auto"/>
                      <w:szCs w:val="21"/>
                      <w:lang w:val="en-US" w:eastAsia="zh-CN"/>
                    </w:rPr>
                    <w:t>kg</w:t>
                  </w:r>
                  <w:r>
                    <w:rPr>
                      <w:rFonts w:hint="eastAsia"/>
                      <w:color w:val="auto"/>
                      <w:szCs w:val="21"/>
                    </w:rPr>
                    <w:t>）</w:t>
                  </w:r>
                </w:p>
              </w:tc>
              <w:tc>
                <w:tcPr>
                  <w:tcW w:w="974" w:type="dxa"/>
                  <w:vMerge w:val="restart"/>
                  <w:noWrap w:val="0"/>
                  <w:vAlign w:val="center"/>
                </w:tcPr>
                <w:p w14:paraId="7BACE1E8">
                  <w:pPr>
                    <w:jc w:val="center"/>
                    <w:rPr>
                      <w:color w:val="auto"/>
                      <w:szCs w:val="21"/>
                    </w:rPr>
                  </w:pPr>
                  <w:r>
                    <w:rPr>
                      <w:color w:val="auto"/>
                      <w:szCs w:val="21"/>
                    </w:rPr>
                    <w:t>非正常排放浓度</w:t>
                  </w:r>
                </w:p>
                <w:p w14:paraId="477944FE">
                  <w:pPr>
                    <w:pStyle w:val="2"/>
                    <w:spacing w:line="240" w:lineRule="auto"/>
                    <w:ind w:left="0" w:leftChars="0" w:firstLine="0" w:firstLineChars="0"/>
                    <w:jc w:val="center"/>
                    <w:rPr>
                      <w:rFonts w:ascii="Times New Roman" w:hAnsi="Times New Roman" w:cs="Times New Roman"/>
                      <w:color w:val="auto"/>
                      <w:sz w:val="21"/>
                      <w:szCs w:val="21"/>
                    </w:rPr>
                  </w:pPr>
                  <w:r>
                    <w:rPr>
                      <w:rFonts w:hint="eastAsia" w:ascii="Times New Roman" w:hAnsi="Times New Roman" w:cs="Times New Roman"/>
                      <w:b w:val="0"/>
                      <w:color w:val="auto"/>
                      <w:sz w:val="21"/>
                      <w:szCs w:val="21"/>
                      <w:lang w:eastAsia="zh-CN"/>
                    </w:rPr>
                    <w:t>(</w:t>
                  </w:r>
                  <w:r>
                    <w:rPr>
                      <w:rFonts w:ascii="Times New Roman" w:hAnsi="Times New Roman" w:cs="Times New Roman"/>
                      <w:b w:val="0"/>
                      <w:color w:val="auto"/>
                      <w:sz w:val="21"/>
                      <w:szCs w:val="21"/>
                    </w:rPr>
                    <w:t>mg/m</w:t>
                  </w:r>
                  <w:r>
                    <w:rPr>
                      <w:rFonts w:ascii="Times New Roman" w:hAnsi="Times New Roman" w:cs="Times New Roman"/>
                      <w:b w:val="0"/>
                      <w:color w:val="auto"/>
                      <w:sz w:val="21"/>
                      <w:szCs w:val="21"/>
                      <w:vertAlign w:val="superscript"/>
                    </w:rPr>
                    <w:t>3</w:t>
                  </w:r>
                  <w:r>
                    <w:rPr>
                      <w:rFonts w:hint="eastAsia" w:ascii="Times New Roman" w:hAnsi="Times New Roman" w:cs="Times New Roman"/>
                      <w:b w:val="0"/>
                      <w:color w:val="auto"/>
                      <w:sz w:val="21"/>
                      <w:szCs w:val="21"/>
                      <w:vertAlign w:val="superscript"/>
                      <w:lang w:eastAsia="zh-CN"/>
                    </w:rPr>
                    <w:t>)</w:t>
                  </w:r>
                </w:p>
              </w:tc>
              <w:tc>
                <w:tcPr>
                  <w:tcW w:w="942" w:type="dxa"/>
                  <w:vMerge w:val="restart"/>
                  <w:noWrap w:val="0"/>
                  <w:vAlign w:val="center"/>
                </w:tcPr>
                <w:p w14:paraId="6B9DDBD2">
                  <w:pPr>
                    <w:jc w:val="center"/>
                    <w:rPr>
                      <w:color w:val="auto"/>
                      <w:szCs w:val="21"/>
                    </w:rPr>
                  </w:pPr>
                  <w:r>
                    <w:rPr>
                      <w:color w:val="auto"/>
                      <w:szCs w:val="21"/>
                    </w:rPr>
                    <w:t>非正常排放速率</w:t>
                  </w:r>
                </w:p>
                <w:p w14:paraId="5BDD8B27">
                  <w:pPr>
                    <w:pStyle w:val="2"/>
                    <w:spacing w:line="240" w:lineRule="auto"/>
                    <w:ind w:left="0" w:leftChars="0" w:firstLine="0" w:firstLineChars="0"/>
                    <w:jc w:val="center"/>
                    <w:rPr>
                      <w:rFonts w:ascii="Times New Roman" w:hAnsi="Times New Roman" w:cs="Times New Roman"/>
                      <w:color w:val="auto"/>
                      <w:sz w:val="21"/>
                      <w:szCs w:val="21"/>
                    </w:rPr>
                  </w:pPr>
                  <w:r>
                    <w:rPr>
                      <w:rFonts w:hint="eastAsia" w:ascii="Times New Roman" w:hAnsi="Times New Roman" w:cs="Times New Roman"/>
                      <w:b w:val="0"/>
                      <w:color w:val="auto"/>
                      <w:sz w:val="21"/>
                      <w:szCs w:val="21"/>
                      <w:lang w:eastAsia="zh-CN"/>
                    </w:rPr>
                    <w:t>(</w:t>
                  </w:r>
                  <w:r>
                    <w:rPr>
                      <w:rFonts w:ascii="Times New Roman" w:hAnsi="Times New Roman" w:cs="Times New Roman"/>
                      <w:b w:val="0"/>
                      <w:color w:val="auto"/>
                      <w:sz w:val="21"/>
                      <w:szCs w:val="21"/>
                    </w:rPr>
                    <w:t>kg/h</w:t>
                  </w:r>
                  <w:r>
                    <w:rPr>
                      <w:rFonts w:hint="eastAsia" w:ascii="Times New Roman" w:hAnsi="Times New Roman" w:cs="Times New Roman"/>
                      <w:b w:val="0"/>
                      <w:color w:val="auto"/>
                      <w:sz w:val="21"/>
                      <w:szCs w:val="21"/>
                      <w:lang w:eastAsia="zh-CN"/>
                    </w:rPr>
                    <w:t>)</w:t>
                  </w:r>
                </w:p>
              </w:tc>
              <w:tc>
                <w:tcPr>
                  <w:tcW w:w="1190" w:type="dxa"/>
                  <w:gridSpan w:val="2"/>
                  <w:noWrap w:val="0"/>
                  <w:vAlign w:val="center"/>
                </w:tcPr>
                <w:p w14:paraId="7053C30A">
                  <w:pPr>
                    <w:jc w:val="center"/>
                    <w:rPr>
                      <w:color w:val="auto"/>
                      <w:szCs w:val="21"/>
                    </w:rPr>
                  </w:pPr>
                  <w:r>
                    <w:rPr>
                      <w:color w:val="auto"/>
                      <w:szCs w:val="21"/>
                    </w:rPr>
                    <w:t>排气筒参数</w:t>
                  </w:r>
                </w:p>
              </w:tc>
              <w:tc>
                <w:tcPr>
                  <w:tcW w:w="527" w:type="dxa"/>
                  <w:vMerge w:val="restart"/>
                  <w:noWrap w:val="0"/>
                  <w:vAlign w:val="center"/>
                </w:tcPr>
                <w:p w14:paraId="5C9FA4BC">
                  <w:pPr>
                    <w:jc w:val="center"/>
                    <w:rPr>
                      <w:color w:val="auto"/>
                      <w:szCs w:val="21"/>
                    </w:rPr>
                  </w:pPr>
                  <w:r>
                    <w:rPr>
                      <w:color w:val="auto"/>
                      <w:szCs w:val="21"/>
                    </w:rPr>
                    <w:t>单次持续时间</w:t>
                  </w:r>
                </w:p>
                <w:p w14:paraId="141368B8">
                  <w:pPr>
                    <w:pStyle w:val="2"/>
                    <w:spacing w:line="240" w:lineRule="auto"/>
                    <w:ind w:left="0" w:leftChars="0" w:firstLine="0" w:firstLineChars="0"/>
                    <w:jc w:val="center"/>
                    <w:rPr>
                      <w:color w:val="auto"/>
                      <w:sz w:val="21"/>
                      <w:szCs w:val="21"/>
                    </w:rPr>
                  </w:pPr>
                  <w:r>
                    <w:rPr>
                      <w:rFonts w:hint="eastAsia" w:ascii="Times New Roman" w:hAnsi="Times New Roman" w:cs="Times New Roman"/>
                      <w:b w:val="0"/>
                      <w:color w:val="auto"/>
                      <w:sz w:val="21"/>
                      <w:szCs w:val="21"/>
                      <w:lang w:eastAsia="zh-CN"/>
                    </w:rPr>
                    <w:t>(</w:t>
                  </w:r>
                  <w:r>
                    <w:rPr>
                      <w:rFonts w:ascii="Times New Roman" w:hAnsi="Times New Roman" w:cs="Times New Roman"/>
                      <w:b w:val="0"/>
                      <w:color w:val="auto"/>
                      <w:sz w:val="21"/>
                      <w:szCs w:val="21"/>
                    </w:rPr>
                    <w:t>h</w:t>
                  </w:r>
                  <w:r>
                    <w:rPr>
                      <w:rFonts w:hint="eastAsia" w:ascii="Times New Roman" w:hAnsi="Times New Roman" w:cs="Times New Roman"/>
                      <w:b w:val="0"/>
                      <w:color w:val="auto"/>
                      <w:sz w:val="21"/>
                      <w:szCs w:val="21"/>
                      <w:lang w:eastAsia="zh-CN"/>
                    </w:rPr>
                    <w:t>)</w:t>
                  </w:r>
                </w:p>
              </w:tc>
              <w:tc>
                <w:tcPr>
                  <w:tcW w:w="517" w:type="dxa"/>
                  <w:vMerge w:val="restart"/>
                  <w:noWrap w:val="0"/>
                  <w:vAlign w:val="center"/>
                </w:tcPr>
                <w:p w14:paraId="6CD5C3C8">
                  <w:pPr>
                    <w:jc w:val="center"/>
                    <w:rPr>
                      <w:color w:val="auto"/>
                      <w:szCs w:val="21"/>
                    </w:rPr>
                  </w:pPr>
                  <w:r>
                    <w:rPr>
                      <w:color w:val="auto"/>
                      <w:szCs w:val="21"/>
                    </w:rPr>
                    <w:t>发生</w:t>
                  </w:r>
                </w:p>
                <w:p w14:paraId="7035070D">
                  <w:pPr>
                    <w:jc w:val="center"/>
                    <w:rPr>
                      <w:color w:val="auto"/>
                      <w:szCs w:val="21"/>
                    </w:rPr>
                  </w:pPr>
                  <w:r>
                    <w:rPr>
                      <w:color w:val="auto"/>
                      <w:szCs w:val="21"/>
                    </w:rPr>
                    <w:t>频次</w:t>
                  </w:r>
                </w:p>
                <w:p w14:paraId="52E2AF27">
                  <w:pPr>
                    <w:jc w:val="center"/>
                    <w:rPr>
                      <w:color w:val="auto"/>
                      <w:szCs w:val="21"/>
                    </w:rPr>
                  </w:pPr>
                  <w:r>
                    <w:rPr>
                      <w:rFonts w:hint="eastAsia" w:ascii="宋体" w:hAnsi="宋体" w:cs="宋体"/>
                      <w:color w:val="auto"/>
                      <w:szCs w:val="21"/>
                    </w:rPr>
                    <w:t>/</w:t>
                  </w:r>
                  <w:r>
                    <w:rPr>
                      <w:color w:val="auto"/>
                      <w:szCs w:val="21"/>
                    </w:rPr>
                    <w:t>年</w:t>
                  </w:r>
                </w:p>
              </w:tc>
              <w:tc>
                <w:tcPr>
                  <w:tcW w:w="861" w:type="dxa"/>
                  <w:vMerge w:val="restart"/>
                  <w:noWrap w:val="0"/>
                  <w:vAlign w:val="center"/>
                </w:tcPr>
                <w:p w14:paraId="775B802F">
                  <w:pPr>
                    <w:jc w:val="center"/>
                    <w:rPr>
                      <w:rFonts w:hint="eastAsia" w:ascii="宋体" w:hAnsi="宋体" w:cs="宋体"/>
                      <w:color w:val="auto"/>
                      <w:szCs w:val="21"/>
                    </w:rPr>
                  </w:pPr>
                  <w:r>
                    <w:rPr>
                      <w:rFonts w:hint="eastAsia" w:ascii="宋体" w:hAnsi="宋体" w:cs="宋体"/>
                      <w:color w:val="auto"/>
                      <w:szCs w:val="21"/>
                    </w:rPr>
                    <w:t>应对</w:t>
                  </w:r>
                </w:p>
                <w:p w14:paraId="3A0B9DD7">
                  <w:pPr>
                    <w:jc w:val="center"/>
                    <w:rPr>
                      <w:rFonts w:ascii="宋体" w:hAnsi="宋体" w:cs="宋体"/>
                      <w:color w:val="auto"/>
                      <w:szCs w:val="21"/>
                    </w:rPr>
                  </w:pPr>
                  <w:r>
                    <w:rPr>
                      <w:rFonts w:hint="eastAsia" w:ascii="宋体" w:hAnsi="宋体" w:cs="宋体"/>
                      <w:color w:val="auto"/>
                      <w:szCs w:val="21"/>
                    </w:rPr>
                    <w:t>措施</w:t>
                  </w:r>
                </w:p>
              </w:tc>
            </w:tr>
            <w:tr w14:paraId="29AAA5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04" w:hRule="atLeast"/>
                <w:jc w:val="center"/>
              </w:trPr>
              <w:tc>
                <w:tcPr>
                  <w:tcW w:w="712" w:type="dxa"/>
                  <w:vMerge w:val="continue"/>
                  <w:noWrap w:val="0"/>
                  <w:vAlign w:val="center"/>
                </w:tcPr>
                <w:p w14:paraId="2619BC71">
                  <w:pPr>
                    <w:jc w:val="center"/>
                    <w:rPr>
                      <w:color w:val="auto"/>
                      <w:szCs w:val="21"/>
                    </w:rPr>
                  </w:pPr>
                </w:p>
              </w:tc>
              <w:tc>
                <w:tcPr>
                  <w:tcW w:w="723" w:type="dxa"/>
                  <w:vMerge w:val="continue"/>
                  <w:noWrap w:val="0"/>
                  <w:vAlign w:val="center"/>
                </w:tcPr>
                <w:p w14:paraId="2DB22D54">
                  <w:pPr>
                    <w:widowControl/>
                    <w:jc w:val="center"/>
                    <w:rPr>
                      <w:color w:val="auto"/>
                      <w:kern w:val="0"/>
                      <w:szCs w:val="21"/>
                      <w:lang w:bidi="ar"/>
                    </w:rPr>
                  </w:pPr>
                </w:p>
              </w:tc>
              <w:tc>
                <w:tcPr>
                  <w:tcW w:w="675" w:type="dxa"/>
                  <w:vMerge w:val="continue"/>
                  <w:noWrap w:val="0"/>
                  <w:vAlign w:val="center"/>
                </w:tcPr>
                <w:p w14:paraId="0E7F8CC5">
                  <w:pPr>
                    <w:jc w:val="center"/>
                    <w:rPr>
                      <w:color w:val="auto"/>
                      <w:szCs w:val="21"/>
                    </w:rPr>
                  </w:pPr>
                </w:p>
              </w:tc>
              <w:tc>
                <w:tcPr>
                  <w:tcW w:w="795" w:type="dxa"/>
                  <w:vMerge w:val="continue"/>
                  <w:noWrap w:val="0"/>
                  <w:vAlign w:val="center"/>
                </w:tcPr>
                <w:p w14:paraId="39414DC7">
                  <w:pPr>
                    <w:jc w:val="center"/>
                    <w:rPr>
                      <w:color w:val="auto"/>
                      <w:szCs w:val="21"/>
                    </w:rPr>
                  </w:pPr>
                </w:p>
              </w:tc>
              <w:tc>
                <w:tcPr>
                  <w:tcW w:w="974" w:type="dxa"/>
                  <w:vMerge w:val="continue"/>
                  <w:noWrap w:val="0"/>
                  <w:vAlign w:val="center"/>
                </w:tcPr>
                <w:p w14:paraId="4598DF07">
                  <w:pPr>
                    <w:jc w:val="center"/>
                    <w:rPr>
                      <w:color w:val="auto"/>
                      <w:szCs w:val="21"/>
                    </w:rPr>
                  </w:pPr>
                </w:p>
              </w:tc>
              <w:tc>
                <w:tcPr>
                  <w:tcW w:w="942" w:type="dxa"/>
                  <w:vMerge w:val="continue"/>
                  <w:noWrap w:val="0"/>
                  <w:vAlign w:val="center"/>
                </w:tcPr>
                <w:p w14:paraId="72EC0781">
                  <w:pPr>
                    <w:jc w:val="center"/>
                    <w:rPr>
                      <w:color w:val="auto"/>
                      <w:szCs w:val="21"/>
                    </w:rPr>
                  </w:pPr>
                </w:p>
              </w:tc>
              <w:tc>
                <w:tcPr>
                  <w:tcW w:w="636" w:type="dxa"/>
                  <w:noWrap w:val="0"/>
                  <w:vAlign w:val="center"/>
                </w:tcPr>
                <w:p w14:paraId="5EDB0E73">
                  <w:pPr>
                    <w:jc w:val="center"/>
                    <w:rPr>
                      <w:color w:val="auto"/>
                      <w:szCs w:val="21"/>
                    </w:rPr>
                  </w:pPr>
                  <w:r>
                    <w:rPr>
                      <w:color w:val="auto"/>
                      <w:szCs w:val="21"/>
                    </w:rPr>
                    <w:t>高度</w:t>
                  </w:r>
                </w:p>
                <w:p w14:paraId="554F4A5C">
                  <w:pPr>
                    <w:pStyle w:val="2"/>
                    <w:spacing w:line="240" w:lineRule="auto"/>
                    <w:ind w:left="0" w:leftChars="0" w:firstLine="0" w:firstLineChars="0"/>
                    <w:jc w:val="center"/>
                    <w:rPr>
                      <w:rFonts w:ascii="Times New Roman" w:hAnsi="Times New Roman" w:cs="Times New Roman"/>
                      <w:color w:val="auto"/>
                      <w:sz w:val="21"/>
                      <w:szCs w:val="21"/>
                    </w:rPr>
                  </w:pPr>
                  <w:r>
                    <w:rPr>
                      <w:rFonts w:hint="eastAsia" w:ascii="Times New Roman" w:hAnsi="Times New Roman" w:cs="Times New Roman"/>
                      <w:b w:val="0"/>
                      <w:color w:val="auto"/>
                      <w:sz w:val="21"/>
                      <w:szCs w:val="21"/>
                      <w:lang w:eastAsia="zh-CN"/>
                    </w:rPr>
                    <w:t>(</w:t>
                  </w:r>
                  <w:r>
                    <w:rPr>
                      <w:rFonts w:ascii="Times New Roman" w:hAnsi="Times New Roman" w:cs="Times New Roman"/>
                      <w:b w:val="0"/>
                      <w:color w:val="auto"/>
                      <w:sz w:val="21"/>
                      <w:szCs w:val="21"/>
                    </w:rPr>
                    <w:t>m</w:t>
                  </w:r>
                  <w:r>
                    <w:rPr>
                      <w:rFonts w:hint="eastAsia" w:ascii="Times New Roman" w:hAnsi="Times New Roman" w:cs="Times New Roman"/>
                      <w:b w:val="0"/>
                      <w:color w:val="auto"/>
                      <w:sz w:val="21"/>
                      <w:szCs w:val="21"/>
                      <w:lang w:eastAsia="zh-CN"/>
                    </w:rPr>
                    <w:t>)</w:t>
                  </w:r>
                </w:p>
              </w:tc>
              <w:tc>
                <w:tcPr>
                  <w:tcW w:w="554" w:type="dxa"/>
                  <w:noWrap w:val="0"/>
                  <w:vAlign w:val="center"/>
                </w:tcPr>
                <w:p w14:paraId="6C9A9B5D">
                  <w:pPr>
                    <w:jc w:val="center"/>
                    <w:rPr>
                      <w:color w:val="auto"/>
                      <w:szCs w:val="21"/>
                    </w:rPr>
                  </w:pPr>
                  <w:r>
                    <w:rPr>
                      <w:color w:val="auto"/>
                      <w:szCs w:val="21"/>
                    </w:rPr>
                    <w:t>内径</w:t>
                  </w:r>
                </w:p>
                <w:p w14:paraId="586C0F33">
                  <w:pPr>
                    <w:pStyle w:val="2"/>
                    <w:spacing w:line="240" w:lineRule="auto"/>
                    <w:ind w:left="0" w:leftChars="0" w:firstLine="0" w:firstLineChars="0"/>
                    <w:jc w:val="center"/>
                    <w:rPr>
                      <w:rFonts w:ascii="Times New Roman" w:hAnsi="Times New Roman" w:cs="Times New Roman"/>
                      <w:color w:val="auto"/>
                      <w:sz w:val="21"/>
                      <w:szCs w:val="21"/>
                    </w:rPr>
                  </w:pPr>
                  <w:r>
                    <w:rPr>
                      <w:rFonts w:hint="eastAsia" w:ascii="Times New Roman" w:hAnsi="Times New Roman" w:cs="Times New Roman"/>
                      <w:b w:val="0"/>
                      <w:color w:val="auto"/>
                      <w:sz w:val="21"/>
                      <w:szCs w:val="21"/>
                      <w:lang w:eastAsia="zh-CN"/>
                    </w:rPr>
                    <w:t>(</w:t>
                  </w:r>
                  <w:r>
                    <w:rPr>
                      <w:rFonts w:ascii="Times New Roman" w:hAnsi="Times New Roman" w:cs="Times New Roman"/>
                      <w:b w:val="0"/>
                      <w:color w:val="auto"/>
                      <w:sz w:val="21"/>
                      <w:szCs w:val="21"/>
                    </w:rPr>
                    <w:t>m</w:t>
                  </w:r>
                  <w:r>
                    <w:rPr>
                      <w:rFonts w:hint="eastAsia" w:ascii="Times New Roman" w:hAnsi="Times New Roman" w:cs="Times New Roman"/>
                      <w:b w:val="0"/>
                      <w:color w:val="auto"/>
                      <w:sz w:val="21"/>
                      <w:szCs w:val="21"/>
                      <w:lang w:eastAsia="zh-CN"/>
                    </w:rPr>
                    <w:t>)</w:t>
                  </w:r>
                </w:p>
              </w:tc>
              <w:tc>
                <w:tcPr>
                  <w:tcW w:w="527" w:type="dxa"/>
                  <w:vMerge w:val="continue"/>
                  <w:noWrap w:val="0"/>
                  <w:vAlign w:val="center"/>
                </w:tcPr>
                <w:p w14:paraId="4093F97B">
                  <w:pPr>
                    <w:jc w:val="center"/>
                    <w:rPr>
                      <w:color w:val="auto"/>
                      <w:szCs w:val="21"/>
                    </w:rPr>
                  </w:pPr>
                </w:p>
              </w:tc>
              <w:tc>
                <w:tcPr>
                  <w:tcW w:w="517" w:type="dxa"/>
                  <w:vMerge w:val="continue"/>
                  <w:noWrap w:val="0"/>
                  <w:vAlign w:val="center"/>
                </w:tcPr>
                <w:p w14:paraId="1D69008F">
                  <w:pPr>
                    <w:jc w:val="center"/>
                    <w:rPr>
                      <w:color w:val="auto"/>
                      <w:szCs w:val="21"/>
                    </w:rPr>
                  </w:pPr>
                </w:p>
              </w:tc>
              <w:tc>
                <w:tcPr>
                  <w:tcW w:w="861" w:type="dxa"/>
                  <w:vMerge w:val="continue"/>
                  <w:noWrap w:val="0"/>
                  <w:vAlign w:val="center"/>
                </w:tcPr>
                <w:p w14:paraId="6A5ADCDB">
                  <w:pPr>
                    <w:jc w:val="center"/>
                    <w:rPr>
                      <w:color w:val="auto"/>
                      <w:szCs w:val="21"/>
                    </w:rPr>
                  </w:pPr>
                </w:p>
              </w:tc>
            </w:tr>
            <w:tr w14:paraId="3C7972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70" w:hRule="exact"/>
                <w:jc w:val="center"/>
              </w:trPr>
              <w:tc>
                <w:tcPr>
                  <w:tcW w:w="712" w:type="dxa"/>
                  <w:noWrap w:val="0"/>
                  <w:vAlign w:val="center"/>
                </w:tcPr>
                <w:p w14:paraId="44BFEE03">
                  <w:pPr>
                    <w:jc w:val="center"/>
                    <w:rPr>
                      <w:color w:val="auto"/>
                      <w:szCs w:val="21"/>
                    </w:rPr>
                  </w:pPr>
                  <w:r>
                    <w:rPr>
                      <w:color w:val="auto"/>
                      <w:szCs w:val="21"/>
                    </w:rPr>
                    <w:t>DA001</w:t>
                  </w:r>
                </w:p>
              </w:tc>
              <w:tc>
                <w:tcPr>
                  <w:tcW w:w="723" w:type="dxa"/>
                  <w:noWrap w:val="0"/>
                  <w:vAlign w:val="center"/>
                </w:tcPr>
                <w:p w14:paraId="246973AB">
                  <w:pPr>
                    <w:jc w:val="center"/>
                    <w:rPr>
                      <w:color w:val="auto"/>
                      <w:szCs w:val="21"/>
                    </w:rPr>
                  </w:pPr>
                  <w:r>
                    <w:rPr>
                      <w:color w:val="auto"/>
                      <w:szCs w:val="21"/>
                    </w:rPr>
                    <w:t>废气治理设施发生故障</w:t>
                  </w:r>
                </w:p>
              </w:tc>
              <w:tc>
                <w:tcPr>
                  <w:tcW w:w="675" w:type="dxa"/>
                  <w:noWrap w:val="0"/>
                  <w:vAlign w:val="center"/>
                </w:tcPr>
                <w:p w14:paraId="198B6F4E">
                  <w:pPr>
                    <w:jc w:val="center"/>
                    <w:rPr>
                      <w:rFonts w:hint="eastAsia" w:eastAsia="宋体"/>
                      <w:color w:val="auto"/>
                      <w:spacing w:val="-11"/>
                      <w:kern w:val="2"/>
                      <w:sz w:val="21"/>
                      <w:szCs w:val="21"/>
                      <w:lang w:val="en-US" w:eastAsia="zh-CN" w:bidi="ar-SA"/>
                    </w:rPr>
                  </w:pPr>
                  <w:r>
                    <w:rPr>
                      <w:rFonts w:hint="eastAsia"/>
                      <w:color w:val="auto"/>
                      <w:spacing w:val="-11"/>
                      <w:szCs w:val="21"/>
                      <w:lang w:val="en-US" w:eastAsia="zh-CN"/>
                    </w:rPr>
                    <w:t>非甲烷总烃</w:t>
                  </w:r>
                </w:p>
              </w:tc>
              <w:tc>
                <w:tcPr>
                  <w:tcW w:w="795" w:type="dxa"/>
                  <w:noWrap w:val="0"/>
                  <w:vAlign w:val="center"/>
                </w:tcPr>
                <w:p w14:paraId="5F5AAA67">
                  <w:pPr>
                    <w:pStyle w:val="5"/>
                    <w:jc w:val="center"/>
                    <w:rPr>
                      <w:rFonts w:hint="default" w:eastAsia="宋体"/>
                      <w:color w:val="auto"/>
                      <w:kern w:val="0"/>
                      <w:sz w:val="21"/>
                      <w:szCs w:val="21"/>
                      <w:lang w:val="en-US" w:eastAsia="zh-CN" w:bidi="ar-SA"/>
                    </w:rPr>
                  </w:pPr>
                  <w:r>
                    <w:rPr>
                      <w:rFonts w:hint="eastAsia"/>
                      <w:color w:val="auto"/>
                      <w:kern w:val="0"/>
                      <w:sz w:val="21"/>
                      <w:szCs w:val="21"/>
                      <w:lang w:val="en-US" w:eastAsia="zh-CN" w:bidi="ar-SA"/>
                    </w:rPr>
                    <w:t>0.035</w:t>
                  </w:r>
                </w:p>
              </w:tc>
              <w:tc>
                <w:tcPr>
                  <w:tcW w:w="974" w:type="dxa"/>
                  <w:noWrap w:val="0"/>
                  <w:vAlign w:val="center"/>
                </w:tcPr>
                <w:p w14:paraId="38DE7E39">
                  <w:pPr>
                    <w:pStyle w:val="5"/>
                    <w:jc w:val="center"/>
                    <w:rPr>
                      <w:rFonts w:hint="default" w:eastAsia="宋体"/>
                      <w:color w:val="auto"/>
                      <w:kern w:val="0"/>
                      <w:sz w:val="21"/>
                      <w:szCs w:val="21"/>
                      <w:lang w:val="en-US" w:eastAsia="zh-CN" w:bidi="ar-SA"/>
                    </w:rPr>
                  </w:pPr>
                  <w:r>
                    <w:rPr>
                      <w:rFonts w:hint="eastAsia"/>
                      <w:color w:val="auto"/>
                      <w:kern w:val="0"/>
                      <w:sz w:val="21"/>
                      <w:szCs w:val="21"/>
                      <w:lang w:val="en-US" w:eastAsia="zh-CN" w:bidi="ar-SA"/>
                    </w:rPr>
                    <w:t>5.527</w:t>
                  </w:r>
                </w:p>
              </w:tc>
              <w:tc>
                <w:tcPr>
                  <w:tcW w:w="942" w:type="dxa"/>
                  <w:noWrap w:val="0"/>
                  <w:vAlign w:val="center"/>
                </w:tcPr>
                <w:p w14:paraId="5C7E9FA9">
                  <w:pPr>
                    <w:pStyle w:val="5"/>
                    <w:jc w:val="center"/>
                    <w:rPr>
                      <w:rFonts w:hint="default" w:eastAsia="宋体"/>
                      <w:color w:val="auto"/>
                      <w:kern w:val="0"/>
                      <w:sz w:val="21"/>
                      <w:szCs w:val="21"/>
                      <w:lang w:val="en-US" w:eastAsia="zh-CN" w:bidi="ar-SA"/>
                    </w:rPr>
                  </w:pPr>
                  <w:r>
                    <w:rPr>
                      <w:rFonts w:hint="eastAsia"/>
                      <w:color w:val="auto"/>
                      <w:kern w:val="0"/>
                      <w:sz w:val="21"/>
                      <w:szCs w:val="21"/>
                      <w:lang w:val="en-US" w:eastAsia="zh-CN" w:bidi="ar-SA"/>
                    </w:rPr>
                    <w:t>0.035</w:t>
                  </w:r>
                </w:p>
              </w:tc>
              <w:tc>
                <w:tcPr>
                  <w:tcW w:w="636" w:type="dxa"/>
                  <w:noWrap w:val="0"/>
                  <w:vAlign w:val="center"/>
                </w:tcPr>
                <w:p w14:paraId="2B91AA29">
                  <w:pPr>
                    <w:jc w:val="center"/>
                    <w:rPr>
                      <w:color w:val="auto"/>
                      <w:kern w:val="2"/>
                      <w:sz w:val="21"/>
                      <w:szCs w:val="21"/>
                      <w:lang w:val="en-US" w:eastAsia="zh-CN" w:bidi="ar-SA"/>
                    </w:rPr>
                  </w:pPr>
                  <w:r>
                    <w:rPr>
                      <w:rFonts w:hint="eastAsia"/>
                      <w:color w:val="auto"/>
                      <w:szCs w:val="21"/>
                    </w:rPr>
                    <w:t>15</w:t>
                  </w:r>
                </w:p>
              </w:tc>
              <w:tc>
                <w:tcPr>
                  <w:tcW w:w="554" w:type="dxa"/>
                  <w:noWrap w:val="0"/>
                  <w:vAlign w:val="center"/>
                </w:tcPr>
                <w:p w14:paraId="59EE4187">
                  <w:pPr>
                    <w:jc w:val="center"/>
                    <w:rPr>
                      <w:rFonts w:hint="eastAsia"/>
                      <w:color w:val="auto"/>
                      <w:kern w:val="2"/>
                      <w:sz w:val="21"/>
                      <w:szCs w:val="21"/>
                      <w:lang w:val="en-US" w:eastAsia="zh-CN" w:bidi="ar-SA"/>
                    </w:rPr>
                  </w:pPr>
                  <w:r>
                    <w:rPr>
                      <w:rFonts w:hint="eastAsia"/>
                      <w:color w:val="auto"/>
                      <w:szCs w:val="21"/>
                    </w:rPr>
                    <w:t>0.5</w:t>
                  </w:r>
                </w:p>
              </w:tc>
              <w:tc>
                <w:tcPr>
                  <w:tcW w:w="527" w:type="dxa"/>
                  <w:noWrap w:val="0"/>
                  <w:vAlign w:val="center"/>
                </w:tcPr>
                <w:p w14:paraId="3DB78469">
                  <w:pPr>
                    <w:jc w:val="center"/>
                    <w:rPr>
                      <w:rFonts w:hint="eastAsia"/>
                      <w:color w:val="auto"/>
                      <w:kern w:val="2"/>
                      <w:sz w:val="21"/>
                      <w:szCs w:val="21"/>
                      <w:lang w:val="en-US" w:eastAsia="zh-CN" w:bidi="ar-SA"/>
                    </w:rPr>
                  </w:pPr>
                  <w:r>
                    <w:rPr>
                      <w:rFonts w:hint="eastAsia"/>
                      <w:color w:val="auto"/>
                      <w:szCs w:val="21"/>
                    </w:rPr>
                    <w:t>1</w:t>
                  </w:r>
                </w:p>
              </w:tc>
              <w:tc>
                <w:tcPr>
                  <w:tcW w:w="517" w:type="dxa"/>
                  <w:noWrap w:val="0"/>
                  <w:vAlign w:val="center"/>
                </w:tcPr>
                <w:p w14:paraId="42B39A71">
                  <w:pPr>
                    <w:jc w:val="center"/>
                    <w:rPr>
                      <w:rFonts w:hint="eastAsia"/>
                      <w:color w:val="auto"/>
                      <w:kern w:val="2"/>
                      <w:sz w:val="21"/>
                      <w:szCs w:val="21"/>
                      <w:lang w:val="en-US" w:eastAsia="zh-CN" w:bidi="ar-SA"/>
                    </w:rPr>
                  </w:pPr>
                  <w:r>
                    <w:rPr>
                      <w:rFonts w:hint="eastAsia"/>
                      <w:color w:val="auto"/>
                      <w:szCs w:val="21"/>
                    </w:rPr>
                    <w:t>1</w:t>
                  </w:r>
                </w:p>
              </w:tc>
              <w:tc>
                <w:tcPr>
                  <w:tcW w:w="861" w:type="dxa"/>
                  <w:noWrap w:val="0"/>
                  <w:vAlign w:val="center"/>
                </w:tcPr>
                <w:p w14:paraId="09C0DFBB">
                  <w:pPr>
                    <w:jc w:val="center"/>
                    <w:rPr>
                      <w:color w:val="auto"/>
                      <w:szCs w:val="21"/>
                    </w:rPr>
                  </w:pPr>
                  <w:r>
                    <w:rPr>
                      <w:rFonts w:hint="eastAsia"/>
                      <w:color w:val="auto"/>
                      <w:szCs w:val="21"/>
                    </w:rPr>
                    <w:t>停止相应生产设备运行，立即检修</w:t>
                  </w:r>
                </w:p>
              </w:tc>
            </w:tr>
          </w:tbl>
          <w:p w14:paraId="6DAB381A">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jc w:val="both"/>
              <w:textAlignment w:val="auto"/>
              <w:rPr>
                <w:color w:val="auto"/>
              </w:rPr>
            </w:pPr>
            <w:r>
              <w:rPr>
                <w:rFonts w:hint="eastAsia"/>
                <w:color w:val="auto"/>
              </w:rPr>
              <w:t>根据上表可知非正常工况下，废气的排放浓度和排放速率均大幅上升，因此需要企业加强日常维护管理，定期检修，确保设施稳定运行。</w:t>
            </w:r>
          </w:p>
          <w:p w14:paraId="114D9BE2">
            <w:pPr>
              <w:pStyle w:val="6"/>
              <w:keepNext w:val="0"/>
              <w:keepLines w:val="0"/>
              <w:pageBreakBefore w:val="0"/>
              <w:widowControl w:val="0"/>
              <w:kinsoku/>
              <w:wordWrap/>
              <w:overflowPunct/>
              <w:topLinePunct w:val="0"/>
              <w:bidi w:val="0"/>
              <w:adjustRightInd/>
              <w:snapToGrid/>
              <w:spacing w:after="0" w:line="360" w:lineRule="auto"/>
              <w:ind w:left="0" w:leftChars="0" w:firstLine="482"/>
              <w:jc w:val="both"/>
              <w:textAlignment w:val="auto"/>
              <w:rPr>
                <w:b w:val="0"/>
                <w:bCs w:val="0"/>
                <w:color w:val="auto"/>
              </w:rPr>
            </w:pPr>
            <w:r>
              <w:rPr>
                <w:rFonts w:hint="eastAsia"/>
                <w:b w:val="0"/>
                <w:bCs w:val="0"/>
                <w:color w:val="auto"/>
              </w:rPr>
              <w:t>4</w:t>
            </w:r>
            <w:r>
              <w:rPr>
                <w:b w:val="0"/>
                <w:bCs w:val="0"/>
                <w:color w:val="auto"/>
              </w:rPr>
              <w:t>、</w:t>
            </w:r>
            <w:r>
              <w:rPr>
                <w:rFonts w:hint="eastAsia"/>
                <w:b w:val="0"/>
                <w:bCs w:val="0"/>
                <w:color w:val="auto"/>
              </w:rPr>
              <w:t>废气</w:t>
            </w:r>
            <w:r>
              <w:rPr>
                <w:b w:val="0"/>
                <w:bCs w:val="0"/>
                <w:color w:val="auto"/>
              </w:rPr>
              <w:t>污染防治技术可行性分析</w:t>
            </w:r>
          </w:p>
          <w:p w14:paraId="4D064263">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b w:val="0"/>
                <w:color w:val="auto"/>
                <w:sz w:val="24"/>
                <w:lang w:val="en-US"/>
              </w:rPr>
            </w:pPr>
            <w:r>
              <w:rPr>
                <w:rFonts w:hint="eastAsia"/>
                <w:b w:val="0"/>
                <w:color w:val="auto"/>
                <w:sz w:val="24"/>
                <w:lang w:val="en-US" w:eastAsia="zh-CN"/>
              </w:rPr>
              <w:drawing>
                <wp:anchor distT="0" distB="0" distL="114300" distR="114300" simplePos="0" relativeHeight="251663360" behindDoc="0" locked="0" layoutInCell="1" allowOverlap="1">
                  <wp:simplePos x="0" y="0"/>
                  <wp:positionH relativeFrom="column">
                    <wp:posOffset>75565</wp:posOffset>
                  </wp:positionH>
                  <wp:positionV relativeFrom="paragraph">
                    <wp:posOffset>2098675</wp:posOffset>
                  </wp:positionV>
                  <wp:extent cx="5019675" cy="2257425"/>
                  <wp:effectExtent l="0" t="0" r="9525" b="9525"/>
                  <wp:wrapSquare wrapText="bothSides"/>
                  <wp:docPr id="1"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IMG_256"/>
                          <pic:cNvPicPr>
                            <a:picLocks noChangeAspect="1"/>
                          </pic:cNvPicPr>
                        </pic:nvPicPr>
                        <pic:blipFill>
                          <a:blip r:embed="rId21"/>
                          <a:stretch>
                            <a:fillRect/>
                          </a:stretch>
                        </pic:blipFill>
                        <pic:spPr>
                          <a:xfrm>
                            <a:off x="0" y="0"/>
                            <a:ext cx="5019675" cy="2257425"/>
                          </a:xfrm>
                          <a:prstGeom prst="rect">
                            <a:avLst/>
                          </a:prstGeom>
                          <a:noFill/>
                          <a:ln>
                            <a:noFill/>
                          </a:ln>
                        </pic:spPr>
                      </pic:pic>
                    </a:graphicData>
                  </a:graphic>
                </wp:anchor>
              </w:drawing>
            </w:r>
            <w:r>
              <w:rPr>
                <w:rFonts w:hint="default"/>
                <w:b w:val="0"/>
                <w:color w:val="auto"/>
                <w:sz w:val="24"/>
                <w:lang w:eastAsia="zh-CN"/>
              </w:rPr>
              <w:t>本项目</w:t>
            </w:r>
            <w:r>
              <w:rPr>
                <w:rFonts w:hint="eastAsia"/>
                <w:b w:val="0"/>
                <w:color w:val="auto"/>
                <w:sz w:val="24"/>
              </w:rPr>
              <w:t>拟采用的有机废气治理技术为“二级活性炭吸附装置吸附”</w:t>
            </w:r>
            <w:r>
              <w:rPr>
                <w:rFonts w:hint="eastAsia"/>
                <w:b w:val="0"/>
                <w:color w:val="auto"/>
                <w:sz w:val="24"/>
                <w:lang w:eastAsia="zh-CN"/>
              </w:rPr>
              <w:t>。</w:t>
            </w:r>
            <w:r>
              <w:rPr>
                <w:rFonts w:hint="eastAsia"/>
                <w:bCs/>
                <w:color w:val="auto"/>
                <w:sz w:val="24"/>
                <w:lang w:val="en-US" w:eastAsia="zh-CN"/>
              </w:rPr>
              <w:t>灌装合胶、密封、压片、加热</w:t>
            </w:r>
            <w:r>
              <w:rPr>
                <w:rFonts w:hint="default"/>
                <w:b w:val="0"/>
                <w:color w:val="auto"/>
                <w:sz w:val="24"/>
              </w:rPr>
              <w:t>过程产生的非甲烷总烃采用集气罩收集后合并经二级活性炭吸附装置处理，</w:t>
            </w:r>
            <w:r>
              <w:rPr>
                <w:rFonts w:hint="default"/>
                <w:b w:val="0"/>
                <w:color w:val="auto"/>
                <w:sz w:val="24"/>
                <w:lang w:val="en-US" w:eastAsia="zh-CN"/>
              </w:rPr>
              <w:t>选择活性炭时，选择碘值不低于800毫克/克的活性炭，并按照设计要求足量添加、及时更换。吸附法在使用中表现了如下的特点：可以较彻底地净化废气，即可进行深度净化，特别是对于低浓度废气的净化，比其他方法显现出更大的优势。同时本法为国内处理有机废气中最常用、最保险的净化方法。活性炭吸附流程如下图所示：</w:t>
            </w:r>
          </w:p>
          <w:p w14:paraId="4CDA043F">
            <w:pPr>
              <w:pStyle w:val="51"/>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b/>
                <w:bCs w:val="0"/>
                <w:color w:val="auto"/>
                <w:sz w:val="24"/>
                <w:lang w:val="en-US"/>
              </w:rPr>
            </w:pPr>
            <w:bookmarkStart w:id="4" w:name="_Toc21317"/>
            <w:r>
              <w:rPr>
                <w:rFonts w:hint="eastAsia"/>
                <w:b/>
                <w:bCs w:val="0"/>
                <w:color w:val="auto"/>
                <w:sz w:val="24"/>
                <w:lang w:val="en-US" w:eastAsia="zh-CN"/>
              </w:rPr>
              <w:t>图</w:t>
            </w:r>
            <w:r>
              <w:rPr>
                <w:rFonts w:hint="default"/>
                <w:b/>
                <w:bCs w:val="0"/>
                <w:color w:val="auto"/>
                <w:sz w:val="24"/>
                <w:lang w:val="en-US" w:eastAsia="zh-CN"/>
              </w:rPr>
              <w:t xml:space="preserve">4-1  </w:t>
            </w:r>
            <w:r>
              <w:rPr>
                <w:rFonts w:hint="eastAsia"/>
                <w:b/>
                <w:bCs w:val="0"/>
                <w:color w:val="auto"/>
                <w:sz w:val="24"/>
                <w:lang w:val="en-US" w:eastAsia="zh-CN"/>
              </w:rPr>
              <w:t>活性炭吸附流程示意图</w:t>
            </w:r>
            <w:bookmarkEnd w:id="4"/>
          </w:p>
          <w:p w14:paraId="5F7E62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b w:val="0"/>
                <w:color w:val="auto"/>
                <w:sz w:val="24"/>
              </w:rPr>
            </w:pPr>
            <w:r>
              <w:rPr>
                <w:rFonts w:hint="default"/>
                <w:b w:val="0"/>
                <w:color w:val="auto"/>
                <w:sz w:val="24"/>
                <w:lang w:val="en-US" w:eastAsia="zh-CN"/>
              </w:rPr>
              <w:t>有机废气经收集后，在风机负压作用下进入活性炭吸附器。活性炭吸附是利用活性炭的多孔性，存在吸引力的原理而开发的。由于活性炭表面存在着未平衡饱和的分子力或化学键力，因此当其表面与气体接触时，就能吸引气体分子，使其浓集并保持在活性炭表面，这种现象就是吸附现象。本工艺所采用的活性炭吸附法就是利用活性炭表面的这种性质，当有机废气与表面积较大的多孔性活性炭相接触，废气中的污染物被吸附在活性炭固体表面，从而与气体混合物分离，达到净化的目的</w:t>
            </w:r>
            <w:r>
              <w:rPr>
                <w:rFonts w:hint="eastAsia"/>
                <w:b w:val="0"/>
                <w:color w:val="auto"/>
                <w:sz w:val="24"/>
              </w:rPr>
              <w:t>。</w:t>
            </w:r>
          </w:p>
          <w:p w14:paraId="101450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rPr>
              <w:t>根据《挥发性有机物治理实用手册》（生态环境部大气环境司/著），采用吸附法（活性炭不再生）处理小风量、低浓度有机废气是可行的。</w:t>
            </w:r>
          </w:p>
          <w:p w14:paraId="2123E9EE">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rPr>
            </w:pPr>
            <w:r>
              <w:rPr>
                <w:rFonts w:hint="default" w:ascii="Times New Roman" w:hAnsi="Times New Roman" w:eastAsia="宋体" w:cs="Times New Roman"/>
                <w:color w:val="auto"/>
                <w:sz w:val="24"/>
              </w:rPr>
              <w:t>综上分析，本项目</w:t>
            </w:r>
            <w:r>
              <w:rPr>
                <w:rFonts w:hint="default" w:ascii="Times New Roman" w:hAnsi="Times New Roman" w:cs="Times New Roman"/>
                <w:color w:val="auto"/>
                <w:sz w:val="24"/>
              </w:rPr>
              <w:t>营运期采用的废气污染物治理技术为可行性技术</w:t>
            </w:r>
            <w:r>
              <w:rPr>
                <w:rFonts w:hint="default" w:ascii="Times New Roman" w:hAnsi="Times New Roman" w:cs="Times New Roman"/>
                <w:color w:val="auto"/>
                <w:sz w:val="24"/>
                <w:szCs w:val="21"/>
              </w:rPr>
              <w:t>。</w:t>
            </w:r>
          </w:p>
          <w:p w14:paraId="650638AD">
            <w:pPr>
              <w:pStyle w:val="2"/>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5、卫生防护距离</w:t>
            </w:r>
          </w:p>
          <w:p w14:paraId="34F35D2B">
            <w:pPr>
              <w:keepNext w:val="0"/>
              <w:keepLines w:val="0"/>
              <w:pageBreakBefore w:val="0"/>
              <w:widowControl w:val="0"/>
              <w:kinsoku/>
              <w:wordWrap/>
              <w:overflowPunct/>
              <w:topLinePunct w:val="0"/>
              <w:bidi w:val="0"/>
              <w:snapToGrid/>
              <w:spacing w:line="360" w:lineRule="auto"/>
              <w:ind w:left="0" w:leftChars="0" w:firstLine="480" w:firstLineChars="20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根据《大气有害物质无组织排放卫生防护距离推导技术导则GB/T39499-2020》推荐的计算公式，计算本项目无组织排放的</w:t>
            </w:r>
            <w:r>
              <w:rPr>
                <w:rFonts w:hint="default" w:ascii="Times New Roman" w:hAnsi="Times New Roman" w:cs="Times New Roman"/>
                <w:color w:val="auto"/>
                <w:sz w:val="24"/>
                <w:lang w:val="en-GB"/>
              </w:rPr>
              <w:t>各污染源</w:t>
            </w:r>
            <w:r>
              <w:rPr>
                <w:rFonts w:hint="default" w:ascii="Times New Roman" w:hAnsi="Times New Roman" w:cs="Times New Roman"/>
                <w:color w:val="auto"/>
                <w:sz w:val="24"/>
              </w:rPr>
              <w:t>卫生防护距离。</w:t>
            </w:r>
          </w:p>
          <w:p w14:paraId="1B31D813">
            <w:pPr>
              <w:pStyle w:val="2"/>
              <w:keepNext w:val="0"/>
              <w:keepLines w:val="0"/>
              <w:pageBreakBefore w:val="0"/>
              <w:widowControl w:val="0"/>
              <w:kinsoku/>
              <w:wordWrap/>
              <w:overflowPunct/>
              <w:topLinePunct w:val="0"/>
              <w:bidi w:val="0"/>
              <w:spacing w:line="360" w:lineRule="auto"/>
              <w:ind w:left="0" w:leftChars="0" w:firstLine="482" w:firstLineChars="20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pict>
                <v:shape id="Object 545" o:spid="_x0000_s2594" o:spt="75" type="#_x0000_t75" style="position:absolute;left:0pt;margin-left:123.25pt;margin-top:-14.5pt;height:34.5pt;width:150.75pt;mso-wrap-distance-bottom:0pt;mso-wrap-distance-left:9pt;mso-wrap-distance-right:9pt;mso-wrap-distance-top:0pt;z-index:251659264;mso-width-relative:page;mso-height-relative:page;" o:ole="t" filled="f" o:preferrelative="t" stroked="f" coordsize="21600,21600">
                  <v:path/>
                  <v:fill on="f" focussize="0,0"/>
                  <v:stroke on="f"/>
                  <v:imagedata r:id="rId23" o:title=""/>
                  <o:lock v:ext="edit" aspectratio="t"/>
                  <w10:wrap type="square"/>
                </v:shape>
                <o:OLEObject Type="Embed" ProgID="Equation.3" ShapeID="Object 545" DrawAspect="Content" ObjectID="_1468075732" r:id="rId22">
                  <o:LockedField>false</o:LockedField>
                </o:OLEObject>
              </w:pict>
            </w:r>
          </w:p>
          <w:p w14:paraId="0D9B472A">
            <w:pPr>
              <w:keepNext w:val="0"/>
              <w:keepLines w:val="0"/>
              <w:pageBreakBefore w:val="0"/>
              <w:widowControl w:val="0"/>
              <w:kinsoku/>
              <w:wordWrap/>
              <w:overflowPunct/>
              <w:topLinePunct w:val="0"/>
              <w:bidi w:val="0"/>
              <w:snapToGrid/>
              <w:spacing w:line="360" w:lineRule="auto"/>
              <w:ind w:left="1199" w:leftChars="228" w:hanging="720" w:hangingChars="30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式中：C</w:t>
            </w:r>
            <w:r>
              <w:rPr>
                <w:rFonts w:hint="default" w:ascii="Times New Roman" w:hAnsi="Times New Roman" w:cs="Times New Roman"/>
                <w:color w:val="auto"/>
                <w:sz w:val="24"/>
                <w:vertAlign w:val="subscript"/>
              </w:rPr>
              <w:t>m</w:t>
            </w:r>
            <w:r>
              <w:rPr>
                <w:rFonts w:hint="default" w:ascii="Times New Roman" w:hAnsi="Times New Roman" w:cs="Times New Roman"/>
                <w:color w:val="auto"/>
                <w:sz w:val="24"/>
              </w:rPr>
              <w:t>——标准浓度限值，mg/m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w:t>
            </w:r>
            <w:r>
              <w:rPr>
                <w:rFonts w:hint="default" w:ascii="Times New Roman" w:hAnsi="Times New Roman" w:cs="Times New Roman"/>
                <w:color w:val="auto"/>
                <w:sz w:val="24"/>
              </w:rPr>
              <w:cr/>
            </w:r>
            <w:r>
              <w:rPr>
                <w:rFonts w:hint="default" w:ascii="Times New Roman" w:hAnsi="Times New Roman" w:cs="Times New Roman"/>
                <w:color w:val="auto"/>
                <w:sz w:val="24"/>
              </w:rPr>
              <w:t>Q</w:t>
            </w:r>
            <w:r>
              <w:rPr>
                <w:rFonts w:hint="default" w:ascii="Times New Roman" w:hAnsi="Times New Roman" w:cs="Times New Roman"/>
                <w:color w:val="auto"/>
                <w:sz w:val="24"/>
                <w:vertAlign w:val="subscript"/>
              </w:rPr>
              <w:t>C</w:t>
            </w:r>
            <w:r>
              <w:rPr>
                <w:rFonts w:hint="default" w:ascii="Times New Roman" w:hAnsi="Times New Roman" w:cs="Times New Roman"/>
                <w:color w:val="auto"/>
                <w:sz w:val="24"/>
              </w:rPr>
              <w:t>——工业企业有害气体排放量可以达到的控制水平，kg/h；</w:t>
            </w:r>
            <w:r>
              <w:rPr>
                <w:rFonts w:hint="default" w:ascii="Times New Roman" w:hAnsi="Times New Roman" w:cs="Times New Roman"/>
                <w:color w:val="auto"/>
                <w:sz w:val="24"/>
              </w:rPr>
              <w:cr/>
            </w:r>
            <w:r>
              <w:rPr>
                <w:rFonts w:hint="default" w:ascii="Times New Roman" w:hAnsi="Times New Roman" w:cs="Times New Roman"/>
                <w:color w:val="auto"/>
                <w:sz w:val="24"/>
              </w:rPr>
              <w:t>L——工业企业所需卫生防护距离，m；</w:t>
            </w:r>
            <w:r>
              <w:rPr>
                <w:rFonts w:hint="default" w:ascii="Times New Roman" w:hAnsi="Times New Roman" w:cs="Times New Roman"/>
                <w:color w:val="auto"/>
                <w:sz w:val="24"/>
              </w:rPr>
              <w:cr/>
            </w:r>
            <w:r>
              <w:rPr>
                <w:rFonts w:hint="default" w:ascii="Times New Roman" w:hAnsi="Times New Roman" w:cs="Times New Roman"/>
                <w:color w:val="auto"/>
                <w:sz w:val="24"/>
              </w:rPr>
              <w:t>γ——有害气体排放源所在生产单元的等效半径，m。根据该生产单元占地面积S（m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）计算，r=（S/π）</w:t>
            </w:r>
            <w:r>
              <w:rPr>
                <w:rFonts w:hint="default" w:ascii="Times New Roman" w:hAnsi="Times New Roman" w:cs="Times New Roman"/>
                <w:color w:val="auto"/>
                <w:sz w:val="24"/>
                <w:vertAlign w:val="superscript"/>
              </w:rPr>
              <w:t>0.5</w:t>
            </w:r>
            <w:r>
              <w:rPr>
                <w:rFonts w:hint="default" w:ascii="Times New Roman" w:hAnsi="Times New Roman" w:cs="Times New Roman"/>
                <w:color w:val="auto"/>
                <w:sz w:val="24"/>
              </w:rPr>
              <w:t>；</w:t>
            </w:r>
          </w:p>
          <w:p w14:paraId="5C1C22C0">
            <w:pPr>
              <w:keepNext w:val="0"/>
              <w:keepLines w:val="0"/>
              <w:pageBreakBefore w:val="0"/>
              <w:widowControl w:val="0"/>
              <w:numPr>
                <w:ilvl w:val="0"/>
                <w:numId w:val="11"/>
              </w:numPr>
              <w:kinsoku/>
              <w:wordWrap/>
              <w:overflowPunct/>
              <w:topLinePunct w:val="0"/>
              <w:bidi w:val="0"/>
              <w:snapToGrid/>
              <w:spacing w:line="360" w:lineRule="auto"/>
              <w:ind w:left="0" w:leftChars="0" w:firstLine="480" w:firstLineChars="20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B</w:t>
            </w:r>
            <w:r>
              <w:rPr>
                <w:rFonts w:hint="eastAsia" w:cs="Times New Roman"/>
                <w:color w:val="auto"/>
                <w:sz w:val="24"/>
                <w:lang w:eastAsia="zh-CN"/>
              </w:rPr>
              <w:t>.</w:t>
            </w:r>
            <w:r>
              <w:rPr>
                <w:rFonts w:hint="default" w:ascii="Times New Roman" w:hAnsi="Times New Roman" w:cs="Times New Roman"/>
                <w:color w:val="auto"/>
                <w:sz w:val="24"/>
              </w:rPr>
              <w:t>C、D——计算系数，根据建设项目所在地区近五年平均风速及工业企业大气污染源构成类别从</w:t>
            </w:r>
            <w:r>
              <w:rPr>
                <w:rFonts w:hint="default" w:ascii="Times New Roman" w:hAnsi="Times New Roman" w:cs="Times New Roman"/>
                <w:color w:val="auto"/>
                <w:sz w:val="24"/>
                <w:lang w:val="en-US" w:eastAsia="zh-CN"/>
              </w:rPr>
              <w:t>下表</w:t>
            </w:r>
            <w:r>
              <w:rPr>
                <w:rFonts w:hint="default" w:ascii="Times New Roman" w:hAnsi="Times New Roman" w:cs="Times New Roman"/>
                <w:color w:val="auto"/>
                <w:sz w:val="24"/>
              </w:rPr>
              <w:t>中选取。</w:t>
            </w:r>
          </w:p>
          <w:p w14:paraId="2D364835">
            <w:pPr>
              <w:pStyle w:val="2"/>
              <w:keepNext w:val="0"/>
              <w:keepLines w:val="0"/>
              <w:pageBreakBefore w:val="0"/>
              <w:widowControl w:val="0"/>
              <w:kinsoku/>
              <w:wordWrap/>
              <w:overflowPunct/>
              <w:topLinePunct w:val="0"/>
              <w:bidi w:val="0"/>
              <w:snapToGrid/>
              <w:spacing w:line="360" w:lineRule="auto"/>
              <w:ind w:left="0" w:leftChars="0" w:firstLine="480" w:firstLineChars="200"/>
              <w:jc w:val="both"/>
              <w:textAlignment w:val="auto"/>
              <w:rPr>
                <w:rFonts w:hint="eastAsia"/>
                <w:b/>
                <w:color w:val="auto"/>
                <w:sz w:val="21"/>
                <w:szCs w:val="21"/>
              </w:rPr>
            </w:pPr>
            <w:r>
              <w:rPr>
                <w:rFonts w:hint="default" w:ascii="Times New Roman" w:hAnsi="Times New Roman" w:cs="Times New Roman"/>
                <w:b w:val="0"/>
                <w:bCs/>
                <w:color w:val="auto"/>
              </w:rPr>
              <w:t>建设项目有与无组织排放源共存的排放同</w:t>
            </w:r>
            <w:r>
              <w:rPr>
                <w:rFonts w:hint="eastAsia" w:ascii="Times New Roman" w:hAnsi="Times New Roman"/>
                <w:b w:val="0"/>
                <w:bCs/>
                <w:color w:val="auto"/>
              </w:rPr>
              <w:t>种有害物质的排气筒，且其排放量小于江苏省地方标准《大气</w:t>
            </w:r>
            <w:r>
              <w:rPr>
                <w:rFonts w:hint="default" w:ascii="Times New Roman" w:hAnsi="Times New Roman" w:cs="Times New Roman"/>
                <w:b w:val="0"/>
                <w:bCs/>
                <w:color w:val="auto"/>
              </w:rPr>
              <w:t>污染物综合排放标准》（DB32/4041-2021）表3中标准规定的允许排放量的1/3，故建设项目按Ⅱ类进行取值；同时项目所在地近5年平均风速为2.7m/s，建设项目卫生防护距离计算系数</w:t>
            </w:r>
            <w:r>
              <w:rPr>
                <w:rFonts w:hint="eastAsia" w:ascii="Times New Roman" w:hAnsi="Times New Roman"/>
                <w:b w:val="0"/>
                <w:bCs/>
                <w:color w:val="auto"/>
              </w:rPr>
              <w:t>取值见下表。</w:t>
            </w:r>
          </w:p>
          <w:p w14:paraId="1729780E">
            <w:pPr>
              <w:spacing w:line="240" w:lineRule="auto"/>
              <w:jc w:val="center"/>
              <w:rPr>
                <w:b/>
                <w:color w:val="auto"/>
                <w:sz w:val="21"/>
                <w:szCs w:val="21"/>
              </w:rPr>
            </w:pPr>
            <w:r>
              <w:rPr>
                <w:rFonts w:hint="eastAsia"/>
                <w:b/>
                <w:color w:val="auto"/>
                <w:sz w:val="21"/>
                <w:szCs w:val="21"/>
              </w:rPr>
              <w:t>表4-</w:t>
            </w:r>
            <w:r>
              <w:rPr>
                <w:rFonts w:hint="eastAsia"/>
                <w:b/>
                <w:color w:val="auto"/>
                <w:sz w:val="21"/>
                <w:szCs w:val="21"/>
                <w:lang w:val="en-US" w:eastAsia="zh-CN"/>
              </w:rPr>
              <w:t xml:space="preserve">8  </w:t>
            </w:r>
            <w:r>
              <w:rPr>
                <w:rFonts w:hint="eastAsia"/>
                <w:b/>
                <w:color w:val="auto"/>
                <w:sz w:val="21"/>
                <w:szCs w:val="21"/>
              </w:rPr>
              <w:t>卫生防护距离计算系数</w:t>
            </w:r>
          </w:p>
          <w:tbl>
            <w:tblPr>
              <w:tblStyle w:val="23"/>
              <w:tblW w:w="774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85"/>
              <w:gridCol w:w="690"/>
              <w:gridCol w:w="675"/>
              <w:gridCol w:w="675"/>
              <w:gridCol w:w="705"/>
              <w:gridCol w:w="645"/>
              <w:gridCol w:w="660"/>
              <w:gridCol w:w="660"/>
              <w:gridCol w:w="630"/>
              <w:gridCol w:w="604"/>
            </w:tblGrid>
            <w:tr w14:paraId="5B7649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4A27F69A">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卫生防护距离初值计算系数</w:t>
                  </w:r>
                </w:p>
              </w:tc>
              <w:tc>
                <w:tcPr>
                  <w:tcW w:w="885" w:type="dxa"/>
                  <w:vMerge w:val="restart"/>
                  <w:noWrap w:val="0"/>
                  <w:vAlign w:val="center"/>
                </w:tcPr>
                <w:p w14:paraId="7E19EA2F">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工业企业所在地区近5年平均风速</w:t>
                  </w:r>
                </w:p>
              </w:tc>
              <w:tc>
                <w:tcPr>
                  <w:tcW w:w="5944" w:type="dxa"/>
                  <w:gridSpan w:val="9"/>
                  <w:noWrap w:val="0"/>
                  <w:vAlign w:val="center"/>
                </w:tcPr>
                <w:p w14:paraId="221EB9F3">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卫生防护距离L/m</w:t>
                  </w:r>
                </w:p>
              </w:tc>
            </w:tr>
            <w:tr w14:paraId="07937D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1231B017">
                  <w:pPr>
                    <w:spacing w:line="280" w:lineRule="exact"/>
                    <w:jc w:val="center"/>
                    <w:rPr>
                      <w:rFonts w:hint="default" w:ascii="Times New Roman" w:hAnsi="Times New Roman" w:cs="Times New Roman"/>
                      <w:color w:val="auto"/>
                    </w:rPr>
                  </w:pPr>
                </w:p>
              </w:tc>
              <w:tc>
                <w:tcPr>
                  <w:tcW w:w="885" w:type="dxa"/>
                  <w:vMerge w:val="continue"/>
                  <w:noWrap w:val="0"/>
                  <w:vAlign w:val="center"/>
                </w:tcPr>
                <w:p w14:paraId="73409480">
                  <w:pPr>
                    <w:spacing w:line="280" w:lineRule="exact"/>
                    <w:jc w:val="center"/>
                    <w:rPr>
                      <w:rFonts w:hint="default" w:ascii="Times New Roman" w:hAnsi="Times New Roman" w:cs="Times New Roman"/>
                      <w:color w:val="auto"/>
                    </w:rPr>
                  </w:pPr>
                </w:p>
              </w:tc>
              <w:tc>
                <w:tcPr>
                  <w:tcW w:w="2040" w:type="dxa"/>
                  <w:gridSpan w:val="3"/>
                  <w:noWrap w:val="0"/>
                  <w:vAlign w:val="center"/>
                </w:tcPr>
                <w:p w14:paraId="0A9FC9FD">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L≤1000</w:t>
                  </w:r>
                </w:p>
              </w:tc>
              <w:tc>
                <w:tcPr>
                  <w:tcW w:w="2010" w:type="dxa"/>
                  <w:gridSpan w:val="3"/>
                  <w:noWrap w:val="0"/>
                  <w:vAlign w:val="center"/>
                </w:tcPr>
                <w:p w14:paraId="5451E8AA">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1000</w:t>
                  </w:r>
                  <w:r>
                    <w:rPr>
                      <w:rFonts w:hint="eastAsia" w:cs="Times New Roman"/>
                      <w:color w:val="auto"/>
                      <w:lang w:eastAsia="zh-CN"/>
                    </w:rPr>
                    <w:t>&lt;</w:t>
                  </w:r>
                  <w:r>
                    <w:rPr>
                      <w:rFonts w:hint="default" w:ascii="Times New Roman" w:hAnsi="Times New Roman" w:cs="Times New Roman"/>
                      <w:color w:val="auto"/>
                    </w:rPr>
                    <w:t>L≤2000</w:t>
                  </w:r>
                </w:p>
              </w:tc>
              <w:tc>
                <w:tcPr>
                  <w:tcW w:w="1894" w:type="dxa"/>
                  <w:gridSpan w:val="3"/>
                  <w:noWrap w:val="0"/>
                  <w:vAlign w:val="center"/>
                </w:tcPr>
                <w:p w14:paraId="75559D92">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L</w:t>
                  </w:r>
                  <w:r>
                    <w:rPr>
                      <w:rFonts w:hint="eastAsia" w:cs="Times New Roman"/>
                      <w:color w:val="auto"/>
                      <w:lang w:eastAsia="zh-CN"/>
                    </w:rPr>
                    <w:t>&gt;</w:t>
                  </w:r>
                  <w:r>
                    <w:rPr>
                      <w:rFonts w:hint="default" w:ascii="Times New Roman" w:hAnsi="Times New Roman" w:cs="Times New Roman"/>
                      <w:color w:val="auto"/>
                    </w:rPr>
                    <w:t>2000</w:t>
                  </w:r>
                </w:p>
              </w:tc>
            </w:tr>
            <w:tr w14:paraId="3FE603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297958A2">
                  <w:pPr>
                    <w:spacing w:line="280" w:lineRule="exact"/>
                    <w:jc w:val="center"/>
                    <w:rPr>
                      <w:rFonts w:hint="default" w:ascii="Times New Roman" w:hAnsi="Times New Roman" w:cs="Times New Roman"/>
                      <w:color w:val="auto"/>
                    </w:rPr>
                  </w:pPr>
                </w:p>
              </w:tc>
              <w:tc>
                <w:tcPr>
                  <w:tcW w:w="885" w:type="dxa"/>
                  <w:vMerge w:val="continue"/>
                  <w:noWrap w:val="0"/>
                  <w:vAlign w:val="center"/>
                </w:tcPr>
                <w:p w14:paraId="7150F02D">
                  <w:pPr>
                    <w:spacing w:line="280" w:lineRule="exact"/>
                    <w:jc w:val="center"/>
                    <w:rPr>
                      <w:rFonts w:hint="default" w:ascii="Times New Roman" w:hAnsi="Times New Roman" w:cs="Times New Roman"/>
                      <w:color w:val="auto"/>
                    </w:rPr>
                  </w:pPr>
                </w:p>
              </w:tc>
              <w:tc>
                <w:tcPr>
                  <w:tcW w:w="5944" w:type="dxa"/>
                  <w:gridSpan w:val="9"/>
                  <w:noWrap w:val="0"/>
                  <w:vAlign w:val="center"/>
                </w:tcPr>
                <w:p w14:paraId="3E76E820">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工业企业大气污染源构成类别</w:t>
                  </w:r>
                </w:p>
              </w:tc>
            </w:tr>
            <w:tr w14:paraId="6C48E9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4C1BEC05">
                  <w:pPr>
                    <w:spacing w:line="280" w:lineRule="exact"/>
                    <w:jc w:val="center"/>
                    <w:rPr>
                      <w:rFonts w:hint="default" w:ascii="Times New Roman" w:hAnsi="Times New Roman" w:cs="Times New Roman"/>
                      <w:color w:val="auto"/>
                    </w:rPr>
                  </w:pPr>
                </w:p>
              </w:tc>
              <w:tc>
                <w:tcPr>
                  <w:tcW w:w="885" w:type="dxa"/>
                  <w:vMerge w:val="continue"/>
                  <w:noWrap w:val="0"/>
                  <w:vAlign w:val="center"/>
                </w:tcPr>
                <w:p w14:paraId="0C284E8F">
                  <w:pPr>
                    <w:spacing w:line="280" w:lineRule="exact"/>
                    <w:jc w:val="center"/>
                    <w:rPr>
                      <w:rFonts w:hint="default" w:ascii="Times New Roman" w:hAnsi="Times New Roman" w:cs="Times New Roman"/>
                      <w:color w:val="auto"/>
                    </w:rPr>
                  </w:pPr>
                </w:p>
              </w:tc>
              <w:tc>
                <w:tcPr>
                  <w:tcW w:w="690" w:type="dxa"/>
                  <w:noWrap w:val="0"/>
                  <w:vAlign w:val="center"/>
                </w:tcPr>
                <w:p w14:paraId="6CD1AD8F">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Ⅰ</w:t>
                  </w:r>
                </w:p>
              </w:tc>
              <w:tc>
                <w:tcPr>
                  <w:tcW w:w="675" w:type="dxa"/>
                  <w:noWrap w:val="0"/>
                  <w:vAlign w:val="center"/>
                </w:tcPr>
                <w:p w14:paraId="513C7AF0">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Ⅱ</w:t>
                  </w:r>
                </w:p>
              </w:tc>
              <w:tc>
                <w:tcPr>
                  <w:tcW w:w="675" w:type="dxa"/>
                  <w:noWrap w:val="0"/>
                  <w:vAlign w:val="center"/>
                </w:tcPr>
                <w:p w14:paraId="4FC8BF6C">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Ⅲ</w:t>
                  </w:r>
                </w:p>
              </w:tc>
              <w:tc>
                <w:tcPr>
                  <w:tcW w:w="705" w:type="dxa"/>
                  <w:noWrap w:val="0"/>
                  <w:vAlign w:val="center"/>
                </w:tcPr>
                <w:p w14:paraId="226D53B0">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Ⅰ</w:t>
                  </w:r>
                </w:p>
              </w:tc>
              <w:tc>
                <w:tcPr>
                  <w:tcW w:w="645" w:type="dxa"/>
                  <w:noWrap w:val="0"/>
                  <w:vAlign w:val="center"/>
                </w:tcPr>
                <w:p w14:paraId="3D5397C9">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Ⅱ</w:t>
                  </w:r>
                </w:p>
              </w:tc>
              <w:tc>
                <w:tcPr>
                  <w:tcW w:w="660" w:type="dxa"/>
                  <w:noWrap w:val="0"/>
                  <w:vAlign w:val="center"/>
                </w:tcPr>
                <w:p w14:paraId="2639128C">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Ⅲ</w:t>
                  </w:r>
                </w:p>
              </w:tc>
              <w:tc>
                <w:tcPr>
                  <w:tcW w:w="660" w:type="dxa"/>
                  <w:noWrap w:val="0"/>
                  <w:vAlign w:val="center"/>
                </w:tcPr>
                <w:p w14:paraId="38BD69E7">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Ⅰ</w:t>
                  </w:r>
                </w:p>
              </w:tc>
              <w:tc>
                <w:tcPr>
                  <w:tcW w:w="630" w:type="dxa"/>
                  <w:noWrap w:val="0"/>
                  <w:vAlign w:val="center"/>
                </w:tcPr>
                <w:p w14:paraId="342E9DDA">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Ⅱ</w:t>
                  </w:r>
                </w:p>
              </w:tc>
              <w:tc>
                <w:tcPr>
                  <w:tcW w:w="604" w:type="dxa"/>
                  <w:noWrap w:val="0"/>
                  <w:vAlign w:val="center"/>
                </w:tcPr>
                <w:p w14:paraId="784DB45A">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Ⅲ</w:t>
                  </w:r>
                </w:p>
              </w:tc>
            </w:tr>
            <w:tr w14:paraId="305ECE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77720DA9">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A</w:t>
                  </w:r>
                </w:p>
              </w:tc>
              <w:tc>
                <w:tcPr>
                  <w:tcW w:w="885" w:type="dxa"/>
                  <w:noWrap w:val="0"/>
                  <w:vAlign w:val="center"/>
                </w:tcPr>
                <w:p w14:paraId="29C45B3A">
                  <w:pPr>
                    <w:spacing w:line="280" w:lineRule="exact"/>
                    <w:jc w:val="center"/>
                    <w:rPr>
                      <w:rFonts w:hint="default" w:ascii="Times New Roman" w:hAnsi="Times New Roman" w:cs="Times New Roman"/>
                      <w:color w:val="auto"/>
                    </w:rPr>
                  </w:pPr>
                  <w:r>
                    <w:rPr>
                      <w:rFonts w:hint="eastAsia" w:cs="Times New Roman"/>
                      <w:color w:val="auto"/>
                      <w:lang w:eastAsia="zh-CN"/>
                    </w:rPr>
                    <w:t>&lt;</w:t>
                  </w:r>
                  <w:r>
                    <w:rPr>
                      <w:rFonts w:hint="default" w:ascii="Times New Roman" w:hAnsi="Times New Roman" w:cs="Times New Roman"/>
                      <w:color w:val="auto"/>
                    </w:rPr>
                    <w:t>2</w:t>
                  </w:r>
                </w:p>
              </w:tc>
              <w:tc>
                <w:tcPr>
                  <w:tcW w:w="690" w:type="dxa"/>
                  <w:noWrap w:val="0"/>
                  <w:vAlign w:val="center"/>
                </w:tcPr>
                <w:p w14:paraId="43A16DF9">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400</w:t>
                  </w:r>
                </w:p>
              </w:tc>
              <w:tc>
                <w:tcPr>
                  <w:tcW w:w="675" w:type="dxa"/>
                  <w:noWrap w:val="0"/>
                  <w:vAlign w:val="center"/>
                </w:tcPr>
                <w:p w14:paraId="0724B367">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400</w:t>
                  </w:r>
                </w:p>
              </w:tc>
              <w:tc>
                <w:tcPr>
                  <w:tcW w:w="675" w:type="dxa"/>
                  <w:noWrap w:val="0"/>
                  <w:vAlign w:val="center"/>
                </w:tcPr>
                <w:p w14:paraId="2F8DDD88">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400</w:t>
                  </w:r>
                </w:p>
              </w:tc>
              <w:tc>
                <w:tcPr>
                  <w:tcW w:w="705" w:type="dxa"/>
                  <w:noWrap w:val="0"/>
                  <w:vAlign w:val="center"/>
                </w:tcPr>
                <w:p w14:paraId="46C38E74">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400</w:t>
                  </w:r>
                </w:p>
              </w:tc>
              <w:tc>
                <w:tcPr>
                  <w:tcW w:w="645" w:type="dxa"/>
                  <w:noWrap w:val="0"/>
                  <w:vAlign w:val="center"/>
                </w:tcPr>
                <w:p w14:paraId="0483942B">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400</w:t>
                  </w:r>
                </w:p>
              </w:tc>
              <w:tc>
                <w:tcPr>
                  <w:tcW w:w="660" w:type="dxa"/>
                  <w:noWrap w:val="0"/>
                  <w:vAlign w:val="center"/>
                </w:tcPr>
                <w:p w14:paraId="61FF7DA5">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400</w:t>
                  </w:r>
                </w:p>
              </w:tc>
              <w:tc>
                <w:tcPr>
                  <w:tcW w:w="660" w:type="dxa"/>
                  <w:noWrap w:val="0"/>
                  <w:vAlign w:val="center"/>
                </w:tcPr>
                <w:p w14:paraId="4295C7FF">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80</w:t>
                  </w:r>
                </w:p>
              </w:tc>
              <w:tc>
                <w:tcPr>
                  <w:tcW w:w="630" w:type="dxa"/>
                  <w:noWrap w:val="0"/>
                  <w:vAlign w:val="center"/>
                </w:tcPr>
                <w:p w14:paraId="26781F58">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80</w:t>
                  </w:r>
                </w:p>
              </w:tc>
              <w:tc>
                <w:tcPr>
                  <w:tcW w:w="604" w:type="dxa"/>
                  <w:noWrap w:val="0"/>
                  <w:vAlign w:val="center"/>
                </w:tcPr>
                <w:p w14:paraId="4507665C">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80</w:t>
                  </w:r>
                </w:p>
              </w:tc>
            </w:tr>
            <w:tr w14:paraId="293E85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4131A618">
                  <w:pPr>
                    <w:spacing w:line="280" w:lineRule="exact"/>
                    <w:jc w:val="center"/>
                    <w:rPr>
                      <w:rFonts w:hint="default" w:ascii="Times New Roman" w:hAnsi="Times New Roman" w:cs="Times New Roman"/>
                      <w:color w:val="auto"/>
                    </w:rPr>
                  </w:pPr>
                </w:p>
              </w:tc>
              <w:tc>
                <w:tcPr>
                  <w:tcW w:w="885" w:type="dxa"/>
                  <w:noWrap w:val="0"/>
                  <w:vAlign w:val="center"/>
                </w:tcPr>
                <w:p w14:paraId="1190B6E7">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2-4</w:t>
                  </w:r>
                </w:p>
              </w:tc>
              <w:tc>
                <w:tcPr>
                  <w:tcW w:w="690" w:type="dxa"/>
                  <w:noWrap w:val="0"/>
                  <w:vAlign w:val="center"/>
                </w:tcPr>
                <w:p w14:paraId="35F16690">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700</w:t>
                  </w:r>
                </w:p>
              </w:tc>
              <w:tc>
                <w:tcPr>
                  <w:tcW w:w="675" w:type="dxa"/>
                  <w:noWrap w:val="0"/>
                  <w:vAlign w:val="center"/>
                </w:tcPr>
                <w:p w14:paraId="31887327">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470*</w:t>
                  </w:r>
                </w:p>
              </w:tc>
              <w:tc>
                <w:tcPr>
                  <w:tcW w:w="675" w:type="dxa"/>
                  <w:noWrap w:val="0"/>
                  <w:vAlign w:val="center"/>
                </w:tcPr>
                <w:p w14:paraId="229AD36D">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350</w:t>
                  </w:r>
                </w:p>
              </w:tc>
              <w:tc>
                <w:tcPr>
                  <w:tcW w:w="705" w:type="dxa"/>
                  <w:noWrap w:val="0"/>
                  <w:vAlign w:val="center"/>
                </w:tcPr>
                <w:p w14:paraId="0F6C93F9">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700</w:t>
                  </w:r>
                </w:p>
              </w:tc>
              <w:tc>
                <w:tcPr>
                  <w:tcW w:w="645" w:type="dxa"/>
                  <w:noWrap w:val="0"/>
                  <w:vAlign w:val="center"/>
                </w:tcPr>
                <w:p w14:paraId="220B6903">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470</w:t>
                  </w:r>
                </w:p>
              </w:tc>
              <w:tc>
                <w:tcPr>
                  <w:tcW w:w="660" w:type="dxa"/>
                  <w:noWrap w:val="0"/>
                  <w:vAlign w:val="center"/>
                </w:tcPr>
                <w:p w14:paraId="2193B478">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350</w:t>
                  </w:r>
                </w:p>
              </w:tc>
              <w:tc>
                <w:tcPr>
                  <w:tcW w:w="660" w:type="dxa"/>
                  <w:noWrap w:val="0"/>
                  <w:vAlign w:val="center"/>
                </w:tcPr>
                <w:p w14:paraId="024238DF">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380</w:t>
                  </w:r>
                </w:p>
              </w:tc>
              <w:tc>
                <w:tcPr>
                  <w:tcW w:w="630" w:type="dxa"/>
                  <w:noWrap w:val="0"/>
                  <w:vAlign w:val="center"/>
                </w:tcPr>
                <w:p w14:paraId="46EFCED2">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250</w:t>
                  </w:r>
                </w:p>
              </w:tc>
              <w:tc>
                <w:tcPr>
                  <w:tcW w:w="604" w:type="dxa"/>
                  <w:noWrap w:val="0"/>
                  <w:vAlign w:val="center"/>
                </w:tcPr>
                <w:p w14:paraId="4DC0C9A6">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190</w:t>
                  </w:r>
                </w:p>
              </w:tc>
            </w:tr>
            <w:tr w14:paraId="019345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0056468C">
                  <w:pPr>
                    <w:spacing w:line="280" w:lineRule="exact"/>
                    <w:jc w:val="center"/>
                    <w:rPr>
                      <w:rFonts w:hint="default" w:ascii="Times New Roman" w:hAnsi="Times New Roman" w:cs="Times New Roman"/>
                      <w:color w:val="auto"/>
                    </w:rPr>
                  </w:pPr>
                </w:p>
              </w:tc>
              <w:tc>
                <w:tcPr>
                  <w:tcW w:w="885" w:type="dxa"/>
                  <w:noWrap w:val="0"/>
                  <w:vAlign w:val="center"/>
                </w:tcPr>
                <w:p w14:paraId="3C854B54">
                  <w:pPr>
                    <w:spacing w:line="280" w:lineRule="exact"/>
                    <w:jc w:val="center"/>
                    <w:rPr>
                      <w:rFonts w:hint="default" w:ascii="Times New Roman" w:hAnsi="Times New Roman" w:cs="Times New Roman"/>
                      <w:color w:val="auto"/>
                    </w:rPr>
                  </w:pPr>
                  <w:r>
                    <w:rPr>
                      <w:rFonts w:hint="eastAsia" w:cs="Times New Roman"/>
                      <w:color w:val="auto"/>
                      <w:lang w:eastAsia="zh-CN"/>
                    </w:rPr>
                    <w:t>&gt;</w:t>
                  </w:r>
                  <w:r>
                    <w:rPr>
                      <w:rFonts w:hint="default" w:ascii="Times New Roman" w:hAnsi="Times New Roman" w:cs="Times New Roman"/>
                      <w:color w:val="auto"/>
                    </w:rPr>
                    <w:t>4</w:t>
                  </w:r>
                </w:p>
              </w:tc>
              <w:tc>
                <w:tcPr>
                  <w:tcW w:w="690" w:type="dxa"/>
                  <w:noWrap w:val="0"/>
                  <w:vAlign w:val="center"/>
                </w:tcPr>
                <w:p w14:paraId="532E1CA5">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530</w:t>
                  </w:r>
                </w:p>
              </w:tc>
              <w:tc>
                <w:tcPr>
                  <w:tcW w:w="675" w:type="dxa"/>
                  <w:noWrap w:val="0"/>
                  <w:vAlign w:val="center"/>
                </w:tcPr>
                <w:p w14:paraId="7804F44F">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350</w:t>
                  </w:r>
                </w:p>
              </w:tc>
              <w:tc>
                <w:tcPr>
                  <w:tcW w:w="675" w:type="dxa"/>
                  <w:noWrap w:val="0"/>
                  <w:vAlign w:val="center"/>
                </w:tcPr>
                <w:p w14:paraId="616DD16A">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260</w:t>
                  </w:r>
                </w:p>
              </w:tc>
              <w:tc>
                <w:tcPr>
                  <w:tcW w:w="705" w:type="dxa"/>
                  <w:noWrap w:val="0"/>
                  <w:vAlign w:val="center"/>
                </w:tcPr>
                <w:p w14:paraId="69D99FB7">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530</w:t>
                  </w:r>
                </w:p>
              </w:tc>
              <w:tc>
                <w:tcPr>
                  <w:tcW w:w="645" w:type="dxa"/>
                  <w:noWrap w:val="0"/>
                  <w:vAlign w:val="center"/>
                </w:tcPr>
                <w:p w14:paraId="2CCDF37D">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350</w:t>
                  </w:r>
                </w:p>
              </w:tc>
              <w:tc>
                <w:tcPr>
                  <w:tcW w:w="660" w:type="dxa"/>
                  <w:noWrap w:val="0"/>
                  <w:vAlign w:val="center"/>
                </w:tcPr>
                <w:p w14:paraId="74679BEB">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260</w:t>
                  </w:r>
                </w:p>
              </w:tc>
              <w:tc>
                <w:tcPr>
                  <w:tcW w:w="660" w:type="dxa"/>
                  <w:noWrap w:val="0"/>
                  <w:vAlign w:val="center"/>
                </w:tcPr>
                <w:p w14:paraId="1D480B15">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290</w:t>
                  </w:r>
                </w:p>
              </w:tc>
              <w:tc>
                <w:tcPr>
                  <w:tcW w:w="630" w:type="dxa"/>
                  <w:noWrap w:val="0"/>
                  <w:vAlign w:val="center"/>
                </w:tcPr>
                <w:p w14:paraId="317C15E2">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190</w:t>
                  </w:r>
                </w:p>
              </w:tc>
              <w:tc>
                <w:tcPr>
                  <w:tcW w:w="604" w:type="dxa"/>
                  <w:noWrap w:val="0"/>
                  <w:vAlign w:val="center"/>
                </w:tcPr>
                <w:p w14:paraId="5B87617F">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110</w:t>
                  </w:r>
                </w:p>
              </w:tc>
            </w:tr>
            <w:tr w14:paraId="07CE32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7DCA58F4">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B</w:t>
                  </w:r>
                </w:p>
              </w:tc>
              <w:tc>
                <w:tcPr>
                  <w:tcW w:w="885" w:type="dxa"/>
                  <w:noWrap w:val="0"/>
                  <w:vAlign w:val="center"/>
                </w:tcPr>
                <w:p w14:paraId="7FD79A6D">
                  <w:pPr>
                    <w:spacing w:line="280" w:lineRule="exact"/>
                    <w:jc w:val="center"/>
                    <w:rPr>
                      <w:rFonts w:hint="default" w:ascii="Times New Roman" w:hAnsi="Times New Roman" w:cs="Times New Roman"/>
                      <w:color w:val="auto"/>
                    </w:rPr>
                  </w:pPr>
                  <w:r>
                    <w:rPr>
                      <w:rFonts w:hint="eastAsia" w:cs="Times New Roman"/>
                      <w:color w:val="auto"/>
                      <w:lang w:eastAsia="zh-CN"/>
                    </w:rPr>
                    <w:t>&lt;</w:t>
                  </w:r>
                  <w:r>
                    <w:rPr>
                      <w:rFonts w:hint="default" w:ascii="Times New Roman" w:hAnsi="Times New Roman" w:cs="Times New Roman"/>
                      <w:color w:val="auto"/>
                    </w:rPr>
                    <w:t>2</w:t>
                  </w:r>
                </w:p>
              </w:tc>
              <w:tc>
                <w:tcPr>
                  <w:tcW w:w="2040" w:type="dxa"/>
                  <w:gridSpan w:val="3"/>
                  <w:noWrap w:val="0"/>
                  <w:vAlign w:val="center"/>
                </w:tcPr>
                <w:p w14:paraId="4D02E3AC">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0.01</w:t>
                  </w:r>
                </w:p>
              </w:tc>
              <w:tc>
                <w:tcPr>
                  <w:tcW w:w="2010" w:type="dxa"/>
                  <w:gridSpan w:val="3"/>
                  <w:noWrap w:val="0"/>
                  <w:vAlign w:val="center"/>
                </w:tcPr>
                <w:p w14:paraId="36D4195B">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0.015</w:t>
                  </w:r>
                </w:p>
              </w:tc>
              <w:tc>
                <w:tcPr>
                  <w:tcW w:w="1894" w:type="dxa"/>
                  <w:gridSpan w:val="3"/>
                  <w:noWrap w:val="0"/>
                  <w:vAlign w:val="center"/>
                </w:tcPr>
                <w:p w14:paraId="74F5F59F">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0.015</w:t>
                  </w:r>
                </w:p>
              </w:tc>
            </w:tr>
            <w:tr w14:paraId="737596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7372D7A7">
                  <w:pPr>
                    <w:spacing w:line="280" w:lineRule="exact"/>
                    <w:jc w:val="center"/>
                    <w:rPr>
                      <w:rFonts w:hint="default" w:ascii="Times New Roman" w:hAnsi="Times New Roman" w:cs="Times New Roman"/>
                      <w:color w:val="auto"/>
                    </w:rPr>
                  </w:pPr>
                </w:p>
              </w:tc>
              <w:tc>
                <w:tcPr>
                  <w:tcW w:w="885" w:type="dxa"/>
                  <w:noWrap w:val="0"/>
                  <w:vAlign w:val="center"/>
                </w:tcPr>
                <w:p w14:paraId="0B509E05">
                  <w:pPr>
                    <w:spacing w:line="280" w:lineRule="exact"/>
                    <w:jc w:val="center"/>
                    <w:rPr>
                      <w:rFonts w:hint="default" w:ascii="Times New Roman" w:hAnsi="Times New Roman" w:cs="Times New Roman"/>
                      <w:color w:val="auto"/>
                    </w:rPr>
                  </w:pPr>
                  <w:r>
                    <w:rPr>
                      <w:rFonts w:hint="eastAsia" w:cs="Times New Roman"/>
                      <w:color w:val="auto"/>
                      <w:lang w:eastAsia="zh-CN"/>
                    </w:rPr>
                    <w:t>&gt;</w:t>
                  </w:r>
                  <w:r>
                    <w:rPr>
                      <w:rFonts w:hint="default" w:ascii="Times New Roman" w:hAnsi="Times New Roman" w:cs="Times New Roman"/>
                      <w:color w:val="auto"/>
                    </w:rPr>
                    <w:t>2</w:t>
                  </w:r>
                </w:p>
              </w:tc>
              <w:tc>
                <w:tcPr>
                  <w:tcW w:w="2040" w:type="dxa"/>
                  <w:gridSpan w:val="3"/>
                  <w:noWrap w:val="0"/>
                  <w:vAlign w:val="center"/>
                </w:tcPr>
                <w:p w14:paraId="4D13658A">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0.021*</w:t>
                  </w:r>
                </w:p>
              </w:tc>
              <w:tc>
                <w:tcPr>
                  <w:tcW w:w="2010" w:type="dxa"/>
                  <w:gridSpan w:val="3"/>
                  <w:noWrap w:val="0"/>
                  <w:vAlign w:val="center"/>
                </w:tcPr>
                <w:p w14:paraId="0D108C77">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0.036</w:t>
                  </w:r>
                </w:p>
              </w:tc>
              <w:tc>
                <w:tcPr>
                  <w:tcW w:w="1894" w:type="dxa"/>
                  <w:gridSpan w:val="3"/>
                  <w:noWrap w:val="0"/>
                  <w:vAlign w:val="center"/>
                </w:tcPr>
                <w:p w14:paraId="0DAA8DEE">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0.036</w:t>
                  </w:r>
                </w:p>
              </w:tc>
            </w:tr>
            <w:tr w14:paraId="5020FF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6F13FAAE">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C</w:t>
                  </w:r>
                </w:p>
              </w:tc>
              <w:tc>
                <w:tcPr>
                  <w:tcW w:w="885" w:type="dxa"/>
                  <w:noWrap w:val="0"/>
                  <w:vAlign w:val="center"/>
                </w:tcPr>
                <w:p w14:paraId="51C4C9C1">
                  <w:pPr>
                    <w:spacing w:line="280" w:lineRule="exact"/>
                    <w:jc w:val="center"/>
                    <w:rPr>
                      <w:rFonts w:hint="default" w:ascii="Times New Roman" w:hAnsi="Times New Roman" w:cs="Times New Roman"/>
                      <w:color w:val="auto"/>
                    </w:rPr>
                  </w:pPr>
                  <w:r>
                    <w:rPr>
                      <w:rFonts w:hint="eastAsia" w:cs="Times New Roman"/>
                      <w:color w:val="auto"/>
                      <w:lang w:eastAsia="zh-CN"/>
                    </w:rPr>
                    <w:t>&lt;</w:t>
                  </w:r>
                  <w:r>
                    <w:rPr>
                      <w:rFonts w:hint="default" w:ascii="Times New Roman" w:hAnsi="Times New Roman" w:cs="Times New Roman"/>
                      <w:color w:val="auto"/>
                    </w:rPr>
                    <w:t>2</w:t>
                  </w:r>
                </w:p>
              </w:tc>
              <w:tc>
                <w:tcPr>
                  <w:tcW w:w="2040" w:type="dxa"/>
                  <w:gridSpan w:val="3"/>
                  <w:noWrap w:val="0"/>
                  <w:vAlign w:val="center"/>
                </w:tcPr>
                <w:p w14:paraId="4E6A9424">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1.85</w:t>
                  </w:r>
                </w:p>
              </w:tc>
              <w:tc>
                <w:tcPr>
                  <w:tcW w:w="2010" w:type="dxa"/>
                  <w:gridSpan w:val="3"/>
                  <w:noWrap w:val="0"/>
                  <w:vAlign w:val="center"/>
                </w:tcPr>
                <w:p w14:paraId="7E9E31C5">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1.79</w:t>
                  </w:r>
                </w:p>
              </w:tc>
              <w:tc>
                <w:tcPr>
                  <w:tcW w:w="1894" w:type="dxa"/>
                  <w:gridSpan w:val="3"/>
                  <w:noWrap w:val="0"/>
                  <w:vAlign w:val="center"/>
                </w:tcPr>
                <w:p w14:paraId="64AA167F">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1.79</w:t>
                  </w:r>
                </w:p>
              </w:tc>
            </w:tr>
            <w:tr w14:paraId="5C8A53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42D7C732">
                  <w:pPr>
                    <w:spacing w:line="280" w:lineRule="exact"/>
                    <w:jc w:val="center"/>
                    <w:rPr>
                      <w:rFonts w:hint="default" w:ascii="Times New Roman" w:hAnsi="Times New Roman" w:cs="Times New Roman"/>
                      <w:color w:val="auto"/>
                    </w:rPr>
                  </w:pPr>
                </w:p>
              </w:tc>
              <w:tc>
                <w:tcPr>
                  <w:tcW w:w="885" w:type="dxa"/>
                  <w:noWrap w:val="0"/>
                  <w:vAlign w:val="center"/>
                </w:tcPr>
                <w:p w14:paraId="72406A43">
                  <w:pPr>
                    <w:spacing w:line="280" w:lineRule="exact"/>
                    <w:jc w:val="center"/>
                    <w:rPr>
                      <w:rFonts w:hint="default" w:ascii="Times New Roman" w:hAnsi="Times New Roman" w:cs="Times New Roman"/>
                      <w:color w:val="auto"/>
                    </w:rPr>
                  </w:pPr>
                  <w:r>
                    <w:rPr>
                      <w:rFonts w:hint="eastAsia" w:cs="Times New Roman"/>
                      <w:color w:val="auto"/>
                      <w:lang w:eastAsia="zh-CN"/>
                    </w:rPr>
                    <w:t>&gt;</w:t>
                  </w:r>
                  <w:r>
                    <w:rPr>
                      <w:rFonts w:hint="default" w:ascii="Times New Roman" w:hAnsi="Times New Roman" w:cs="Times New Roman"/>
                      <w:color w:val="auto"/>
                    </w:rPr>
                    <w:t>2</w:t>
                  </w:r>
                </w:p>
              </w:tc>
              <w:tc>
                <w:tcPr>
                  <w:tcW w:w="2040" w:type="dxa"/>
                  <w:gridSpan w:val="3"/>
                  <w:noWrap w:val="0"/>
                  <w:vAlign w:val="center"/>
                </w:tcPr>
                <w:p w14:paraId="390849A3">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1.85*</w:t>
                  </w:r>
                </w:p>
              </w:tc>
              <w:tc>
                <w:tcPr>
                  <w:tcW w:w="2010" w:type="dxa"/>
                  <w:gridSpan w:val="3"/>
                  <w:noWrap w:val="0"/>
                  <w:vAlign w:val="center"/>
                </w:tcPr>
                <w:p w14:paraId="3F6284C0">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1.77</w:t>
                  </w:r>
                </w:p>
              </w:tc>
              <w:tc>
                <w:tcPr>
                  <w:tcW w:w="1894" w:type="dxa"/>
                  <w:gridSpan w:val="3"/>
                  <w:noWrap w:val="0"/>
                  <w:vAlign w:val="center"/>
                </w:tcPr>
                <w:p w14:paraId="3A963BD9">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1.77</w:t>
                  </w:r>
                </w:p>
              </w:tc>
            </w:tr>
            <w:tr w14:paraId="6FD407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20CF829D">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D</w:t>
                  </w:r>
                </w:p>
              </w:tc>
              <w:tc>
                <w:tcPr>
                  <w:tcW w:w="885" w:type="dxa"/>
                  <w:noWrap w:val="0"/>
                  <w:vAlign w:val="center"/>
                </w:tcPr>
                <w:p w14:paraId="43DD0E0B">
                  <w:pPr>
                    <w:spacing w:line="280" w:lineRule="exact"/>
                    <w:jc w:val="center"/>
                    <w:rPr>
                      <w:rFonts w:hint="default" w:ascii="Times New Roman" w:hAnsi="Times New Roman" w:cs="Times New Roman"/>
                      <w:color w:val="auto"/>
                    </w:rPr>
                  </w:pPr>
                  <w:r>
                    <w:rPr>
                      <w:rFonts w:hint="eastAsia" w:cs="Times New Roman"/>
                      <w:color w:val="auto"/>
                      <w:lang w:eastAsia="zh-CN"/>
                    </w:rPr>
                    <w:t>&lt;</w:t>
                  </w:r>
                  <w:r>
                    <w:rPr>
                      <w:rFonts w:hint="default" w:ascii="Times New Roman" w:hAnsi="Times New Roman" w:cs="Times New Roman"/>
                      <w:color w:val="auto"/>
                    </w:rPr>
                    <w:t>2</w:t>
                  </w:r>
                </w:p>
              </w:tc>
              <w:tc>
                <w:tcPr>
                  <w:tcW w:w="2040" w:type="dxa"/>
                  <w:gridSpan w:val="3"/>
                  <w:noWrap w:val="0"/>
                  <w:vAlign w:val="center"/>
                </w:tcPr>
                <w:p w14:paraId="25AFBCC5">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0.78</w:t>
                  </w:r>
                </w:p>
              </w:tc>
              <w:tc>
                <w:tcPr>
                  <w:tcW w:w="2010" w:type="dxa"/>
                  <w:gridSpan w:val="3"/>
                  <w:noWrap w:val="0"/>
                  <w:vAlign w:val="center"/>
                </w:tcPr>
                <w:p w14:paraId="034903BB">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0.78</w:t>
                  </w:r>
                </w:p>
              </w:tc>
              <w:tc>
                <w:tcPr>
                  <w:tcW w:w="1894" w:type="dxa"/>
                  <w:gridSpan w:val="3"/>
                  <w:noWrap w:val="0"/>
                  <w:vAlign w:val="center"/>
                </w:tcPr>
                <w:p w14:paraId="3A846C02">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0.57</w:t>
                  </w:r>
                </w:p>
              </w:tc>
            </w:tr>
            <w:tr w14:paraId="061D26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67C003B4">
                  <w:pPr>
                    <w:spacing w:line="280" w:lineRule="exact"/>
                    <w:jc w:val="center"/>
                    <w:rPr>
                      <w:rFonts w:hint="default" w:ascii="Times New Roman" w:hAnsi="Times New Roman" w:cs="Times New Roman"/>
                      <w:color w:val="auto"/>
                    </w:rPr>
                  </w:pPr>
                </w:p>
              </w:tc>
              <w:tc>
                <w:tcPr>
                  <w:tcW w:w="885" w:type="dxa"/>
                  <w:noWrap w:val="0"/>
                  <w:vAlign w:val="center"/>
                </w:tcPr>
                <w:p w14:paraId="49802D31">
                  <w:pPr>
                    <w:spacing w:line="280" w:lineRule="exact"/>
                    <w:jc w:val="center"/>
                    <w:rPr>
                      <w:rFonts w:hint="default" w:ascii="Times New Roman" w:hAnsi="Times New Roman" w:cs="Times New Roman"/>
                      <w:color w:val="auto"/>
                    </w:rPr>
                  </w:pPr>
                  <w:r>
                    <w:rPr>
                      <w:rFonts w:hint="eastAsia" w:cs="Times New Roman"/>
                      <w:color w:val="auto"/>
                      <w:lang w:eastAsia="zh-CN"/>
                    </w:rPr>
                    <w:t>&gt;</w:t>
                  </w:r>
                  <w:r>
                    <w:rPr>
                      <w:rFonts w:hint="default" w:ascii="Times New Roman" w:hAnsi="Times New Roman" w:cs="Times New Roman"/>
                      <w:color w:val="auto"/>
                    </w:rPr>
                    <w:t>2</w:t>
                  </w:r>
                </w:p>
              </w:tc>
              <w:tc>
                <w:tcPr>
                  <w:tcW w:w="2040" w:type="dxa"/>
                  <w:gridSpan w:val="3"/>
                  <w:noWrap w:val="0"/>
                  <w:vAlign w:val="center"/>
                </w:tcPr>
                <w:p w14:paraId="10FC7A9B">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0.84*</w:t>
                  </w:r>
                </w:p>
              </w:tc>
              <w:tc>
                <w:tcPr>
                  <w:tcW w:w="2010" w:type="dxa"/>
                  <w:gridSpan w:val="3"/>
                  <w:noWrap w:val="0"/>
                  <w:vAlign w:val="center"/>
                </w:tcPr>
                <w:p w14:paraId="77297ADC">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0.84</w:t>
                  </w:r>
                </w:p>
              </w:tc>
              <w:tc>
                <w:tcPr>
                  <w:tcW w:w="1894" w:type="dxa"/>
                  <w:gridSpan w:val="3"/>
                  <w:noWrap w:val="0"/>
                  <w:vAlign w:val="center"/>
                </w:tcPr>
                <w:p w14:paraId="54B87DCE">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0.76</w:t>
                  </w:r>
                </w:p>
              </w:tc>
            </w:tr>
            <w:tr w14:paraId="397C81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8" w:type="dxa"/>
                  <w:gridSpan w:val="11"/>
                  <w:noWrap w:val="0"/>
                  <w:vAlign w:val="center"/>
                </w:tcPr>
                <w:p w14:paraId="4807774D">
                  <w:pPr>
                    <w:keepNext w:val="0"/>
                    <w:keepLines w:val="0"/>
                    <w:pageBreakBefore w:val="0"/>
                    <w:widowControl w:val="0"/>
                    <w:kinsoku/>
                    <w:wordWrap/>
                    <w:overflowPunct/>
                    <w:topLinePunct w:val="0"/>
                    <w:bidi w:val="0"/>
                    <w:spacing w:line="28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t>注：Ⅰ类：与无组织排放源共存的排放同种有害气体的排气筒的排放量，大于或等于标准规定的允许排放量的1/3者。</w:t>
                  </w:r>
                </w:p>
                <w:p w14:paraId="49D74327">
                  <w:pPr>
                    <w:pStyle w:val="2"/>
                    <w:keepNext w:val="0"/>
                    <w:keepLines w:val="0"/>
                    <w:pageBreakBefore w:val="0"/>
                    <w:widowControl w:val="0"/>
                    <w:kinsoku/>
                    <w:wordWrap/>
                    <w:overflowPunct/>
                    <w:topLinePunct w:val="0"/>
                    <w:bidi w:val="0"/>
                    <w:spacing w:line="280" w:lineRule="exact"/>
                    <w:ind w:firstLine="420" w:firstLineChars="200"/>
                    <w:jc w:val="both"/>
                    <w:textAlignment w:val="auto"/>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Ⅱ类：与无组织排放源共存的排放同种有害气体的排气筒的排放量，小于标准规定的允许排放量的1/3，或虽无排放同种大气污染物之排气筒共存，但无组织排放的有害物质的容许浓度指标是按急性反应指标确定者。</w:t>
                  </w:r>
                </w:p>
                <w:p w14:paraId="360154EE">
                  <w:pPr>
                    <w:pStyle w:val="6"/>
                    <w:keepNext w:val="0"/>
                    <w:keepLines w:val="0"/>
                    <w:pageBreakBefore w:val="0"/>
                    <w:widowControl w:val="0"/>
                    <w:kinsoku/>
                    <w:wordWrap/>
                    <w:overflowPunct/>
                    <w:topLinePunct w:val="0"/>
                    <w:bidi w:val="0"/>
                    <w:spacing w:after="0" w:line="280" w:lineRule="exact"/>
                    <w:ind w:left="0" w:leftChars="0" w:firstLine="420" w:firstLineChars="200"/>
                    <w:jc w:val="both"/>
                    <w:textAlignment w:val="auto"/>
                    <w:rPr>
                      <w:rFonts w:hint="default" w:ascii="Times New Roman" w:hAnsi="Times New Roman" w:cs="Times New Roman"/>
                      <w:color w:val="auto"/>
                      <w:sz w:val="21"/>
                    </w:rPr>
                  </w:pPr>
                  <w:r>
                    <w:rPr>
                      <w:rFonts w:hint="default" w:ascii="Times New Roman" w:hAnsi="Times New Roman" w:cs="Times New Roman"/>
                      <w:bCs/>
                      <w:color w:val="auto"/>
                      <w:sz w:val="21"/>
                    </w:rPr>
                    <w:t>Ⅲ类：无排放同种有害物质的排气筒与无组织排放源共存，但无组织排放的有害物质的容许排放是按慢性反应指标确定者。</w:t>
                  </w:r>
                </w:p>
              </w:tc>
            </w:tr>
          </w:tbl>
          <w:p w14:paraId="6D44399D">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sz w:val="18"/>
                <w:szCs w:val="18"/>
              </w:rPr>
            </w:pPr>
            <w:r>
              <w:rPr>
                <w:rFonts w:hint="eastAsia"/>
                <w:color w:val="auto"/>
                <w:sz w:val="18"/>
                <w:szCs w:val="18"/>
              </w:rPr>
              <w:t>注：*表示本项目取值</w:t>
            </w:r>
          </w:p>
          <w:p w14:paraId="36935B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
                <w:color w:val="auto"/>
                <w:sz w:val="24"/>
              </w:rPr>
            </w:pPr>
            <w:r>
              <w:rPr>
                <w:color w:val="auto"/>
                <w:sz w:val="24"/>
              </w:rPr>
              <w:t>根据本项目无组织排放的情况，由公式计算确定无组织排放污染物需要设置的卫生防护距离见</w:t>
            </w:r>
            <w:r>
              <w:rPr>
                <w:rFonts w:hint="eastAsia"/>
                <w:color w:val="auto"/>
                <w:sz w:val="24"/>
                <w:lang w:val="en-US" w:eastAsia="zh-CN"/>
              </w:rPr>
              <w:t>下表</w:t>
            </w:r>
            <w:r>
              <w:rPr>
                <w:color w:val="auto"/>
                <w:sz w:val="24"/>
              </w:rPr>
              <w:t>。</w:t>
            </w:r>
          </w:p>
          <w:p w14:paraId="19257557">
            <w:pPr>
              <w:spacing w:line="240" w:lineRule="auto"/>
              <w:ind w:firstLine="413" w:firstLineChars="196"/>
              <w:jc w:val="center"/>
              <w:rPr>
                <w:b/>
                <w:color w:val="auto"/>
                <w:sz w:val="24"/>
              </w:rPr>
            </w:pPr>
            <w:r>
              <w:rPr>
                <w:b/>
                <w:color w:val="auto"/>
                <w:sz w:val="21"/>
                <w:szCs w:val="21"/>
              </w:rPr>
              <w:t>表</w:t>
            </w:r>
            <w:r>
              <w:rPr>
                <w:rFonts w:hint="eastAsia"/>
                <w:b/>
                <w:color w:val="auto"/>
                <w:sz w:val="21"/>
                <w:szCs w:val="21"/>
              </w:rPr>
              <w:t>4-</w:t>
            </w:r>
            <w:r>
              <w:rPr>
                <w:rFonts w:hint="eastAsia"/>
                <w:b/>
                <w:color w:val="auto"/>
                <w:sz w:val="21"/>
                <w:szCs w:val="21"/>
                <w:lang w:val="en-US" w:eastAsia="zh-CN"/>
              </w:rPr>
              <w:t xml:space="preserve">9  </w:t>
            </w:r>
            <w:r>
              <w:rPr>
                <w:b/>
                <w:color w:val="auto"/>
                <w:sz w:val="21"/>
                <w:szCs w:val="21"/>
              </w:rPr>
              <w:t>卫生防护距离计算参数及计算结果</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346"/>
              <w:gridCol w:w="1133"/>
              <w:gridCol w:w="1316"/>
              <w:gridCol w:w="1196"/>
              <w:gridCol w:w="1455"/>
            </w:tblGrid>
            <w:tr w14:paraId="5BAC62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42" w:type="pct"/>
                  <w:noWrap w:val="0"/>
                  <w:vAlign w:val="center"/>
                </w:tcPr>
                <w:p w14:paraId="4D7A90C1">
                  <w:pPr>
                    <w:jc w:val="center"/>
                    <w:rPr>
                      <w:color w:val="auto"/>
                      <w:szCs w:val="21"/>
                    </w:rPr>
                  </w:pPr>
                  <w:r>
                    <w:rPr>
                      <w:color w:val="auto"/>
                      <w:szCs w:val="21"/>
                    </w:rPr>
                    <w:t>污染源位置</w:t>
                  </w:r>
                </w:p>
              </w:tc>
              <w:tc>
                <w:tcPr>
                  <w:tcW w:w="847" w:type="pct"/>
                  <w:noWrap w:val="0"/>
                  <w:vAlign w:val="center"/>
                </w:tcPr>
                <w:p w14:paraId="694EFC43">
                  <w:pPr>
                    <w:jc w:val="center"/>
                    <w:rPr>
                      <w:color w:val="auto"/>
                      <w:szCs w:val="21"/>
                    </w:rPr>
                  </w:pPr>
                  <w:r>
                    <w:rPr>
                      <w:color w:val="auto"/>
                      <w:szCs w:val="21"/>
                    </w:rPr>
                    <w:t>污染物名称</w:t>
                  </w:r>
                </w:p>
              </w:tc>
              <w:tc>
                <w:tcPr>
                  <w:tcW w:w="713" w:type="pct"/>
                  <w:noWrap w:val="0"/>
                  <w:vAlign w:val="center"/>
                </w:tcPr>
                <w:p w14:paraId="6B6E30DD">
                  <w:pPr>
                    <w:jc w:val="center"/>
                    <w:rPr>
                      <w:color w:val="auto"/>
                      <w:szCs w:val="21"/>
                    </w:rPr>
                  </w:pPr>
                  <w:r>
                    <w:rPr>
                      <w:rFonts w:hint="eastAsia"/>
                      <w:color w:val="auto"/>
                      <w:szCs w:val="21"/>
                    </w:rPr>
                    <w:t>排放</w:t>
                  </w:r>
                  <w:r>
                    <w:rPr>
                      <w:color w:val="auto"/>
                      <w:szCs w:val="21"/>
                    </w:rPr>
                    <w:t>速率</w:t>
                  </w:r>
                </w:p>
                <w:p w14:paraId="74E709AA">
                  <w:pPr>
                    <w:jc w:val="center"/>
                    <w:rPr>
                      <w:color w:val="auto"/>
                      <w:szCs w:val="21"/>
                    </w:rPr>
                  </w:pPr>
                  <w:r>
                    <w:rPr>
                      <w:rFonts w:hint="eastAsia"/>
                      <w:color w:val="auto"/>
                      <w:szCs w:val="21"/>
                      <w:lang w:eastAsia="zh-CN"/>
                    </w:rPr>
                    <w:t>(</w:t>
                  </w:r>
                  <w:r>
                    <w:rPr>
                      <w:color w:val="auto"/>
                      <w:szCs w:val="21"/>
                    </w:rPr>
                    <w:t>kg/h</w:t>
                  </w:r>
                  <w:r>
                    <w:rPr>
                      <w:rFonts w:hint="eastAsia"/>
                      <w:color w:val="auto"/>
                      <w:szCs w:val="21"/>
                      <w:lang w:eastAsia="zh-CN"/>
                    </w:rPr>
                    <w:t>)</w:t>
                  </w:r>
                </w:p>
              </w:tc>
              <w:tc>
                <w:tcPr>
                  <w:tcW w:w="828" w:type="pct"/>
                  <w:noWrap w:val="0"/>
                  <w:vAlign w:val="center"/>
                </w:tcPr>
                <w:p w14:paraId="520E7608">
                  <w:pPr>
                    <w:jc w:val="center"/>
                    <w:rPr>
                      <w:color w:val="auto"/>
                      <w:szCs w:val="21"/>
                    </w:rPr>
                  </w:pPr>
                  <w:r>
                    <w:rPr>
                      <w:color w:val="auto"/>
                      <w:szCs w:val="21"/>
                    </w:rPr>
                    <w:t>标准限值（mg/m</w:t>
                  </w:r>
                  <w:r>
                    <w:rPr>
                      <w:color w:val="auto"/>
                      <w:szCs w:val="21"/>
                      <w:vertAlign w:val="superscript"/>
                    </w:rPr>
                    <w:t>3</w:t>
                  </w:r>
                  <w:r>
                    <w:rPr>
                      <w:color w:val="auto"/>
                      <w:szCs w:val="21"/>
                    </w:rPr>
                    <w:t>）</w:t>
                  </w:r>
                </w:p>
              </w:tc>
              <w:tc>
                <w:tcPr>
                  <w:tcW w:w="752" w:type="pct"/>
                  <w:noWrap w:val="0"/>
                  <w:vAlign w:val="center"/>
                </w:tcPr>
                <w:p w14:paraId="4A665006">
                  <w:pPr>
                    <w:jc w:val="center"/>
                    <w:rPr>
                      <w:color w:val="auto"/>
                      <w:szCs w:val="21"/>
                    </w:rPr>
                  </w:pPr>
                  <w:r>
                    <w:rPr>
                      <w:color w:val="auto"/>
                      <w:szCs w:val="21"/>
                    </w:rPr>
                    <w:t>计算结果（m）</w:t>
                  </w:r>
                </w:p>
              </w:tc>
              <w:tc>
                <w:tcPr>
                  <w:tcW w:w="915" w:type="pct"/>
                  <w:noWrap w:val="0"/>
                  <w:vAlign w:val="center"/>
                </w:tcPr>
                <w:p w14:paraId="0F6FFA65">
                  <w:pPr>
                    <w:jc w:val="center"/>
                    <w:rPr>
                      <w:color w:val="auto"/>
                      <w:szCs w:val="21"/>
                    </w:rPr>
                  </w:pPr>
                  <w:r>
                    <w:rPr>
                      <w:color w:val="auto"/>
                      <w:szCs w:val="21"/>
                    </w:rPr>
                    <w:t>卫生防护距离（m）</w:t>
                  </w:r>
                </w:p>
              </w:tc>
            </w:tr>
            <w:tr w14:paraId="35F9EF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42" w:type="pct"/>
                  <w:noWrap w:val="0"/>
                  <w:vAlign w:val="center"/>
                </w:tcPr>
                <w:p w14:paraId="7A1B5B20">
                  <w:pPr>
                    <w:jc w:val="center"/>
                    <w:rPr>
                      <w:rFonts w:hint="default" w:eastAsia="宋体"/>
                      <w:color w:val="auto"/>
                      <w:szCs w:val="21"/>
                      <w:lang w:val="en-US" w:eastAsia="zh-CN"/>
                    </w:rPr>
                  </w:pPr>
                  <w:r>
                    <w:rPr>
                      <w:rFonts w:hint="eastAsia"/>
                      <w:color w:val="auto"/>
                      <w:szCs w:val="21"/>
                      <w:lang w:val="en-US" w:eastAsia="zh-CN"/>
                    </w:rPr>
                    <w:t>生产车间</w:t>
                  </w:r>
                </w:p>
              </w:tc>
              <w:tc>
                <w:tcPr>
                  <w:tcW w:w="847" w:type="pct"/>
                  <w:noWrap w:val="0"/>
                  <w:vAlign w:val="center"/>
                </w:tcPr>
                <w:p w14:paraId="126ABE1B">
                  <w:pPr>
                    <w:jc w:val="center"/>
                    <w:rPr>
                      <w:rFonts w:hint="default" w:eastAsia="宋体"/>
                      <w:color w:val="auto"/>
                      <w:kern w:val="2"/>
                      <w:sz w:val="21"/>
                      <w:szCs w:val="21"/>
                      <w:lang w:val="en-US" w:eastAsia="zh-CN" w:bidi="ar-SA"/>
                    </w:rPr>
                  </w:pPr>
                  <w:r>
                    <w:rPr>
                      <w:rFonts w:hint="eastAsia"/>
                      <w:color w:val="auto"/>
                      <w:szCs w:val="21"/>
                      <w:lang w:val="en-US" w:eastAsia="zh-CN"/>
                    </w:rPr>
                    <w:t>非甲烷总烃</w:t>
                  </w:r>
                </w:p>
              </w:tc>
              <w:tc>
                <w:tcPr>
                  <w:tcW w:w="713" w:type="pct"/>
                  <w:noWrap w:val="0"/>
                  <w:vAlign w:val="center"/>
                </w:tcPr>
                <w:p w14:paraId="3E14E935">
                  <w:pPr>
                    <w:spacing w:line="320" w:lineRule="exact"/>
                    <w:jc w:val="center"/>
                    <w:rPr>
                      <w:rFonts w:hint="default" w:eastAsia="宋体"/>
                      <w:color w:val="auto"/>
                      <w:kern w:val="2"/>
                      <w:sz w:val="21"/>
                      <w:szCs w:val="21"/>
                      <w:lang w:val="en-US" w:eastAsia="zh-CN" w:bidi="ar-SA"/>
                    </w:rPr>
                  </w:pPr>
                  <w:r>
                    <w:rPr>
                      <w:rFonts w:hint="eastAsia"/>
                      <w:color w:val="auto"/>
                      <w:kern w:val="2"/>
                      <w:sz w:val="21"/>
                      <w:szCs w:val="21"/>
                      <w:lang w:val="en-US" w:eastAsia="zh-CN" w:bidi="ar-SA"/>
                    </w:rPr>
                    <w:t>0.008</w:t>
                  </w:r>
                </w:p>
              </w:tc>
              <w:tc>
                <w:tcPr>
                  <w:tcW w:w="828" w:type="pct"/>
                  <w:noWrap w:val="0"/>
                  <w:vAlign w:val="center"/>
                </w:tcPr>
                <w:p w14:paraId="5AD3CC8E">
                  <w:pPr>
                    <w:tabs>
                      <w:tab w:val="left" w:pos="4680"/>
                    </w:tabs>
                    <w:adjustRightInd w:val="0"/>
                    <w:snapToGrid w:val="0"/>
                    <w:ind w:right="-48" w:rightChars="0"/>
                    <w:jc w:val="center"/>
                    <w:rPr>
                      <w:rFonts w:hint="default" w:eastAsia="宋体" w:cs="宋体"/>
                      <w:color w:val="auto"/>
                      <w:kern w:val="2"/>
                      <w:sz w:val="21"/>
                      <w:szCs w:val="21"/>
                      <w:lang w:val="en-US" w:eastAsia="zh-CN" w:bidi="ar-SA"/>
                    </w:rPr>
                  </w:pPr>
                  <w:r>
                    <w:rPr>
                      <w:rFonts w:hint="eastAsia" w:cs="宋体"/>
                      <w:color w:val="auto"/>
                      <w:szCs w:val="21"/>
                      <w:lang w:val="en-US" w:eastAsia="zh-CN"/>
                    </w:rPr>
                    <w:t>2.0</w:t>
                  </w:r>
                </w:p>
              </w:tc>
              <w:tc>
                <w:tcPr>
                  <w:tcW w:w="752" w:type="pct"/>
                  <w:noWrap w:val="0"/>
                  <w:vAlign w:val="center"/>
                </w:tcPr>
                <w:p w14:paraId="7E8ADB58">
                  <w:pPr>
                    <w:jc w:val="center"/>
                    <w:rPr>
                      <w:rFonts w:hint="default" w:eastAsia="宋体"/>
                      <w:color w:val="auto"/>
                      <w:kern w:val="2"/>
                      <w:sz w:val="21"/>
                      <w:szCs w:val="21"/>
                      <w:lang w:val="en-US" w:eastAsia="zh-CN" w:bidi="ar-SA"/>
                    </w:rPr>
                  </w:pPr>
                  <w:r>
                    <w:rPr>
                      <w:rFonts w:hint="eastAsia"/>
                      <w:color w:val="auto"/>
                      <w:kern w:val="2"/>
                      <w:sz w:val="21"/>
                      <w:szCs w:val="21"/>
                      <w:lang w:val="en-US" w:eastAsia="zh-CN" w:bidi="ar-SA"/>
                    </w:rPr>
                    <w:t>0.07</w:t>
                  </w:r>
                </w:p>
              </w:tc>
              <w:tc>
                <w:tcPr>
                  <w:tcW w:w="915" w:type="pct"/>
                  <w:noWrap w:val="0"/>
                  <w:vAlign w:val="center"/>
                </w:tcPr>
                <w:p w14:paraId="091ADA62">
                  <w:pPr>
                    <w:jc w:val="center"/>
                    <w:rPr>
                      <w:rFonts w:hint="eastAsia"/>
                      <w:color w:val="auto"/>
                      <w:kern w:val="2"/>
                      <w:sz w:val="21"/>
                      <w:szCs w:val="21"/>
                      <w:lang w:val="en-US" w:eastAsia="zh-CN" w:bidi="ar-SA"/>
                    </w:rPr>
                  </w:pPr>
                  <w:r>
                    <w:rPr>
                      <w:rFonts w:hint="eastAsia"/>
                      <w:color w:val="auto"/>
                      <w:szCs w:val="21"/>
                    </w:rPr>
                    <w:t>50</w:t>
                  </w:r>
                </w:p>
              </w:tc>
            </w:tr>
          </w:tbl>
          <w:p w14:paraId="3E9D6133">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hAnsi="Times New Roman" w:eastAsia="宋体" w:cs="Times New Roman"/>
                <w:b w:val="0"/>
                <w:bCs/>
                <w:color w:val="auto"/>
                <w:kern w:val="0"/>
                <w:sz w:val="24"/>
                <w:szCs w:val="24"/>
                <w:lang w:val="en-US" w:eastAsia="zh-CN" w:bidi="ar-SA"/>
              </w:rPr>
            </w:pPr>
            <w:r>
              <w:rPr>
                <w:rFonts w:hint="eastAsia" w:ascii="Times New Roman" w:hAnsi="Times New Roman" w:cs="Times New Roman"/>
                <w:b w:val="0"/>
                <w:bCs/>
                <w:color w:val="auto"/>
                <w:kern w:val="0"/>
                <w:sz w:val="24"/>
                <w:szCs w:val="24"/>
                <w:lang w:val="en-US" w:eastAsia="zh-CN" w:bidi="ar-SA"/>
              </w:rPr>
              <w:t>根据计算结果，</w:t>
            </w:r>
            <w:r>
              <w:rPr>
                <w:rFonts w:hint="eastAsia" w:ascii="Times New Roman" w:hAnsi="Times New Roman" w:eastAsia="宋体" w:cs="Times New Roman"/>
                <w:b w:val="0"/>
                <w:bCs/>
                <w:color w:val="auto"/>
                <w:kern w:val="0"/>
                <w:sz w:val="24"/>
                <w:szCs w:val="24"/>
                <w:lang w:val="en-US" w:eastAsia="zh-CN" w:bidi="ar-SA"/>
              </w:rPr>
              <w:t>本项目以生产厂房为起点设置</w:t>
            </w:r>
            <w:r>
              <w:rPr>
                <w:rFonts w:hint="eastAsia" w:ascii="Times New Roman" w:hAnsi="Times New Roman" w:cs="Times New Roman"/>
                <w:b w:val="0"/>
                <w:bCs/>
                <w:color w:val="auto"/>
                <w:kern w:val="0"/>
                <w:sz w:val="24"/>
                <w:szCs w:val="24"/>
                <w:lang w:val="en-US" w:eastAsia="zh-CN" w:bidi="ar-SA"/>
              </w:rPr>
              <w:t>5</w:t>
            </w:r>
            <w:r>
              <w:rPr>
                <w:rFonts w:hint="eastAsia" w:ascii="Times New Roman" w:hAnsi="Times New Roman" w:eastAsia="宋体" w:cs="Times New Roman"/>
                <w:b w:val="0"/>
                <w:bCs/>
                <w:color w:val="auto"/>
                <w:kern w:val="0"/>
                <w:sz w:val="24"/>
                <w:szCs w:val="24"/>
                <w:lang w:val="en-US" w:eastAsia="zh-CN" w:bidi="ar-SA"/>
              </w:rPr>
              <w:t>0m的卫生防护距离。根据实地勘察，本项目卫生防护距离范围内目前无居民、学校、医院等环境保护敏感目标，今后该范围内不得规划新建住宅、学校、医院等环境保护敏感目标。本项目卫生防护包络线图详见附图3。</w:t>
            </w:r>
          </w:p>
          <w:p w14:paraId="588CA3C2">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Times New Roman" w:hAnsi="Times New Roman" w:cs="Times New Roman"/>
                <w:b w:val="0"/>
                <w:bCs/>
                <w:color w:val="auto"/>
              </w:rPr>
            </w:pPr>
            <w:r>
              <w:rPr>
                <w:rFonts w:hint="eastAsia" w:ascii="Times New Roman" w:hAnsi="Times New Roman" w:cs="Times New Roman"/>
                <w:b w:val="0"/>
                <w:bCs/>
                <w:color w:val="auto"/>
                <w:lang w:val="en-US" w:eastAsia="zh-CN"/>
              </w:rPr>
              <w:t>6</w:t>
            </w:r>
            <w:r>
              <w:rPr>
                <w:rFonts w:ascii="Times New Roman" w:hAnsi="Times New Roman" w:cs="Times New Roman"/>
                <w:b w:val="0"/>
                <w:bCs/>
                <w:color w:val="auto"/>
              </w:rPr>
              <w:t>、废气污染源监测要求</w:t>
            </w:r>
          </w:p>
          <w:p w14:paraId="7E21E944">
            <w:pPr>
              <w:pStyle w:val="6"/>
              <w:keepNext w:val="0"/>
              <w:keepLines w:val="0"/>
              <w:pageBreakBefore w:val="0"/>
              <w:widowControl w:val="0"/>
              <w:kinsoku/>
              <w:wordWrap/>
              <w:overflowPunct/>
              <w:topLinePunct w:val="0"/>
              <w:bidi w:val="0"/>
              <w:snapToGrid/>
              <w:spacing w:after="0" w:line="360" w:lineRule="auto"/>
              <w:ind w:left="0" w:leftChars="0" w:firstLine="480"/>
              <w:jc w:val="both"/>
              <w:textAlignment w:val="auto"/>
              <w:rPr>
                <w:rFonts w:hint="eastAsia"/>
                <w:color w:val="auto"/>
              </w:rPr>
            </w:pPr>
            <w:r>
              <w:rPr>
                <w:rFonts w:hint="eastAsia"/>
                <w:color w:val="auto"/>
                <w:szCs w:val="24"/>
              </w:rPr>
              <w:t>根据《排污单位自行监测技术指南总则》（HJ819-2017）中相关规定</w:t>
            </w:r>
            <w:r>
              <w:rPr>
                <w:color w:val="auto"/>
                <w:szCs w:val="24"/>
              </w:rPr>
              <w:t>，本项目营运期废气应进行常规自行监测，废气污染因子监测要求如下表。</w:t>
            </w:r>
          </w:p>
          <w:p w14:paraId="2672A516">
            <w:pPr>
              <w:pStyle w:val="6"/>
              <w:spacing w:after="0" w:line="240" w:lineRule="auto"/>
              <w:ind w:left="0" w:leftChars="0" w:firstLine="0" w:firstLineChars="0"/>
              <w:jc w:val="center"/>
              <w:rPr>
                <w:b/>
                <w:bCs/>
                <w:color w:val="auto"/>
                <w:sz w:val="21"/>
                <w:szCs w:val="21"/>
              </w:rPr>
            </w:pPr>
            <w:r>
              <w:rPr>
                <w:rFonts w:hint="eastAsia"/>
                <w:b/>
                <w:bCs/>
                <w:color w:val="auto"/>
                <w:sz w:val="21"/>
                <w:szCs w:val="21"/>
              </w:rPr>
              <w:t>表4-</w:t>
            </w:r>
            <w:r>
              <w:rPr>
                <w:rFonts w:hint="eastAsia"/>
                <w:b/>
                <w:bCs/>
                <w:color w:val="auto"/>
                <w:sz w:val="21"/>
                <w:szCs w:val="21"/>
                <w:lang w:val="en-US" w:eastAsia="zh-CN"/>
              </w:rPr>
              <w:t xml:space="preserve">10  </w:t>
            </w:r>
            <w:r>
              <w:rPr>
                <w:rFonts w:hint="eastAsia"/>
                <w:b/>
                <w:bCs/>
                <w:color w:val="auto"/>
                <w:sz w:val="21"/>
                <w:szCs w:val="21"/>
              </w:rPr>
              <w:t>本项目废气监测要求一览表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80"/>
              <w:gridCol w:w="2103"/>
              <w:gridCol w:w="1149"/>
              <w:gridCol w:w="2806"/>
            </w:tblGrid>
            <w:tr w14:paraId="17210B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3" w:type="pct"/>
                  <w:noWrap w:val="0"/>
                  <w:vAlign w:val="center"/>
                </w:tcPr>
                <w:p w14:paraId="1D3E61EA">
                  <w:pPr>
                    <w:pStyle w:val="6"/>
                    <w:spacing w:after="0"/>
                    <w:ind w:left="0" w:leftChars="0" w:firstLine="0" w:firstLineChars="0"/>
                    <w:jc w:val="center"/>
                    <w:rPr>
                      <w:color w:val="auto"/>
                      <w:sz w:val="21"/>
                      <w:szCs w:val="21"/>
                    </w:rPr>
                  </w:pPr>
                  <w:r>
                    <w:rPr>
                      <w:rFonts w:hint="eastAsia"/>
                      <w:color w:val="auto"/>
                      <w:sz w:val="21"/>
                      <w:szCs w:val="21"/>
                    </w:rPr>
                    <w:t>序号</w:t>
                  </w:r>
                </w:p>
              </w:tc>
              <w:tc>
                <w:tcPr>
                  <w:tcW w:w="742" w:type="pct"/>
                  <w:noWrap w:val="0"/>
                  <w:vAlign w:val="center"/>
                </w:tcPr>
                <w:p w14:paraId="5DA37930">
                  <w:pPr>
                    <w:pStyle w:val="6"/>
                    <w:spacing w:after="0"/>
                    <w:ind w:left="0" w:leftChars="0" w:firstLine="0" w:firstLineChars="0"/>
                    <w:jc w:val="center"/>
                    <w:rPr>
                      <w:color w:val="auto"/>
                      <w:sz w:val="21"/>
                      <w:szCs w:val="21"/>
                    </w:rPr>
                  </w:pPr>
                  <w:r>
                    <w:rPr>
                      <w:rFonts w:hint="eastAsia"/>
                      <w:color w:val="auto"/>
                      <w:sz w:val="21"/>
                      <w:szCs w:val="21"/>
                    </w:rPr>
                    <w:t>监测点位</w:t>
                  </w:r>
                </w:p>
              </w:tc>
              <w:tc>
                <w:tcPr>
                  <w:tcW w:w="1323" w:type="pct"/>
                  <w:noWrap w:val="0"/>
                  <w:vAlign w:val="center"/>
                </w:tcPr>
                <w:p w14:paraId="1EA51963">
                  <w:pPr>
                    <w:pStyle w:val="6"/>
                    <w:spacing w:after="0"/>
                    <w:ind w:left="0" w:leftChars="0" w:firstLine="0" w:firstLineChars="0"/>
                    <w:jc w:val="center"/>
                    <w:rPr>
                      <w:color w:val="auto"/>
                      <w:sz w:val="21"/>
                      <w:szCs w:val="21"/>
                    </w:rPr>
                  </w:pPr>
                  <w:r>
                    <w:rPr>
                      <w:rFonts w:hint="eastAsia"/>
                      <w:color w:val="auto"/>
                      <w:sz w:val="21"/>
                      <w:szCs w:val="21"/>
                    </w:rPr>
                    <w:t>监测因子</w:t>
                  </w:r>
                </w:p>
              </w:tc>
              <w:tc>
                <w:tcPr>
                  <w:tcW w:w="723" w:type="pct"/>
                  <w:noWrap w:val="0"/>
                  <w:vAlign w:val="center"/>
                </w:tcPr>
                <w:p w14:paraId="04A61D62">
                  <w:pPr>
                    <w:pStyle w:val="6"/>
                    <w:spacing w:after="0"/>
                    <w:ind w:left="0" w:leftChars="0" w:firstLine="0" w:firstLineChars="0"/>
                    <w:jc w:val="center"/>
                    <w:rPr>
                      <w:color w:val="auto"/>
                      <w:sz w:val="21"/>
                      <w:szCs w:val="21"/>
                    </w:rPr>
                  </w:pPr>
                  <w:r>
                    <w:rPr>
                      <w:rFonts w:hint="eastAsia"/>
                      <w:color w:val="auto"/>
                      <w:sz w:val="21"/>
                      <w:szCs w:val="21"/>
                    </w:rPr>
                    <w:t>监测频次</w:t>
                  </w:r>
                </w:p>
              </w:tc>
              <w:tc>
                <w:tcPr>
                  <w:tcW w:w="1766" w:type="pct"/>
                  <w:noWrap w:val="0"/>
                  <w:vAlign w:val="center"/>
                </w:tcPr>
                <w:p w14:paraId="1DA4E5EE">
                  <w:pPr>
                    <w:pStyle w:val="6"/>
                    <w:spacing w:after="0"/>
                    <w:ind w:left="0" w:leftChars="0" w:firstLine="0" w:firstLineChars="0"/>
                    <w:jc w:val="center"/>
                    <w:rPr>
                      <w:color w:val="auto"/>
                      <w:sz w:val="21"/>
                      <w:szCs w:val="21"/>
                    </w:rPr>
                  </w:pPr>
                  <w:r>
                    <w:rPr>
                      <w:rFonts w:hint="eastAsia"/>
                      <w:color w:val="auto"/>
                      <w:sz w:val="21"/>
                      <w:szCs w:val="21"/>
                    </w:rPr>
                    <w:t>执行标准</w:t>
                  </w:r>
                </w:p>
              </w:tc>
            </w:tr>
            <w:tr w14:paraId="2A6B7A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443" w:type="pct"/>
                  <w:noWrap w:val="0"/>
                  <w:vAlign w:val="center"/>
                </w:tcPr>
                <w:p w14:paraId="6D6C90AA">
                  <w:pPr>
                    <w:pStyle w:val="6"/>
                    <w:numPr>
                      <w:ilvl w:val="0"/>
                      <w:numId w:val="12"/>
                    </w:numPr>
                    <w:spacing w:after="0"/>
                    <w:ind w:left="0" w:leftChars="0" w:firstLine="0" w:firstLineChars="0"/>
                    <w:jc w:val="center"/>
                    <w:rPr>
                      <w:color w:val="auto"/>
                      <w:sz w:val="21"/>
                      <w:szCs w:val="21"/>
                    </w:rPr>
                  </w:pPr>
                </w:p>
              </w:tc>
              <w:tc>
                <w:tcPr>
                  <w:tcW w:w="742" w:type="pct"/>
                  <w:noWrap w:val="0"/>
                  <w:vAlign w:val="center"/>
                </w:tcPr>
                <w:p w14:paraId="357CD6AF">
                  <w:pPr>
                    <w:pStyle w:val="6"/>
                    <w:spacing w:after="0"/>
                    <w:ind w:left="0" w:leftChars="0" w:firstLine="0" w:firstLineChars="0"/>
                    <w:jc w:val="center"/>
                    <w:rPr>
                      <w:color w:val="auto"/>
                      <w:sz w:val="21"/>
                      <w:szCs w:val="21"/>
                    </w:rPr>
                  </w:pPr>
                  <w:r>
                    <w:rPr>
                      <w:rFonts w:hint="eastAsia"/>
                      <w:color w:val="auto"/>
                      <w:sz w:val="21"/>
                      <w:szCs w:val="21"/>
                    </w:rPr>
                    <w:t>DA001</w:t>
                  </w:r>
                </w:p>
              </w:tc>
              <w:tc>
                <w:tcPr>
                  <w:tcW w:w="1323" w:type="pct"/>
                  <w:noWrap w:val="0"/>
                  <w:vAlign w:val="center"/>
                </w:tcPr>
                <w:p w14:paraId="6511D427">
                  <w:pPr>
                    <w:pStyle w:val="6"/>
                    <w:spacing w:after="0"/>
                    <w:ind w:left="0" w:leftChars="0" w:firstLine="0" w:firstLineChars="0"/>
                    <w:jc w:val="center"/>
                    <w:rPr>
                      <w:rFonts w:hint="eastAsia" w:eastAsia="宋体"/>
                      <w:color w:val="auto"/>
                      <w:sz w:val="21"/>
                      <w:szCs w:val="21"/>
                      <w:lang w:val="en-US" w:eastAsia="zh-CN"/>
                    </w:rPr>
                  </w:pPr>
                  <w:r>
                    <w:rPr>
                      <w:rFonts w:hint="eastAsia"/>
                      <w:color w:val="auto"/>
                      <w:sz w:val="21"/>
                      <w:szCs w:val="21"/>
                      <w:lang w:val="en-US" w:eastAsia="zh-CN"/>
                    </w:rPr>
                    <w:t>非甲烷总烃</w:t>
                  </w:r>
                </w:p>
              </w:tc>
              <w:tc>
                <w:tcPr>
                  <w:tcW w:w="723" w:type="pct"/>
                  <w:noWrap w:val="0"/>
                  <w:vAlign w:val="center"/>
                </w:tcPr>
                <w:p w14:paraId="15997F9D">
                  <w:pPr>
                    <w:pStyle w:val="6"/>
                    <w:spacing w:after="0"/>
                    <w:ind w:left="0" w:leftChars="0" w:firstLine="0" w:firstLineChars="0"/>
                    <w:jc w:val="center"/>
                    <w:rPr>
                      <w:color w:val="auto"/>
                      <w:sz w:val="21"/>
                      <w:szCs w:val="21"/>
                    </w:rPr>
                  </w:pPr>
                  <w:r>
                    <w:rPr>
                      <w:rFonts w:hint="eastAsia"/>
                      <w:color w:val="auto"/>
                      <w:sz w:val="21"/>
                      <w:szCs w:val="21"/>
                    </w:rPr>
                    <w:t>1次/年</w:t>
                  </w:r>
                </w:p>
              </w:tc>
              <w:tc>
                <w:tcPr>
                  <w:tcW w:w="1766" w:type="pct"/>
                  <w:vMerge w:val="restart"/>
                  <w:noWrap w:val="0"/>
                  <w:vAlign w:val="center"/>
                </w:tcPr>
                <w:p w14:paraId="352B7581">
                  <w:pPr>
                    <w:pStyle w:val="6"/>
                    <w:spacing w:after="0"/>
                    <w:ind w:left="0" w:leftChars="0" w:firstLine="0" w:firstLineChars="0"/>
                    <w:jc w:val="center"/>
                    <w:rPr>
                      <w:rFonts w:hint="eastAsia"/>
                      <w:color w:val="auto"/>
                      <w:sz w:val="21"/>
                      <w:szCs w:val="21"/>
                    </w:rPr>
                  </w:pPr>
                  <w:r>
                    <w:rPr>
                      <w:rFonts w:hint="eastAsia"/>
                      <w:color w:val="auto"/>
                      <w:sz w:val="21"/>
                      <w:szCs w:val="21"/>
                    </w:rPr>
                    <w:t>《玻璃工业大气污染物排放标准》（GB26453-2022）</w:t>
                  </w:r>
                </w:p>
              </w:tc>
            </w:tr>
            <w:tr w14:paraId="79BB6E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443" w:type="pct"/>
                  <w:noWrap w:val="0"/>
                  <w:vAlign w:val="center"/>
                </w:tcPr>
                <w:p w14:paraId="7EE9A107">
                  <w:pPr>
                    <w:pStyle w:val="6"/>
                    <w:numPr>
                      <w:ilvl w:val="0"/>
                      <w:numId w:val="12"/>
                    </w:numPr>
                    <w:spacing w:after="0"/>
                    <w:ind w:left="0" w:leftChars="0" w:firstLine="0" w:firstLineChars="0"/>
                    <w:jc w:val="center"/>
                    <w:rPr>
                      <w:rFonts w:hint="eastAsia"/>
                      <w:color w:val="auto"/>
                      <w:sz w:val="21"/>
                      <w:szCs w:val="21"/>
                    </w:rPr>
                  </w:pPr>
                </w:p>
              </w:tc>
              <w:tc>
                <w:tcPr>
                  <w:tcW w:w="742" w:type="pct"/>
                  <w:noWrap w:val="0"/>
                  <w:vAlign w:val="center"/>
                </w:tcPr>
                <w:p w14:paraId="0B0CEB1B">
                  <w:pPr>
                    <w:pStyle w:val="6"/>
                    <w:spacing w:after="0"/>
                    <w:ind w:left="0" w:leftChars="0" w:firstLine="0" w:firstLineChars="0"/>
                    <w:jc w:val="center"/>
                    <w:rPr>
                      <w:rFonts w:hint="eastAsia"/>
                      <w:color w:val="auto"/>
                      <w:sz w:val="21"/>
                      <w:szCs w:val="21"/>
                    </w:rPr>
                  </w:pPr>
                  <w:r>
                    <w:rPr>
                      <w:rFonts w:hint="eastAsia"/>
                      <w:color w:val="auto"/>
                      <w:sz w:val="21"/>
                      <w:szCs w:val="21"/>
                    </w:rPr>
                    <w:t>厂区内</w:t>
                  </w:r>
                </w:p>
              </w:tc>
              <w:tc>
                <w:tcPr>
                  <w:tcW w:w="1323" w:type="pct"/>
                  <w:noWrap w:val="0"/>
                  <w:vAlign w:val="center"/>
                </w:tcPr>
                <w:p w14:paraId="3731EFB7">
                  <w:pPr>
                    <w:pStyle w:val="6"/>
                    <w:spacing w:after="0"/>
                    <w:ind w:left="0" w:leftChars="0" w:firstLine="0" w:firstLineChars="0"/>
                    <w:jc w:val="center"/>
                    <w:rPr>
                      <w:rFonts w:hint="eastAsia"/>
                      <w:color w:val="auto"/>
                      <w:sz w:val="21"/>
                      <w:szCs w:val="21"/>
                      <w:lang w:val="en-US" w:eastAsia="zh-CN"/>
                    </w:rPr>
                  </w:pPr>
                  <w:r>
                    <w:rPr>
                      <w:rFonts w:hint="eastAsia"/>
                      <w:color w:val="auto"/>
                      <w:sz w:val="21"/>
                      <w:szCs w:val="21"/>
                    </w:rPr>
                    <w:t>非甲烷总烃</w:t>
                  </w:r>
                </w:p>
              </w:tc>
              <w:tc>
                <w:tcPr>
                  <w:tcW w:w="723" w:type="pct"/>
                  <w:noWrap w:val="0"/>
                  <w:vAlign w:val="center"/>
                </w:tcPr>
                <w:p w14:paraId="4056BBED">
                  <w:pPr>
                    <w:pStyle w:val="6"/>
                    <w:spacing w:after="0"/>
                    <w:ind w:left="0" w:leftChars="0" w:firstLine="0" w:firstLineChars="0"/>
                    <w:jc w:val="center"/>
                    <w:rPr>
                      <w:rFonts w:hint="eastAsia"/>
                      <w:color w:val="auto"/>
                      <w:sz w:val="21"/>
                      <w:szCs w:val="21"/>
                    </w:rPr>
                  </w:pPr>
                  <w:r>
                    <w:rPr>
                      <w:rFonts w:hint="eastAsia"/>
                      <w:color w:val="auto"/>
                      <w:sz w:val="21"/>
                      <w:szCs w:val="21"/>
                    </w:rPr>
                    <w:t>1次/</w:t>
                  </w:r>
                  <w:r>
                    <w:rPr>
                      <w:rFonts w:hint="eastAsia"/>
                      <w:color w:val="auto"/>
                      <w:sz w:val="21"/>
                      <w:szCs w:val="21"/>
                      <w:lang w:val="en-US" w:eastAsia="zh-CN"/>
                    </w:rPr>
                    <w:t>年</w:t>
                  </w:r>
                </w:p>
              </w:tc>
              <w:tc>
                <w:tcPr>
                  <w:tcW w:w="1766" w:type="pct"/>
                  <w:vMerge w:val="continue"/>
                  <w:noWrap w:val="0"/>
                  <w:vAlign w:val="center"/>
                </w:tcPr>
                <w:p w14:paraId="6E0D1120">
                  <w:pPr>
                    <w:pStyle w:val="6"/>
                    <w:spacing w:after="0"/>
                    <w:ind w:left="0" w:leftChars="0" w:firstLine="0" w:firstLineChars="0"/>
                    <w:jc w:val="center"/>
                    <w:rPr>
                      <w:rFonts w:hint="eastAsia"/>
                      <w:color w:val="auto"/>
                      <w:sz w:val="21"/>
                      <w:szCs w:val="21"/>
                    </w:rPr>
                  </w:pPr>
                </w:p>
              </w:tc>
            </w:tr>
            <w:tr w14:paraId="278C04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443" w:type="pct"/>
                  <w:noWrap w:val="0"/>
                  <w:vAlign w:val="center"/>
                </w:tcPr>
                <w:p w14:paraId="2942FC0C">
                  <w:pPr>
                    <w:pStyle w:val="6"/>
                    <w:numPr>
                      <w:ilvl w:val="0"/>
                      <w:numId w:val="12"/>
                    </w:numPr>
                    <w:spacing w:after="0"/>
                    <w:ind w:left="0" w:leftChars="0" w:firstLine="0" w:firstLineChars="0"/>
                    <w:jc w:val="center"/>
                    <w:rPr>
                      <w:rFonts w:hint="eastAsia" w:eastAsia="宋体"/>
                      <w:color w:val="auto"/>
                      <w:sz w:val="21"/>
                      <w:szCs w:val="21"/>
                      <w:lang w:eastAsia="zh-CN"/>
                    </w:rPr>
                  </w:pPr>
                </w:p>
              </w:tc>
              <w:tc>
                <w:tcPr>
                  <w:tcW w:w="742" w:type="pct"/>
                  <w:noWrap w:val="0"/>
                  <w:vAlign w:val="center"/>
                </w:tcPr>
                <w:p w14:paraId="5B0D712E">
                  <w:pPr>
                    <w:pStyle w:val="6"/>
                    <w:spacing w:after="0"/>
                    <w:ind w:left="0" w:leftChars="0" w:firstLine="0" w:firstLineChars="0"/>
                    <w:jc w:val="center"/>
                    <w:rPr>
                      <w:color w:val="auto"/>
                      <w:sz w:val="21"/>
                      <w:szCs w:val="21"/>
                    </w:rPr>
                  </w:pPr>
                  <w:r>
                    <w:rPr>
                      <w:rFonts w:hint="eastAsia"/>
                      <w:color w:val="auto"/>
                      <w:sz w:val="21"/>
                      <w:szCs w:val="21"/>
                    </w:rPr>
                    <w:t>厂界</w:t>
                  </w:r>
                </w:p>
              </w:tc>
              <w:tc>
                <w:tcPr>
                  <w:tcW w:w="1323" w:type="pct"/>
                  <w:noWrap w:val="0"/>
                  <w:vAlign w:val="center"/>
                </w:tcPr>
                <w:p w14:paraId="4118BB15">
                  <w:pPr>
                    <w:pStyle w:val="6"/>
                    <w:spacing w:after="0"/>
                    <w:ind w:left="0" w:leftChars="0" w:firstLine="0" w:firstLineChars="0"/>
                    <w:jc w:val="center"/>
                    <w:rPr>
                      <w:rFonts w:hint="default" w:eastAsia="宋体"/>
                      <w:color w:val="auto"/>
                      <w:kern w:val="0"/>
                      <w:sz w:val="21"/>
                      <w:szCs w:val="21"/>
                      <w:lang w:val="en-US" w:eastAsia="zh-CN" w:bidi="ar-SA"/>
                    </w:rPr>
                  </w:pPr>
                  <w:r>
                    <w:rPr>
                      <w:rFonts w:hint="eastAsia" w:eastAsia="宋体"/>
                      <w:color w:val="auto"/>
                      <w:sz w:val="21"/>
                      <w:szCs w:val="21"/>
                      <w:lang w:val="en-US" w:eastAsia="zh-CN"/>
                    </w:rPr>
                    <w:t>非甲烷总烃</w:t>
                  </w:r>
                </w:p>
              </w:tc>
              <w:tc>
                <w:tcPr>
                  <w:tcW w:w="723" w:type="pct"/>
                  <w:noWrap w:val="0"/>
                  <w:vAlign w:val="center"/>
                </w:tcPr>
                <w:p w14:paraId="41133B7E">
                  <w:pPr>
                    <w:pStyle w:val="6"/>
                    <w:spacing w:after="0"/>
                    <w:ind w:left="0" w:leftChars="0" w:firstLine="0" w:firstLineChars="0"/>
                    <w:jc w:val="center"/>
                    <w:rPr>
                      <w:rFonts w:hint="eastAsia"/>
                      <w:color w:val="auto"/>
                      <w:kern w:val="0"/>
                      <w:sz w:val="21"/>
                      <w:szCs w:val="21"/>
                      <w:lang w:val="en-US" w:eastAsia="zh-CN" w:bidi="ar-SA"/>
                    </w:rPr>
                  </w:pPr>
                  <w:r>
                    <w:rPr>
                      <w:rFonts w:hint="eastAsia"/>
                      <w:color w:val="auto"/>
                      <w:sz w:val="21"/>
                      <w:szCs w:val="21"/>
                    </w:rPr>
                    <w:t>1次/年</w:t>
                  </w:r>
                </w:p>
              </w:tc>
              <w:tc>
                <w:tcPr>
                  <w:tcW w:w="1766" w:type="pct"/>
                  <w:noWrap w:val="0"/>
                  <w:vAlign w:val="center"/>
                </w:tcPr>
                <w:p w14:paraId="793C6094">
                  <w:pPr>
                    <w:pStyle w:val="6"/>
                    <w:spacing w:after="0"/>
                    <w:ind w:left="0" w:leftChars="0" w:firstLine="0" w:firstLineChars="0"/>
                    <w:jc w:val="center"/>
                    <w:rPr>
                      <w:rFonts w:hint="eastAsia"/>
                      <w:color w:val="auto"/>
                      <w:sz w:val="21"/>
                      <w:szCs w:val="21"/>
                    </w:rPr>
                  </w:pPr>
                  <w:r>
                    <w:rPr>
                      <w:rFonts w:hint="eastAsia"/>
                      <w:color w:val="auto"/>
                      <w:sz w:val="21"/>
                      <w:szCs w:val="21"/>
                    </w:rPr>
                    <w:t>《大气污染物综合排放标准》</w:t>
                  </w:r>
                </w:p>
                <w:p w14:paraId="4BF83033">
                  <w:pPr>
                    <w:pStyle w:val="6"/>
                    <w:spacing w:after="0"/>
                    <w:ind w:left="0" w:leftChars="0" w:firstLine="0" w:firstLineChars="0"/>
                    <w:jc w:val="center"/>
                    <w:rPr>
                      <w:color w:val="auto"/>
                      <w:sz w:val="21"/>
                      <w:szCs w:val="21"/>
                    </w:rPr>
                  </w:pPr>
                  <w:r>
                    <w:rPr>
                      <w:rFonts w:hint="eastAsia"/>
                      <w:color w:val="auto"/>
                      <w:sz w:val="21"/>
                      <w:szCs w:val="21"/>
                      <w:lang w:eastAsia="zh-CN"/>
                    </w:rPr>
                    <w:t>(</w:t>
                  </w:r>
                  <w:r>
                    <w:rPr>
                      <w:rFonts w:hint="eastAsia"/>
                      <w:color w:val="auto"/>
                      <w:sz w:val="21"/>
                      <w:szCs w:val="21"/>
                    </w:rPr>
                    <w:t>DB32/4041-2021</w:t>
                  </w:r>
                  <w:r>
                    <w:rPr>
                      <w:rFonts w:hint="eastAsia"/>
                      <w:color w:val="auto"/>
                      <w:sz w:val="21"/>
                      <w:szCs w:val="21"/>
                      <w:lang w:eastAsia="zh-CN"/>
                    </w:rPr>
                    <w:t>)</w:t>
                  </w:r>
                </w:p>
              </w:tc>
            </w:tr>
          </w:tbl>
          <w:p w14:paraId="3BA00CB2">
            <w:pPr>
              <w:pStyle w:val="2"/>
              <w:keepNext w:val="0"/>
              <w:keepLines w:val="0"/>
              <w:pageBreakBefore w:val="0"/>
              <w:widowControl w:val="0"/>
              <w:kinsoku/>
              <w:wordWrap/>
              <w:overflowPunct/>
              <w:topLinePunct w:val="0"/>
              <w:bidi w:val="0"/>
              <w:spacing w:line="360" w:lineRule="auto"/>
              <w:ind w:firstLine="480" w:firstLineChars="200"/>
              <w:jc w:val="both"/>
              <w:rPr>
                <w:b w:val="0"/>
                <w:bCs/>
                <w:color w:val="auto"/>
              </w:rPr>
            </w:pPr>
            <w:r>
              <w:rPr>
                <w:rFonts w:hint="eastAsia" w:ascii="Times New Roman" w:hAnsi="Times New Roman" w:cs="Times New Roman"/>
                <w:b w:val="0"/>
                <w:bCs/>
                <w:color w:val="auto"/>
                <w:lang w:val="en-US" w:eastAsia="zh-CN"/>
              </w:rPr>
              <w:t>7</w:t>
            </w:r>
            <w:r>
              <w:rPr>
                <w:rFonts w:ascii="Times New Roman" w:hAnsi="Times New Roman" w:cs="Times New Roman"/>
                <w:b w:val="0"/>
                <w:bCs/>
                <w:color w:val="auto"/>
              </w:rPr>
              <w:t>、</w:t>
            </w:r>
            <w:r>
              <w:rPr>
                <w:rFonts w:hint="eastAsia" w:ascii="Times New Roman" w:hAnsi="Times New Roman" w:cs="Times New Roman"/>
                <w:b w:val="0"/>
                <w:bCs/>
                <w:color w:val="auto"/>
              </w:rPr>
              <w:t>大气环境影响分析结论</w:t>
            </w:r>
          </w:p>
          <w:p w14:paraId="7644BD93">
            <w:pPr>
              <w:pStyle w:val="2"/>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b w:val="0"/>
                <w:bCs/>
                <w:color w:val="auto"/>
              </w:rPr>
            </w:pPr>
            <w:r>
              <w:rPr>
                <w:rFonts w:hint="eastAsia" w:ascii="Times New Roman" w:hAnsi="Times New Roman"/>
                <w:b w:val="0"/>
                <w:bCs/>
                <w:color w:val="auto"/>
              </w:rPr>
              <w:t>本项目营运期</w:t>
            </w:r>
            <w:r>
              <w:rPr>
                <w:rFonts w:hint="eastAsia" w:ascii="Times New Roman" w:hAnsi="Times New Roman"/>
                <w:b w:val="0"/>
                <w:bCs/>
                <w:color w:val="auto"/>
                <w:lang w:val="en-US" w:eastAsia="zh-CN"/>
              </w:rPr>
              <w:t>生产车间</w:t>
            </w:r>
            <w:r>
              <w:rPr>
                <w:rFonts w:hint="eastAsia"/>
                <w:b w:val="0"/>
                <w:bCs w:val="0"/>
                <w:color w:val="auto"/>
                <w:sz w:val="24"/>
                <w:lang w:val="en-US" w:eastAsia="zh-CN"/>
              </w:rPr>
              <w:t>灌装合胶、密封、合片、加热</w:t>
            </w:r>
            <w:r>
              <w:rPr>
                <w:rFonts w:hint="eastAsia" w:ascii="Times New Roman" w:hAnsi="Times New Roman"/>
                <w:b w:val="0"/>
                <w:bCs/>
                <w:color w:val="auto"/>
                <w:lang w:val="en-US" w:eastAsia="zh-CN"/>
              </w:rPr>
              <w:t>工序产生的非甲烷总烃采用集气罩收集，收集后废气一起经二级活性炭吸附装置处理，处理后废气经15米高排气筒（DA001）排放</w:t>
            </w:r>
            <w:r>
              <w:rPr>
                <w:rFonts w:hint="eastAsia" w:ascii="Times New Roman" w:hAnsi="Times New Roman"/>
                <w:b w:val="0"/>
                <w:bCs/>
                <w:color w:val="auto"/>
              </w:rPr>
              <w:t>。本项目</w:t>
            </w:r>
            <w:r>
              <w:rPr>
                <w:rFonts w:hint="eastAsia" w:ascii="Times New Roman" w:hAnsi="Times New Roman"/>
                <w:b w:val="0"/>
                <w:bCs/>
                <w:color w:val="auto"/>
                <w:lang w:val="en-US" w:eastAsia="zh-CN"/>
              </w:rPr>
              <w:t>非甲烷总烃</w:t>
            </w:r>
            <w:r>
              <w:rPr>
                <w:rFonts w:hint="eastAsia" w:ascii="Times New Roman" w:hAnsi="Times New Roman"/>
                <w:b w:val="0"/>
                <w:bCs/>
                <w:color w:val="auto"/>
              </w:rPr>
              <w:t>经处理后能达到《玻璃工业大气污染物排放标准》（GB26453-2022）</w:t>
            </w:r>
            <w:r>
              <w:rPr>
                <w:rFonts w:hint="eastAsia" w:ascii="Times New Roman" w:hAnsi="Times New Roman"/>
                <w:b w:val="0"/>
                <w:bCs/>
                <w:color w:val="auto"/>
                <w:lang w:val="en-US" w:eastAsia="zh-CN"/>
              </w:rPr>
              <w:t>中非甲烷总烃的标准限值</w:t>
            </w:r>
            <w:r>
              <w:rPr>
                <w:rFonts w:hint="eastAsia" w:ascii="Times New Roman" w:hAnsi="Times New Roman"/>
                <w:b w:val="0"/>
                <w:bCs/>
                <w:color w:val="auto"/>
              </w:rPr>
              <w:t>。</w:t>
            </w:r>
            <w:r>
              <w:rPr>
                <w:rFonts w:ascii="Times New Roman" w:hAnsi="Times New Roman" w:cs="Times New Roman"/>
                <w:b w:val="0"/>
                <w:bCs/>
                <w:color w:val="auto"/>
              </w:rPr>
              <w:t>本项目</w:t>
            </w:r>
            <w:r>
              <w:rPr>
                <w:rFonts w:hint="eastAsia" w:ascii="Times New Roman" w:hAnsi="Times New Roman" w:cs="Times New Roman"/>
                <w:b w:val="0"/>
                <w:bCs/>
                <w:color w:val="auto"/>
                <w:lang w:val="en-US" w:eastAsia="zh-CN"/>
              </w:rPr>
              <w:t>以生产</w:t>
            </w:r>
            <w:r>
              <w:rPr>
                <w:rFonts w:ascii="Times New Roman" w:hAnsi="Times New Roman" w:cs="Times New Roman"/>
                <w:b w:val="0"/>
                <w:bCs/>
                <w:color w:val="auto"/>
              </w:rPr>
              <w:t>厂房边界</w:t>
            </w:r>
            <w:r>
              <w:rPr>
                <w:rFonts w:hint="eastAsia" w:ascii="Times New Roman" w:hAnsi="Times New Roman" w:cs="Times New Roman"/>
                <w:b w:val="0"/>
                <w:bCs/>
                <w:color w:val="auto"/>
              </w:rPr>
              <w:t>为起点设置</w:t>
            </w:r>
            <w:r>
              <w:rPr>
                <w:rFonts w:hint="eastAsia" w:ascii="Times New Roman" w:hAnsi="Times New Roman" w:cs="Times New Roman"/>
                <w:b w:val="0"/>
                <w:bCs/>
                <w:color w:val="auto"/>
                <w:lang w:val="en-US" w:eastAsia="zh-CN"/>
              </w:rPr>
              <w:t>50m</w:t>
            </w:r>
            <w:r>
              <w:rPr>
                <w:rFonts w:ascii="Times New Roman" w:hAnsi="Times New Roman" w:cs="Times New Roman"/>
                <w:b w:val="0"/>
                <w:bCs/>
                <w:color w:val="auto"/>
              </w:rPr>
              <w:t>卫生防护距离</w:t>
            </w:r>
            <w:r>
              <w:rPr>
                <w:rFonts w:hint="eastAsia" w:ascii="Times New Roman" w:hAnsi="Times New Roman"/>
                <w:b w:val="0"/>
                <w:bCs/>
                <w:color w:val="auto"/>
              </w:rPr>
              <w:t>，本项目卫生防护距离范围内目前无居民、学校、医院等环境保护敏感目标，满足卫生防护距离要求。</w:t>
            </w:r>
          </w:p>
          <w:p w14:paraId="529C257D">
            <w:pPr>
              <w:pStyle w:val="2"/>
              <w:keepNext w:val="0"/>
              <w:keepLines w:val="0"/>
              <w:pageBreakBefore w:val="0"/>
              <w:widowControl w:val="0"/>
              <w:kinsoku/>
              <w:wordWrap/>
              <w:overflowPunct/>
              <w:topLinePunct w:val="0"/>
              <w:bidi w:val="0"/>
              <w:spacing w:line="360" w:lineRule="auto"/>
              <w:ind w:firstLine="480" w:firstLineChars="200"/>
              <w:jc w:val="both"/>
              <w:rPr>
                <w:rFonts w:ascii="Times New Roman" w:hAnsi="Times New Roman"/>
                <w:color w:val="auto"/>
              </w:rPr>
            </w:pPr>
            <w:r>
              <w:rPr>
                <w:rFonts w:hint="eastAsia" w:ascii="Times New Roman" w:hAnsi="Times New Roman"/>
                <w:b w:val="0"/>
                <w:bCs/>
                <w:color w:val="auto"/>
              </w:rPr>
              <w:t>综上分析，本项目营运期排放的各类废气污染物对周边大气环境影响不大，在可接受范围之内。</w:t>
            </w:r>
          </w:p>
          <w:p w14:paraId="42C8DDAC">
            <w:pPr>
              <w:pStyle w:val="48"/>
              <w:keepNext w:val="0"/>
              <w:keepLines w:val="0"/>
              <w:pageBreakBefore w:val="0"/>
              <w:widowControl w:val="0"/>
              <w:kinsoku/>
              <w:wordWrap/>
              <w:overflowPunct/>
              <w:topLinePunct w:val="0"/>
              <w:bidi w:val="0"/>
              <w:adjustRightInd/>
              <w:snapToGrid w:val="0"/>
              <w:spacing w:line="360" w:lineRule="auto"/>
              <w:ind w:left="0" w:right="0" w:firstLineChars="200"/>
              <w:jc w:val="both"/>
              <w:rPr>
                <w:b/>
                <w:color w:val="auto"/>
                <w:szCs w:val="24"/>
              </w:rPr>
            </w:pPr>
            <w:r>
              <w:rPr>
                <w:rFonts w:hint="eastAsia"/>
                <w:b/>
                <w:color w:val="auto"/>
                <w:szCs w:val="24"/>
              </w:rPr>
              <w:t>二</w:t>
            </w:r>
            <w:r>
              <w:rPr>
                <w:b/>
                <w:color w:val="auto"/>
                <w:szCs w:val="24"/>
              </w:rPr>
              <w:t>、废</w:t>
            </w:r>
            <w:r>
              <w:rPr>
                <w:rFonts w:hint="eastAsia"/>
                <w:b/>
                <w:color w:val="auto"/>
                <w:szCs w:val="24"/>
              </w:rPr>
              <w:t>水</w:t>
            </w:r>
          </w:p>
          <w:p w14:paraId="676554B6">
            <w:pPr>
              <w:pStyle w:val="6"/>
              <w:keepNext w:val="0"/>
              <w:keepLines w:val="0"/>
              <w:pageBreakBefore w:val="0"/>
              <w:widowControl w:val="0"/>
              <w:kinsoku/>
              <w:wordWrap/>
              <w:overflowPunct/>
              <w:topLinePunct w:val="0"/>
              <w:bidi w:val="0"/>
              <w:spacing w:after="0" w:line="360" w:lineRule="auto"/>
              <w:ind w:left="0" w:leftChars="0" w:firstLine="480"/>
              <w:jc w:val="both"/>
              <w:rPr>
                <w:color w:val="auto"/>
              </w:rPr>
            </w:pPr>
            <w:r>
              <w:rPr>
                <w:rFonts w:hint="eastAsia"/>
                <w:color w:val="auto"/>
              </w:rPr>
              <w:t>1、废水污染源强分析</w:t>
            </w:r>
          </w:p>
          <w:p w14:paraId="5F6536A5">
            <w:pPr>
              <w:pStyle w:val="15"/>
              <w:keepNext w:val="0"/>
              <w:keepLines w:val="0"/>
              <w:pageBreakBefore w:val="0"/>
              <w:widowControl w:val="0"/>
              <w:kinsoku/>
              <w:wordWrap/>
              <w:overflowPunct/>
              <w:topLinePunct w:val="0"/>
              <w:bidi w:val="0"/>
              <w:spacing w:line="360" w:lineRule="auto"/>
              <w:ind w:firstLine="480" w:firstLineChars="200"/>
              <w:jc w:val="both"/>
              <w:rPr>
                <w:rFonts w:hint="default" w:ascii="Times New Roman" w:hAnsi="Times New Roman"/>
                <w:b w:val="0"/>
                <w:bCs w:val="0"/>
                <w:color w:val="auto"/>
                <w:sz w:val="24"/>
                <w:lang w:val="en-US" w:eastAsia="zh-CN"/>
              </w:rPr>
            </w:pPr>
            <w:r>
              <w:rPr>
                <w:rFonts w:hint="eastAsia" w:ascii="Times New Roman" w:hAnsi="Times New Roman"/>
                <w:color w:val="auto"/>
                <w:sz w:val="24"/>
                <w:lang w:val="en-US" w:eastAsia="zh-CN"/>
              </w:rPr>
              <w:t>本项目主要用水为磨边、钻孔、清洗、生活用水。磨边废水、钻孔废水和清洗废水经沉淀后循环使用，不外排，外排废水主要为员工生活污水；本项目定员30人，参照《建筑给水排水设计标准》（GB50015-2019），生活用水按每人用水量50L/d计，全年按300天计，则生活用水使用量为450t/a</w:t>
            </w:r>
            <w:r>
              <w:rPr>
                <w:rFonts w:hint="default" w:ascii="Times New Roman" w:hAnsi="Times New Roman"/>
                <w:b w:val="0"/>
                <w:bCs w:val="0"/>
                <w:color w:val="auto"/>
                <w:sz w:val="24"/>
                <w:lang w:val="en-US" w:eastAsia="zh-CN"/>
              </w:rPr>
              <w:t>。</w:t>
            </w:r>
          </w:p>
          <w:p w14:paraId="4623D07B">
            <w:pPr>
              <w:pStyle w:val="6"/>
              <w:keepNext w:val="0"/>
              <w:keepLines w:val="0"/>
              <w:pageBreakBefore w:val="0"/>
              <w:widowControl w:val="0"/>
              <w:kinsoku/>
              <w:wordWrap/>
              <w:overflowPunct/>
              <w:topLinePunct w:val="0"/>
              <w:bidi w:val="0"/>
              <w:spacing w:after="0" w:line="360" w:lineRule="auto"/>
              <w:ind w:left="0" w:leftChars="0" w:firstLine="480"/>
              <w:jc w:val="both"/>
              <w:rPr>
                <w:rFonts w:hint="eastAsia"/>
                <w:color w:val="auto"/>
                <w:sz w:val="24"/>
                <w:lang w:val="en-US" w:eastAsia="zh-CN"/>
              </w:rPr>
            </w:pPr>
            <w:r>
              <w:rPr>
                <w:rFonts w:hint="eastAsia" w:ascii="Times New Roman" w:hAnsi="Times New Roman"/>
                <w:color w:val="auto"/>
                <w:sz w:val="24"/>
                <w:lang w:val="en-US" w:eastAsia="zh-CN"/>
              </w:rPr>
              <w:t>生活用水排水量按80%计算，则生活污水产生量为</w:t>
            </w:r>
            <w:r>
              <w:rPr>
                <w:rFonts w:hint="eastAsia"/>
                <w:color w:val="auto"/>
                <w:sz w:val="24"/>
                <w:lang w:val="en-US" w:eastAsia="zh-CN"/>
              </w:rPr>
              <w:t>360</w:t>
            </w:r>
            <w:r>
              <w:rPr>
                <w:rFonts w:hint="eastAsia" w:ascii="Times New Roman" w:hAnsi="Times New Roman"/>
                <w:color w:val="auto"/>
                <w:sz w:val="24"/>
                <w:lang w:val="en-US" w:eastAsia="zh-CN"/>
              </w:rPr>
              <w:t>m</w:t>
            </w:r>
            <w:r>
              <w:rPr>
                <w:rFonts w:hint="eastAsia" w:ascii="Times New Roman" w:hAnsi="Times New Roman"/>
                <w:color w:val="auto"/>
                <w:sz w:val="24"/>
                <w:vertAlign w:val="superscript"/>
                <w:lang w:val="en-US" w:eastAsia="zh-CN"/>
              </w:rPr>
              <w:t>3</w:t>
            </w:r>
            <w:r>
              <w:rPr>
                <w:rFonts w:hint="eastAsia" w:ascii="Times New Roman" w:hAnsi="Times New Roman"/>
                <w:color w:val="auto"/>
                <w:sz w:val="24"/>
                <w:lang w:val="en-US" w:eastAsia="zh-CN"/>
              </w:rPr>
              <w:t>/a</w:t>
            </w:r>
            <w:r>
              <w:rPr>
                <w:rFonts w:hint="eastAsia"/>
                <w:color w:val="auto"/>
                <w:sz w:val="24"/>
                <w:lang w:eastAsia="zh-CN"/>
              </w:rPr>
              <w:t>，</w:t>
            </w:r>
            <w:r>
              <w:rPr>
                <w:rFonts w:hint="eastAsia"/>
                <w:color w:val="auto"/>
                <w:sz w:val="24"/>
              </w:rPr>
              <w:t>生活</w:t>
            </w:r>
            <w:r>
              <w:rPr>
                <w:rFonts w:hint="eastAsia"/>
                <w:color w:val="auto"/>
                <w:sz w:val="24"/>
                <w:lang w:val="en-US" w:eastAsia="zh-CN"/>
              </w:rPr>
              <w:t>污</w:t>
            </w:r>
            <w:r>
              <w:rPr>
                <w:rFonts w:hint="eastAsia"/>
                <w:color w:val="auto"/>
                <w:sz w:val="24"/>
              </w:rPr>
              <w:t>水</w:t>
            </w:r>
            <w:r>
              <w:rPr>
                <w:rFonts w:hint="eastAsia"/>
                <w:color w:val="auto"/>
                <w:sz w:val="24"/>
                <w:lang w:val="en-US" w:eastAsia="zh-CN"/>
              </w:rPr>
              <w:t>经</w:t>
            </w:r>
            <w:r>
              <w:rPr>
                <w:rFonts w:hint="eastAsia"/>
                <w:color w:val="auto"/>
                <w:sz w:val="24"/>
              </w:rPr>
              <w:t>化粪池处理后接管至涟水经济开发区西区污水处理厂</w:t>
            </w:r>
            <w:r>
              <w:rPr>
                <w:rFonts w:hint="eastAsia"/>
                <w:color w:val="auto"/>
                <w:sz w:val="24"/>
                <w:lang w:val="en-US" w:eastAsia="zh-CN"/>
              </w:rPr>
              <w:t>集中处置。</w:t>
            </w:r>
          </w:p>
          <w:p w14:paraId="32596409">
            <w:pPr>
              <w:pStyle w:val="6"/>
              <w:spacing w:after="0" w:line="240" w:lineRule="auto"/>
              <w:ind w:left="0" w:leftChars="0" w:firstLine="0" w:firstLineChars="0"/>
              <w:jc w:val="center"/>
              <w:rPr>
                <w:rFonts w:hint="eastAsia"/>
                <w:b/>
                <w:bCs/>
                <w:color w:val="auto"/>
                <w:sz w:val="21"/>
                <w:szCs w:val="21"/>
              </w:rPr>
            </w:pPr>
            <w:r>
              <w:rPr>
                <w:rFonts w:hint="eastAsia"/>
                <w:b/>
                <w:bCs/>
                <w:color w:val="auto"/>
                <w:sz w:val="21"/>
                <w:szCs w:val="21"/>
              </w:rPr>
              <w:t>表4-</w:t>
            </w:r>
            <w:r>
              <w:rPr>
                <w:rFonts w:hint="eastAsia"/>
                <w:b/>
                <w:bCs/>
                <w:color w:val="auto"/>
                <w:sz w:val="21"/>
                <w:szCs w:val="21"/>
                <w:lang w:val="en-US" w:eastAsia="zh-CN"/>
              </w:rPr>
              <w:t xml:space="preserve">11  </w:t>
            </w:r>
            <w:r>
              <w:rPr>
                <w:rFonts w:hint="eastAsia"/>
                <w:b/>
                <w:bCs/>
                <w:color w:val="auto"/>
                <w:sz w:val="21"/>
                <w:szCs w:val="21"/>
              </w:rPr>
              <w:t>本项目废水产生及排放情况一览表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
              <w:gridCol w:w="853"/>
              <w:gridCol w:w="882"/>
              <w:gridCol w:w="910"/>
              <w:gridCol w:w="930"/>
              <w:gridCol w:w="950"/>
              <w:gridCol w:w="860"/>
              <w:gridCol w:w="900"/>
              <w:gridCol w:w="752"/>
            </w:tblGrid>
            <w:tr w14:paraId="246562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0" w:type="pct"/>
                  <w:vMerge w:val="restart"/>
                  <w:noWrap w:val="0"/>
                  <w:vAlign w:val="center"/>
                </w:tcPr>
                <w:p w14:paraId="741EEA5B">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废水类别</w:t>
                  </w:r>
                </w:p>
              </w:tc>
              <w:tc>
                <w:tcPr>
                  <w:tcW w:w="1664" w:type="pct"/>
                  <w:gridSpan w:val="3"/>
                  <w:noWrap w:val="0"/>
                  <w:vAlign w:val="center"/>
                </w:tcPr>
                <w:p w14:paraId="13482E5C">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污染物产生情况</w:t>
                  </w:r>
                </w:p>
              </w:tc>
              <w:tc>
                <w:tcPr>
                  <w:tcW w:w="585" w:type="pct"/>
                  <w:vMerge w:val="restart"/>
                  <w:noWrap w:val="0"/>
                  <w:vAlign w:val="center"/>
                </w:tcPr>
                <w:p w14:paraId="03D70235">
                  <w:pPr>
                    <w:pStyle w:val="6"/>
                    <w:keepNext w:val="0"/>
                    <w:keepLines w:val="0"/>
                    <w:pageBreakBefore w:val="0"/>
                    <w:widowControl w:val="0"/>
                    <w:tabs>
                      <w:tab w:val="left" w:pos="209"/>
                    </w:tabs>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治理措施</w:t>
                  </w:r>
                </w:p>
              </w:tc>
              <w:tc>
                <w:tcPr>
                  <w:tcW w:w="1705" w:type="pct"/>
                  <w:gridSpan w:val="3"/>
                  <w:noWrap w:val="0"/>
                  <w:vAlign w:val="center"/>
                </w:tcPr>
                <w:p w14:paraId="6823B43A">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污染物排放情况</w:t>
                  </w:r>
                </w:p>
              </w:tc>
              <w:tc>
                <w:tcPr>
                  <w:tcW w:w="473" w:type="pct"/>
                  <w:vMerge w:val="restart"/>
                  <w:noWrap w:val="0"/>
                  <w:vAlign w:val="center"/>
                </w:tcPr>
                <w:p w14:paraId="2F097B2D">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排放去向</w:t>
                  </w:r>
                </w:p>
              </w:tc>
            </w:tr>
            <w:tr w14:paraId="0EAA97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0" w:type="pct"/>
                  <w:vMerge w:val="continue"/>
                  <w:noWrap w:val="0"/>
                  <w:vAlign w:val="center"/>
                </w:tcPr>
                <w:p w14:paraId="7D23FB39">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c>
                <w:tcPr>
                  <w:tcW w:w="536" w:type="pct"/>
                  <w:noWrap w:val="0"/>
                  <w:vAlign w:val="center"/>
                </w:tcPr>
                <w:p w14:paraId="0CB9571D">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名称</w:t>
                  </w:r>
                </w:p>
              </w:tc>
              <w:tc>
                <w:tcPr>
                  <w:tcW w:w="555" w:type="pct"/>
                  <w:noWrap w:val="0"/>
                  <w:vAlign w:val="center"/>
                </w:tcPr>
                <w:p w14:paraId="1D2DAE64">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产生浓度mg/L</w:t>
                  </w:r>
                </w:p>
              </w:tc>
              <w:tc>
                <w:tcPr>
                  <w:tcW w:w="572" w:type="pct"/>
                  <w:noWrap w:val="0"/>
                  <w:vAlign w:val="center"/>
                </w:tcPr>
                <w:p w14:paraId="78205FB0">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产生量t/a</w:t>
                  </w:r>
                </w:p>
              </w:tc>
              <w:tc>
                <w:tcPr>
                  <w:tcW w:w="585" w:type="pct"/>
                  <w:vMerge w:val="continue"/>
                  <w:noWrap w:val="0"/>
                  <w:vAlign w:val="center"/>
                </w:tcPr>
                <w:p w14:paraId="10BE8C83">
                  <w:pPr>
                    <w:pStyle w:val="6"/>
                    <w:keepNext w:val="0"/>
                    <w:keepLines w:val="0"/>
                    <w:pageBreakBefore w:val="0"/>
                    <w:widowControl w:val="0"/>
                    <w:tabs>
                      <w:tab w:val="left" w:pos="209"/>
                    </w:tabs>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c>
                <w:tcPr>
                  <w:tcW w:w="598" w:type="pct"/>
                  <w:noWrap w:val="0"/>
                  <w:vAlign w:val="center"/>
                </w:tcPr>
                <w:p w14:paraId="013276BE">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名称</w:t>
                  </w:r>
                </w:p>
              </w:tc>
              <w:tc>
                <w:tcPr>
                  <w:tcW w:w="541" w:type="pct"/>
                  <w:noWrap w:val="0"/>
                  <w:vAlign w:val="center"/>
                </w:tcPr>
                <w:p w14:paraId="4AC284A3">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排放浓度mg/L</w:t>
                  </w:r>
                </w:p>
              </w:tc>
              <w:tc>
                <w:tcPr>
                  <w:tcW w:w="566" w:type="pct"/>
                  <w:noWrap w:val="0"/>
                  <w:vAlign w:val="center"/>
                </w:tcPr>
                <w:p w14:paraId="71D68649">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排放量t/a</w:t>
                  </w:r>
                </w:p>
              </w:tc>
              <w:tc>
                <w:tcPr>
                  <w:tcW w:w="473" w:type="pct"/>
                  <w:vMerge w:val="continue"/>
                  <w:noWrap w:val="0"/>
                  <w:vAlign w:val="center"/>
                </w:tcPr>
                <w:p w14:paraId="2B448E5A">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r>
            <w:tr w14:paraId="6B4807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0" w:type="pct"/>
                  <w:vMerge w:val="restart"/>
                  <w:noWrap w:val="0"/>
                  <w:vAlign w:val="center"/>
                </w:tcPr>
                <w:p w14:paraId="72076654">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生活污水</w:t>
                  </w:r>
                </w:p>
              </w:tc>
              <w:tc>
                <w:tcPr>
                  <w:tcW w:w="536" w:type="pct"/>
                  <w:noWrap w:val="0"/>
                  <w:vAlign w:val="center"/>
                </w:tcPr>
                <w:p w14:paraId="28362B8F">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废水量</w:t>
                  </w:r>
                </w:p>
              </w:tc>
              <w:tc>
                <w:tcPr>
                  <w:tcW w:w="1128" w:type="pct"/>
                  <w:gridSpan w:val="2"/>
                  <w:noWrap w:val="0"/>
                  <w:vAlign w:val="center"/>
                </w:tcPr>
                <w:p w14:paraId="2C22DDA7">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360</w:t>
                  </w:r>
                </w:p>
              </w:tc>
              <w:tc>
                <w:tcPr>
                  <w:tcW w:w="585" w:type="pct"/>
                  <w:vMerge w:val="restart"/>
                  <w:noWrap w:val="0"/>
                  <w:vAlign w:val="center"/>
                </w:tcPr>
                <w:p w14:paraId="0452B8D4">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化粪池</w:t>
                  </w:r>
                </w:p>
              </w:tc>
              <w:tc>
                <w:tcPr>
                  <w:tcW w:w="598" w:type="pct"/>
                  <w:noWrap w:val="0"/>
                  <w:vAlign w:val="center"/>
                </w:tcPr>
                <w:p w14:paraId="7C6FB210">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废水量</w:t>
                  </w:r>
                </w:p>
              </w:tc>
              <w:tc>
                <w:tcPr>
                  <w:tcW w:w="1107" w:type="pct"/>
                  <w:gridSpan w:val="2"/>
                  <w:noWrap w:val="0"/>
                  <w:vAlign w:val="center"/>
                </w:tcPr>
                <w:p w14:paraId="6A561BEB">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360</w:t>
                  </w:r>
                </w:p>
              </w:tc>
              <w:tc>
                <w:tcPr>
                  <w:tcW w:w="473" w:type="pct"/>
                  <w:vMerge w:val="restart"/>
                  <w:noWrap w:val="0"/>
                  <w:vAlign w:val="center"/>
                </w:tcPr>
                <w:p w14:paraId="7B22F093">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auto"/>
                      <w:sz w:val="21"/>
                      <w:szCs w:val="21"/>
                    </w:rPr>
                    <w:t>接管至</w:t>
                  </w:r>
                  <w:r>
                    <w:rPr>
                      <w:rFonts w:hint="eastAsia"/>
                      <w:color w:val="auto"/>
                      <w:sz w:val="21"/>
                      <w:szCs w:val="21"/>
                      <w:lang w:val="en-US" w:eastAsia="zh-CN"/>
                    </w:rPr>
                    <w:t>涟水经济开发区西区污水处理厂</w:t>
                  </w:r>
                </w:p>
              </w:tc>
            </w:tr>
            <w:tr w14:paraId="3FA172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70" w:type="pct"/>
                  <w:vMerge w:val="continue"/>
                  <w:noWrap w:val="0"/>
                  <w:vAlign w:val="center"/>
                </w:tcPr>
                <w:p w14:paraId="78E5C656">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c>
                <w:tcPr>
                  <w:tcW w:w="536" w:type="pct"/>
                  <w:noWrap w:val="0"/>
                  <w:vAlign w:val="center"/>
                </w:tcPr>
                <w:p w14:paraId="208E1459">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COD</w:t>
                  </w:r>
                </w:p>
              </w:tc>
              <w:tc>
                <w:tcPr>
                  <w:tcW w:w="555" w:type="pct"/>
                  <w:noWrap w:val="0"/>
                  <w:vAlign w:val="center"/>
                </w:tcPr>
                <w:p w14:paraId="08F0394D">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350</w:t>
                  </w:r>
                </w:p>
              </w:tc>
              <w:tc>
                <w:tcPr>
                  <w:tcW w:w="910" w:type="dxa"/>
                  <w:noWrap w:val="0"/>
                  <w:vAlign w:val="center"/>
                </w:tcPr>
                <w:p w14:paraId="607AA1DE">
                  <w:pPr>
                    <w:keepNext w:val="0"/>
                    <w:keepLines w:val="0"/>
                    <w:widowControl/>
                    <w:suppressLineNumbers w:val="0"/>
                    <w:jc w:val="center"/>
                    <w:textAlignment w:val="center"/>
                    <w:rPr>
                      <w:rFonts w:hint="default"/>
                      <w:color w:val="auto"/>
                      <w:sz w:val="21"/>
                      <w:szCs w:val="21"/>
                      <w:lang w:val="en-US" w:eastAsia="zh-CN"/>
                    </w:rPr>
                  </w:pPr>
                  <w:r>
                    <w:rPr>
                      <w:rFonts w:hint="eastAsia"/>
                      <w:color w:val="auto"/>
                      <w:sz w:val="21"/>
                      <w:szCs w:val="21"/>
                      <w:lang w:val="en-US" w:eastAsia="zh-CN"/>
                    </w:rPr>
                    <w:t>0.126</w:t>
                  </w:r>
                </w:p>
              </w:tc>
              <w:tc>
                <w:tcPr>
                  <w:tcW w:w="585" w:type="pct"/>
                  <w:vMerge w:val="continue"/>
                  <w:noWrap w:val="0"/>
                  <w:vAlign w:val="center"/>
                </w:tcPr>
                <w:p w14:paraId="6F20D6FD">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p>
              </w:tc>
              <w:tc>
                <w:tcPr>
                  <w:tcW w:w="598" w:type="pct"/>
                  <w:noWrap w:val="0"/>
                  <w:vAlign w:val="center"/>
                </w:tcPr>
                <w:p w14:paraId="14ADB53A">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COD</w:t>
                  </w:r>
                </w:p>
              </w:tc>
              <w:tc>
                <w:tcPr>
                  <w:tcW w:w="541" w:type="pct"/>
                  <w:noWrap w:val="0"/>
                  <w:vAlign w:val="center"/>
                </w:tcPr>
                <w:p w14:paraId="5CD8C551">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250</w:t>
                  </w:r>
                </w:p>
              </w:tc>
              <w:tc>
                <w:tcPr>
                  <w:tcW w:w="900" w:type="dxa"/>
                  <w:noWrap w:val="0"/>
                  <w:vAlign w:val="center"/>
                </w:tcPr>
                <w:p w14:paraId="6F995AC9">
                  <w:pPr>
                    <w:keepNext w:val="0"/>
                    <w:keepLines w:val="0"/>
                    <w:widowControl/>
                    <w:suppressLineNumbers w:val="0"/>
                    <w:jc w:val="center"/>
                    <w:textAlignment w:val="center"/>
                    <w:rPr>
                      <w:rFonts w:hint="default"/>
                      <w:color w:val="auto"/>
                      <w:sz w:val="21"/>
                      <w:szCs w:val="21"/>
                      <w:lang w:val="en-US" w:eastAsia="zh-CN"/>
                    </w:rPr>
                  </w:pPr>
                  <w:r>
                    <w:rPr>
                      <w:rFonts w:hint="eastAsia"/>
                      <w:color w:val="auto"/>
                      <w:sz w:val="21"/>
                      <w:szCs w:val="21"/>
                      <w:lang w:val="en-US" w:eastAsia="zh-CN"/>
                    </w:rPr>
                    <w:t>0.09</w:t>
                  </w:r>
                </w:p>
              </w:tc>
              <w:tc>
                <w:tcPr>
                  <w:tcW w:w="473" w:type="pct"/>
                  <w:vMerge w:val="continue"/>
                  <w:noWrap w:val="0"/>
                  <w:vAlign w:val="center"/>
                </w:tcPr>
                <w:p w14:paraId="77A6CFB8">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r>
            <w:tr w14:paraId="355015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70" w:type="pct"/>
                  <w:vMerge w:val="continue"/>
                  <w:noWrap w:val="0"/>
                  <w:vAlign w:val="center"/>
                </w:tcPr>
                <w:p w14:paraId="6A730F5B">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c>
                <w:tcPr>
                  <w:tcW w:w="536" w:type="pct"/>
                  <w:noWrap w:val="0"/>
                  <w:vAlign w:val="center"/>
                </w:tcPr>
                <w:p w14:paraId="39437BE7">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SS</w:t>
                  </w:r>
                </w:p>
              </w:tc>
              <w:tc>
                <w:tcPr>
                  <w:tcW w:w="555" w:type="pct"/>
                  <w:noWrap w:val="0"/>
                  <w:vAlign w:val="center"/>
                </w:tcPr>
                <w:p w14:paraId="23A2D7D1">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250</w:t>
                  </w:r>
                </w:p>
              </w:tc>
              <w:tc>
                <w:tcPr>
                  <w:tcW w:w="910" w:type="dxa"/>
                  <w:noWrap w:val="0"/>
                  <w:vAlign w:val="center"/>
                </w:tcPr>
                <w:p w14:paraId="7DCD73FA">
                  <w:pPr>
                    <w:keepNext w:val="0"/>
                    <w:keepLines w:val="0"/>
                    <w:widowControl/>
                    <w:suppressLineNumbers w:val="0"/>
                    <w:jc w:val="center"/>
                    <w:textAlignment w:val="center"/>
                    <w:rPr>
                      <w:rFonts w:hint="default"/>
                      <w:color w:val="auto"/>
                      <w:sz w:val="21"/>
                      <w:szCs w:val="21"/>
                      <w:lang w:val="en-US" w:eastAsia="zh-CN"/>
                    </w:rPr>
                  </w:pPr>
                  <w:r>
                    <w:rPr>
                      <w:rFonts w:hint="eastAsia"/>
                      <w:color w:val="auto"/>
                      <w:sz w:val="21"/>
                      <w:szCs w:val="21"/>
                      <w:lang w:val="en-US" w:eastAsia="zh-CN"/>
                    </w:rPr>
                    <w:t>0.09</w:t>
                  </w:r>
                </w:p>
              </w:tc>
              <w:tc>
                <w:tcPr>
                  <w:tcW w:w="585" w:type="pct"/>
                  <w:vMerge w:val="continue"/>
                  <w:noWrap w:val="0"/>
                  <w:vAlign w:val="center"/>
                </w:tcPr>
                <w:p w14:paraId="0128D3C0">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p>
              </w:tc>
              <w:tc>
                <w:tcPr>
                  <w:tcW w:w="598" w:type="pct"/>
                  <w:noWrap w:val="0"/>
                  <w:vAlign w:val="center"/>
                </w:tcPr>
                <w:p w14:paraId="53F2A149">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SS</w:t>
                  </w:r>
                </w:p>
              </w:tc>
              <w:tc>
                <w:tcPr>
                  <w:tcW w:w="541" w:type="pct"/>
                  <w:noWrap w:val="0"/>
                  <w:vAlign w:val="center"/>
                </w:tcPr>
                <w:p w14:paraId="4637FDAB">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180</w:t>
                  </w:r>
                </w:p>
              </w:tc>
              <w:tc>
                <w:tcPr>
                  <w:tcW w:w="900" w:type="dxa"/>
                  <w:noWrap w:val="0"/>
                  <w:vAlign w:val="center"/>
                </w:tcPr>
                <w:p w14:paraId="2F6515E2">
                  <w:pPr>
                    <w:keepNext w:val="0"/>
                    <w:keepLines w:val="0"/>
                    <w:widowControl/>
                    <w:suppressLineNumbers w:val="0"/>
                    <w:jc w:val="center"/>
                    <w:textAlignment w:val="center"/>
                    <w:rPr>
                      <w:rFonts w:hint="default"/>
                      <w:color w:val="auto"/>
                      <w:sz w:val="21"/>
                      <w:szCs w:val="21"/>
                      <w:lang w:val="en-US" w:eastAsia="zh-CN"/>
                    </w:rPr>
                  </w:pPr>
                  <w:r>
                    <w:rPr>
                      <w:rFonts w:hint="eastAsia"/>
                      <w:color w:val="auto"/>
                      <w:sz w:val="21"/>
                      <w:szCs w:val="21"/>
                      <w:lang w:val="en-US" w:eastAsia="zh-CN"/>
                    </w:rPr>
                    <w:t>0.065</w:t>
                  </w:r>
                </w:p>
              </w:tc>
              <w:tc>
                <w:tcPr>
                  <w:tcW w:w="473" w:type="pct"/>
                  <w:vMerge w:val="continue"/>
                  <w:noWrap w:val="0"/>
                  <w:vAlign w:val="center"/>
                </w:tcPr>
                <w:p w14:paraId="0F478D70">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r>
            <w:tr w14:paraId="57496D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0" w:type="pct"/>
                  <w:vMerge w:val="continue"/>
                  <w:noWrap w:val="0"/>
                  <w:vAlign w:val="center"/>
                </w:tcPr>
                <w:p w14:paraId="123BD44A">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c>
                <w:tcPr>
                  <w:tcW w:w="536" w:type="pct"/>
                  <w:noWrap w:val="0"/>
                  <w:vAlign w:val="center"/>
                </w:tcPr>
                <w:p w14:paraId="0FCC1331">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NH</w:t>
                  </w:r>
                  <w:r>
                    <w:rPr>
                      <w:rFonts w:hint="eastAsia"/>
                      <w:color w:val="auto"/>
                      <w:sz w:val="21"/>
                      <w:szCs w:val="21"/>
                      <w:vertAlign w:val="subscript"/>
                    </w:rPr>
                    <w:t>3</w:t>
                  </w:r>
                  <w:r>
                    <w:rPr>
                      <w:rFonts w:hint="eastAsia"/>
                      <w:color w:val="auto"/>
                      <w:sz w:val="21"/>
                      <w:szCs w:val="21"/>
                    </w:rPr>
                    <w:t>-N</w:t>
                  </w:r>
                </w:p>
              </w:tc>
              <w:tc>
                <w:tcPr>
                  <w:tcW w:w="555" w:type="pct"/>
                  <w:noWrap w:val="0"/>
                  <w:vAlign w:val="center"/>
                </w:tcPr>
                <w:p w14:paraId="47858C00">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25</w:t>
                  </w:r>
                </w:p>
              </w:tc>
              <w:tc>
                <w:tcPr>
                  <w:tcW w:w="910" w:type="dxa"/>
                  <w:noWrap w:val="0"/>
                  <w:vAlign w:val="center"/>
                </w:tcPr>
                <w:p w14:paraId="1FAC0E41">
                  <w:pPr>
                    <w:keepNext w:val="0"/>
                    <w:keepLines w:val="0"/>
                    <w:widowControl/>
                    <w:suppressLineNumbers w:val="0"/>
                    <w:jc w:val="center"/>
                    <w:textAlignment w:val="center"/>
                    <w:rPr>
                      <w:rFonts w:hint="default"/>
                      <w:color w:val="auto"/>
                      <w:sz w:val="21"/>
                      <w:szCs w:val="21"/>
                      <w:lang w:val="en-US" w:eastAsia="zh-CN"/>
                    </w:rPr>
                  </w:pPr>
                  <w:r>
                    <w:rPr>
                      <w:rFonts w:hint="eastAsia"/>
                      <w:color w:val="auto"/>
                      <w:sz w:val="21"/>
                      <w:szCs w:val="21"/>
                      <w:lang w:val="en-US" w:eastAsia="zh-CN"/>
                    </w:rPr>
                    <w:t>0.009</w:t>
                  </w:r>
                </w:p>
              </w:tc>
              <w:tc>
                <w:tcPr>
                  <w:tcW w:w="585" w:type="pct"/>
                  <w:vMerge w:val="continue"/>
                  <w:noWrap w:val="0"/>
                  <w:vAlign w:val="center"/>
                </w:tcPr>
                <w:p w14:paraId="3DE2C29C">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p>
              </w:tc>
              <w:tc>
                <w:tcPr>
                  <w:tcW w:w="598" w:type="pct"/>
                  <w:noWrap w:val="0"/>
                  <w:vAlign w:val="center"/>
                </w:tcPr>
                <w:p w14:paraId="74736BEA">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NH</w:t>
                  </w:r>
                  <w:r>
                    <w:rPr>
                      <w:rFonts w:hint="eastAsia"/>
                      <w:color w:val="auto"/>
                      <w:sz w:val="21"/>
                      <w:szCs w:val="21"/>
                      <w:vertAlign w:val="subscript"/>
                    </w:rPr>
                    <w:t>3</w:t>
                  </w:r>
                  <w:r>
                    <w:rPr>
                      <w:rFonts w:hint="eastAsia"/>
                      <w:color w:val="auto"/>
                      <w:sz w:val="21"/>
                      <w:szCs w:val="21"/>
                    </w:rPr>
                    <w:t>-N</w:t>
                  </w:r>
                </w:p>
              </w:tc>
              <w:tc>
                <w:tcPr>
                  <w:tcW w:w="541" w:type="pct"/>
                  <w:noWrap w:val="0"/>
                  <w:vAlign w:val="center"/>
                </w:tcPr>
                <w:p w14:paraId="5DD3F532">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25</w:t>
                  </w:r>
                </w:p>
              </w:tc>
              <w:tc>
                <w:tcPr>
                  <w:tcW w:w="900" w:type="dxa"/>
                  <w:noWrap w:val="0"/>
                  <w:vAlign w:val="center"/>
                </w:tcPr>
                <w:p w14:paraId="058E5AE7">
                  <w:pPr>
                    <w:keepNext w:val="0"/>
                    <w:keepLines w:val="0"/>
                    <w:widowControl/>
                    <w:suppressLineNumbers w:val="0"/>
                    <w:jc w:val="center"/>
                    <w:textAlignment w:val="center"/>
                    <w:rPr>
                      <w:rFonts w:hint="default"/>
                      <w:color w:val="auto"/>
                      <w:sz w:val="21"/>
                      <w:szCs w:val="21"/>
                      <w:lang w:val="en-US" w:eastAsia="zh-CN"/>
                    </w:rPr>
                  </w:pPr>
                  <w:r>
                    <w:rPr>
                      <w:rFonts w:hint="eastAsia"/>
                      <w:color w:val="auto"/>
                      <w:sz w:val="21"/>
                      <w:szCs w:val="21"/>
                      <w:lang w:val="en-US" w:eastAsia="zh-CN"/>
                    </w:rPr>
                    <w:t>0.009</w:t>
                  </w:r>
                </w:p>
              </w:tc>
              <w:tc>
                <w:tcPr>
                  <w:tcW w:w="473" w:type="pct"/>
                  <w:vMerge w:val="continue"/>
                  <w:noWrap w:val="0"/>
                  <w:vAlign w:val="center"/>
                </w:tcPr>
                <w:p w14:paraId="2F2E5944">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r>
            <w:tr w14:paraId="17AD36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70" w:type="pct"/>
                  <w:vMerge w:val="continue"/>
                  <w:noWrap w:val="0"/>
                  <w:vAlign w:val="center"/>
                </w:tcPr>
                <w:p w14:paraId="59E0D70F">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c>
                <w:tcPr>
                  <w:tcW w:w="536" w:type="pct"/>
                  <w:noWrap w:val="0"/>
                  <w:vAlign w:val="center"/>
                </w:tcPr>
                <w:p w14:paraId="05A99F00">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TN</w:t>
                  </w:r>
                </w:p>
              </w:tc>
              <w:tc>
                <w:tcPr>
                  <w:tcW w:w="555" w:type="pct"/>
                  <w:noWrap w:val="0"/>
                  <w:vAlign w:val="center"/>
                </w:tcPr>
                <w:p w14:paraId="23C93A45">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35</w:t>
                  </w:r>
                </w:p>
              </w:tc>
              <w:tc>
                <w:tcPr>
                  <w:tcW w:w="910" w:type="dxa"/>
                  <w:noWrap w:val="0"/>
                  <w:vAlign w:val="center"/>
                </w:tcPr>
                <w:p w14:paraId="291605D6">
                  <w:pPr>
                    <w:keepNext w:val="0"/>
                    <w:keepLines w:val="0"/>
                    <w:widowControl/>
                    <w:suppressLineNumbers w:val="0"/>
                    <w:jc w:val="center"/>
                    <w:textAlignment w:val="center"/>
                    <w:rPr>
                      <w:rFonts w:hint="default"/>
                      <w:color w:val="auto"/>
                      <w:sz w:val="21"/>
                      <w:szCs w:val="21"/>
                      <w:lang w:val="en-US" w:eastAsia="zh-CN"/>
                    </w:rPr>
                  </w:pPr>
                  <w:r>
                    <w:rPr>
                      <w:rFonts w:hint="eastAsia"/>
                      <w:color w:val="auto"/>
                      <w:sz w:val="21"/>
                      <w:szCs w:val="21"/>
                      <w:lang w:val="en-US" w:eastAsia="zh-CN"/>
                    </w:rPr>
                    <w:t>0.013</w:t>
                  </w:r>
                </w:p>
              </w:tc>
              <w:tc>
                <w:tcPr>
                  <w:tcW w:w="585" w:type="pct"/>
                  <w:vMerge w:val="continue"/>
                  <w:noWrap w:val="0"/>
                  <w:vAlign w:val="center"/>
                </w:tcPr>
                <w:p w14:paraId="7595C960">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p>
              </w:tc>
              <w:tc>
                <w:tcPr>
                  <w:tcW w:w="598" w:type="pct"/>
                  <w:noWrap w:val="0"/>
                  <w:vAlign w:val="center"/>
                </w:tcPr>
                <w:p w14:paraId="51EDE1BD">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TN</w:t>
                  </w:r>
                </w:p>
              </w:tc>
              <w:tc>
                <w:tcPr>
                  <w:tcW w:w="541" w:type="pct"/>
                  <w:noWrap w:val="0"/>
                  <w:vAlign w:val="center"/>
                </w:tcPr>
                <w:p w14:paraId="33647A71">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35</w:t>
                  </w:r>
                </w:p>
              </w:tc>
              <w:tc>
                <w:tcPr>
                  <w:tcW w:w="900" w:type="dxa"/>
                  <w:noWrap w:val="0"/>
                  <w:vAlign w:val="center"/>
                </w:tcPr>
                <w:p w14:paraId="16A1AEA5">
                  <w:pPr>
                    <w:keepNext w:val="0"/>
                    <w:keepLines w:val="0"/>
                    <w:widowControl/>
                    <w:suppressLineNumbers w:val="0"/>
                    <w:jc w:val="center"/>
                    <w:textAlignment w:val="center"/>
                    <w:rPr>
                      <w:rFonts w:hint="default"/>
                      <w:color w:val="auto"/>
                      <w:sz w:val="21"/>
                      <w:szCs w:val="21"/>
                      <w:lang w:val="en-US" w:eastAsia="zh-CN"/>
                    </w:rPr>
                  </w:pPr>
                  <w:r>
                    <w:rPr>
                      <w:rFonts w:hint="eastAsia"/>
                      <w:color w:val="auto"/>
                      <w:sz w:val="21"/>
                      <w:szCs w:val="21"/>
                      <w:lang w:val="en-US" w:eastAsia="zh-CN"/>
                    </w:rPr>
                    <w:t>0.013</w:t>
                  </w:r>
                </w:p>
              </w:tc>
              <w:tc>
                <w:tcPr>
                  <w:tcW w:w="473" w:type="pct"/>
                  <w:vMerge w:val="continue"/>
                  <w:noWrap w:val="0"/>
                  <w:vAlign w:val="center"/>
                </w:tcPr>
                <w:p w14:paraId="6BB7D8C9">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r>
            <w:tr w14:paraId="2E3B20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70" w:type="pct"/>
                  <w:vMerge w:val="continue"/>
                  <w:noWrap w:val="0"/>
                  <w:vAlign w:val="center"/>
                </w:tcPr>
                <w:p w14:paraId="4FBA7974">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c>
                <w:tcPr>
                  <w:tcW w:w="536" w:type="pct"/>
                  <w:noWrap w:val="0"/>
                  <w:vAlign w:val="center"/>
                </w:tcPr>
                <w:p w14:paraId="3276391B">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TP</w:t>
                  </w:r>
                </w:p>
              </w:tc>
              <w:tc>
                <w:tcPr>
                  <w:tcW w:w="555" w:type="pct"/>
                  <w:noWrap w:val="0"/>
                  <w:vAlign w:val="center"/>
                </w:tcPr>
                <w:p w14:paraId="23943F60">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4</w:t>
                  </w:r>
                </w:p>
              </w:tc>
              <w:tc>
                <w:tcPr>
                  <w:tcW w:w="910" w:type="dxa"/>
                  <w:noWrap w:val="0"/>
                  <w:vAlign w:val="center"/>
                </w:tcPr>
                <w:p w14:paraId="535F11C0">
                  <w:pPr>
                    <w:keepNext w:val="0"/>
                    <w:keepLines w:val="0"/>
                    <w:widowControl/>
                    <w:suppressLineNumbers w:val="0"/>
                    <w:jc w:val="center"/>
                    <w:textAlignment w:val="center"/>
                    <w:rPr>
                      <w:rFonts w:hint="default"/>
                      <w:color w:val="auto"/>
                      <w:sz w:val="21"/>
                      <w:szCs w:val="21"/>
                      <w:lang w:val="en-US" w:eastAsia="zh-CN"/>
                    </w:rPr>
                  </w:pPr>
                  <w:r>
                    <w:rPr>
                      <w:rFonts w:hint="eastAsia"/>
                      <w:color w:val="auto"/>
                      <w:sz w:val="21"/>
                      <w:szCs w:val="21"/>
                      <w:lang w:val="en-US" w:eastAsia="zh-CN"/>
                    </w:rPr>
                    <w:t>0.001</w:t>
                  </w:r>
                </w:p>
              </w:tc>
              <w:tc>
                <w:tcPr>
                  <w:tcW w:w="585" w:type="pct"/>
                  <w:vMerge w:val="continue"/>
                  <w:noWrap w:val="0"/>
                  <w:vAlign w:val="center"/>
                </w:tcPr>
                <w:p w14:paraId="4931DE91">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p>
              </w:tc>
              <w:tc>
                <w:tcPr>
                  <w:tcW w:w="598" w:type="pct"/>
                  <w:noWrap w:val="0"/>
                  <w:vAlign w:val="center"/>
                </w:tcPr>
                <w:p w14:paraId="6E924018">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rPr>
                  </w:pPr>
                  <w:r>
                    <w:rPr>
                      <w:rFonts w:hint="eastAsia"/>
                      <w:color w:val="auto"/>
                      <w:sz w:val="21"/>
                      <w:szCs w:val="21"/>
                    </w:rPr>
                    <w:t>TP</w:t>
                  </w:r>
                </w:p>
              </w:tc>
              <w:tc>
                <w:tcPr>
                  <w:tcW w:w="541" w:type="pct"/>
                  <w:noWrap w:val="0"/>
                  <w:vAlign w:val="center"/>
                </w:tcPr>
                <w:p w14:paraId="42D8A8FA">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szCs w:val="21"/>
                      <w:lang w:eastAsia="zh-CN"/>
                    </w:rPr>
                  </w:pPr>
                  <w:r>
                    <w:rPr>
                      <w:rFonts w:hint="eastAsia"/>
                      <w:color w:val="auto"/>
                      <w:sz w:val="21"/>
                      <w:szCs w:val="21"/>
                      <w:lang w:val="en-US" w:eastAsia="zh-CN"/>
                    </w:rPr>
                    <w:t>4</w:t>
                  </w:r>
                </w:p>
              </w:tc>
              <w:tc>
                <w:tcPr>
                  <w:tcW w:w="900" w:type="dxa"/>
                  <w:noWrap w:val="0"/>
                  <w:vAlign w:val="center"/>
                </w:tcPr>
                <w:p w14:paraId="08E3CC57">
                  <w:pPr>
                    <w:keepNext w:val="0"/>
                    <w:keepLines w:val="0"/>
                    <w:widowControl/>
                    <w:suppressLineNumbers w:val="0"/>
                    <w:jc w:val="center"/>
                    <w:textAlignment w:val="center"/>
                    <w:rPr>
                      <w:rFonts w:hint="default"/>
                      <w:color w:val="auto"/>
                      <w:sz w:val="21"/>
                      <w:szCs w:val="21"/>
                      <w:lang w:val="en-US" w:eastAsia="zh-CN"/>
                    </w:rPr>
                  </w:pPr>
                  <w:r>
                    <w:rPr>
                      <w:rFonts w:hint="eastAsia"/>
                      <w:color w:val="auto"/>
                      <w:sz w:val="21"/>
                      <w:szCs w:val="21"/>
                      <w:lang w:val="en-US" w:eastAsia="zh-CN"/>
                    </w:rPr>
                    <w:t>0.001</w:t>
                  </w:r>
                </w:p>
              </w:tc>
              <w:tc>
                <w:tcPr>
                  <w:tcW w:w="473" w:type="pct"/>
                  <w:vMerge w:val="continue"/>
                  <w:noWrap w:val="0"/>
                  <w:vAlign w:val="center"/>
                </w:tcPr>
                <w:p w14:paraId="1E0A98AE">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p>
              </w:tc>
            </w:tr>
          </w:tbl>
          <w:p w14:paraId="10BBED99">
            <w:pPr>
              <w:pStyle w:val="6"/>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color w:val="auto"/>
              </w:rPr>
            </w:pPr>
            <w:r>
              <w:rPr>
                <w:rFonts w:hint="eastAsia"/>
                <w:color w:val="auto"/>
              </w:rPr>
              <w:t>2、废水污染防治技术可行性分析</w:t>
            </w:r>
          </w:p>
          <w:p w14:paraId="32A33385">
            <w:pPr>
              <w:pStyle w:val="6"/>
              <w:keepNext w:val="0"/>
              <w:keepLines w:val="0"/>
              <w:pageBreakBefore w:val="0"/>
              <w:widowControl w:val="0"/>
              <w:numPr>
                <w:ilvl w:val="0"/>
                <w:numId w:val="0"/>
              </w:numPr>
              <w:kinsoku/>
              <w:wordWrap/>
              <w:overflowPunct/>
              <w:topLinePunct w:val="0"/>
              <w:bidi w:val="0"/>
              <w:spacing w:after="0" w:line="360" w:lineRule="auto"/>
              <w:ind w:leftChars="0" w:firstLine="480" w:firstLineChars="200"/>
              <w:jc w:val="both"/>
              <w:textAlignment w:val="auto"/>
              <w:rPr>
                <w:rFonts w:hint="eastAsia"/>
                <w:color w:val="auto"/>
                <w:lang w:val="en-US" w:eastAsia="zh-CN"/>
              </w:rPr>
            </w:pPr>
            <w:r>
              <w:rPr>
                <w:rFonts w:hint="eastAsia"/>
                <w:color w:val="auto"/>
                <w:lang w:val="en-US" w:eastAsia="zh-CN"/>
              </w:rPr>
              <w:t>根据原有项目，磨边、钻孔、清洗用水水质要求不高，生产废水（磨边、钻孔）经沉淀池处理，清洗废水经清洗机自带水箱沉淀处理，生产废水中杂质主要为玻璃碴，不溶于水。生产废水经沉淀池/水箱处理，废水中悬浮物和其他固体废物自然沉降于池底，上清液回用于生产（沉淀池和水箱沉渣作为一般固体废物处理，定期清理），是可行的。生活污水采用化粪池进行预处理，化粪池工作原理为沉淀和厌氧发酵，参考《排污许可证申请与核发技术规范 水处理通用工序》（HJ1120-2020）中提供的用于治理生活污水的可行技术为“预处理：调整、隔油、格栅、沉淀、气浮、混凝”。迁建项目磨边废水、钻孔废水和清洗废水经沉淀后循环使用，不外排，外排废水主要为员工生活污水，生活污水经化粪池处理后接管至涟水经济开发区西区污水处理厂处理，为《排污许可证申请与核发技术规范 水处理通用工序》（HJ1120-2020）中提供的可行技术，由此可判定本项目采用的废水污染防治技术为可行技术。</w:t>
            </w:r>
          </w:p>
          <w:p w14:paraId="49AEDB6A">
            <w:pPr>
              <w:pStyle w:val="6"/>
              <w:keepNext w:val="0"/>
              <w:keepLines w:val="0"/>
              <w:pageBreakBefore w:val="0"/>
              <w:widowControl w:val="0"/>
              <w:numPr>
                <w:ilvl w:val="0"/>
                <w:numId w:val="0"/>
              </w:numPr>
              <w:kinsoku/>
              <w:wordWrap/>
              <w:overflowPunct/>
              <w:topLinePunct w:val="0"/>
              <w:bidi w:val="0"/>
              <w:spacing w:after="0" w:line="360" w:lineRule="auto"/>
              <w:ind w:leftChars="0" w:firstLine="480" w:firstLineChars="200"/>
              <w:jc w:val="both"/>
              <w:textAlignment w:val="auto"/>
              <w:rPr>
                <w:rFonts w:hint="eastAsia"/>
                <w:color w:val="auto"/>
              </w:rPr>
            </w:pPr>
            <w:r>
              <w:rPr>
                <w:rFonts w:hint="eastAsia"/>
                <w:color w:val="auto"/>
                <w:lang w:val="en-US" w:eastAsia="zh-CN"/>
              </w:rPr>
              <w:t>3、</w:t>
            </w:r>
            <w:r>
              <w:rPr>
                <w:rFonts w:hint="eastAsia"/>
                <w:color w:val="auto"/>
              </w:rPr>
              <w:t>水环境影响分析</w:t>
            </w:r>
          </w:p>
          <w:p w14:paraId="199EFDB8">
            <w:pPr>
              <w:pStyle w:val="2"/>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b/>
                <w:bCs/>
                <w:color w:val="auto"/>
                <w:sz w:val="21"/>
                <w:szCs w:val="21"/>
              </w:rPr>
            </w:pPr>
            <w:r>
              <w:rPr>
                <w:rFonts w:hint="eastAsia"/>
                <w:b w:val="0"/>
                <w:bCs/>
                <w:color w:val="auto"/>
                <w:lang w:val="en-US" w:eastAsia="zh-CN"/>
              </w:rPr>
              <w:t>本项目废水类别、污染物及污染治理设施信息见下表。</w:t>
            </w:r>
          </w:p>
          <w:p w14:paraId="0D1CF5B2">
            <w:pPr>
              <w:pStyle w:val="6"/>
              <w:keepNext w:val="0"/>
              <w:keepLines w:val="0"/>
              <w:suppressLineNumbers w:val="0"/>
              <w:spacing w:before="0" w:beforeAutospacing="0" w:after="0" w:afterAutospacing="0" w:line="240" w:lineRule="auto"/>
              <w:ind w:left="0" w:leftChars="0" w:right="0" w:firstLine="0" w:firstLineChars="0"/>
              <w:jc w:val="center"/>
              <w:rPr>
                <w:rFonts w:hint="default"/>
                <w:b/>
                <w:bCs/>
                <w:color w:val="auto"/>
                <w:sz w:val="21"/>
                <w:szCs w:val="21"/>
              </w:rPr>
            </w:pPr>
            <w:r>
              <w:rPr>
                <w:rFonts w:hint="eastAsia"/>
                <w:b/>
                <w:bCs/>
                <w:color w:val="auto"/>
                <w:sz w:val="21"/>
                <w:szCs w:val="21"/>
              </w:rPr>
              <w:t>表4-</w:t>
            </w:r>
            <w:r>
              <w:rPr>
                <w:rFonts w:hint="eastAsia"/>
                <w:b/>
                <w:bCs/>
                <w:color w:val="auto"/>
                <w:sz w:val="21"/>
                <w:szCs w:val="21"/>
                <w:lang w:val="en-US" w:eastAsia="zh-CN"/>
              </w:rPr>
              <w:t xml:space="preserve">12  </w:t>
            </w:r>
            <w:r>
              <w:rPr>
                <w:rFonts w:hint="eastAsia"/>
                <w:b/>
                <w:bCs/>
                <w:color w:val="auto"/>
                <w:sz w:val="21"/>
                <w:szCs w:val="21"/>
              </w:rPr>
              <w:t>本项目废水类别、污染物及污染治理设施信息表</w:t>
            </w:r>
          </w:p>
          <w:tbl>
            <w:tblPr>
              <w:tblStyle w:val="23"/>
              <w:tblW w:w="4993"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27"/>
              <w:gridCol w:w="468"/>
              <w:gridCol w:w="833"/>
              <w:gridCol w:w="705"/>
              <w:gridCol w:w="743"/>
              <w:gridCol w:w="601"/>
              <w:gridCol w:w="628"/>
              <w:gridCol w:w="642"/>
              <w:gridCol w:w="853"/>
              <w:gridCol w:w="608"/>
              <w:gridCol w:w="1428"/>
            </w:tblGrid>
            <w:tr w14:paraId="5596F0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9" w:type="pct"/>
                  <w:vMerge w:val="restart"/>
                  <w:tcBorders>
                    <w:tl2br w:val="nil"/>
                    <w:tr2bl w:val="nil"/>
                  </w:tcBorders>
                  <w:noWrap w:val="0"/>
                  <w:vAlign w:val="center"/>
                </w:tcPr>
                <w:p w14:paraId="24B212D5">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序号</w:t>
                  </w:r>
                </w:p>
              </w:tc>
              <w:tc>
                <w:tcPr>
                  <w:tcW w:w="294" w:type="pct"/>
                  <w:vMerge w:val="restart"/>
                  <w:tcBorders>
                    <w:tl2br w:val="nil"/>
                    <w:tr2bl w:val="nil"/>
                  </w:tcBorders>
                  <w:noWrap w:val="0"/>
                  <w:vAlign w:val="center"/>
                </w:tcPr>
                <w:p w14:paraId="097922C6">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废水类别</w:t>
                  </w:r>
                </w:p>
              </w:tc>
              <w:tc>
                <w:tcPr>
                  <w:tcW w:w="524" w:type="pct"/>
                  <w:vMerge w:val="restart"/>
                  <w:tcBorders>
                    <w:tl2br w:val="nil"/>
                    <w:tr2bl w:val="nil"/>
                  </w:tcBorders>
                  <w:noWrap w:val="0"/>
                  <w:vAlign w:val="center"/>
                </w:tcPr>
                <w:p w14:paraId="3D354BF1">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污染物种类</w:t>
                  </w:r>
                </w:p>
              </w:tc>
              <w:tc>
                <w:tcPr>
                  <w:tcW w:w="444" w:type="pct"/>
                  <w:vMerge w:val="restart"/>
                  <w:tcBorders>
                    <w:tl2br w:val="nil"/>
                    <w:tr2bl w:val="nil"/>
                  </w:tcBorders>
                  <w:noWrap w:val="0"/>
                  <w:vAlign w:val="center"/>
                </w:tcPr>
                <w:p w14:paraId="4FEEB608">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排放去向</w:t>
                  </w:r>
                </w:p>
              </w:tc>
              <w:tc>
                <w:tcPr>
                  <w:tcW w:w="468" w:type="pct"/>
                  <w:vMerge w:val="restart"/>
                  <w:tcBorders>
                    <w:tl2br w:val="nil"/>
                    <w:tr2bl w:val="nil"/>
                  </w:tcBorders>
                  <w:noWrap w:val="0"/>
                  <w:vAlign w:val="center"/>
                </w:tcPr>
                <w:p w14:paraId="00BF2791">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排放规律</w:t>
                  </w:r>
                </w:p>
              </w:tc>
              <w:tc>
                <w:tcPr>
                  <w:tcW w:w="1178" w:type="pct"/>
                  <w:gridSpan w:val="3"/>
                  <w:tcBorders>
                    <w:tl2br w:val="nil"/>
                    <w:tr2bl w:val="nil"/>
                  </w:tcBorders>
                  <w:noWrap w:val="0"/>
                  <w:vAlign w:val="center"/>
                </w:tcPr>
                <w:p w14:paraId="0507E427">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污染治理设施</w:t>
                  </w:r>
                </w:p>
              </w:tc>
              <w:tc>
                <w:tcPr>
                  <w:tcW w:w="537" w:type="pct"/>
                  <w:vMerge w:val="restart"/>
                  <w:tcBorders>
                    <w:tl2br w:val="nil"/>
                    <w:tr2bl w:val="nil"/>
                  </w:tcBorders>
                  <w:noWrap w:val="0"/>
                  <w:vAlign w:val="center"/>
                </w:tcPr>
                <w:p w14:paraId="3E4F36EA">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排放口编号</w:t>
                  </w:r>
                </w:p>
              </w:tc>
              <w:tc>
                <w:tcPr>
                  <w:tcW w:w="383" w:type="pct"/>
                  <w:vMerge w:val="restart"/>
                  <w:tcBorders>
                    <w:tl2br w:val="nil"/>
                    <w:tr2bl w:val="nil"/>
                  </w:tcBorders>
                  <w:noWrap w:val="0"/>
                  <w:vAlign w:val="center"/>
                </w:tcPr>
                <w:p w14:paraId="792A3E99">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排放口设置是否符合要求</w:t>
                  </w:r>
                </w:p>
              </w:tc>
              <w:tc>
                <w:tcPr>
                  <w:tcW w:w="899" w:type="pct"/>
                  <w:vMerge w:val="restart"/>
                  <w:tcBorders>
                    <w:tl2br w:val="nil"/>
                    <w:tr2bl w:val="nil"/>
                  </w:tcBorders>
                  <w:noWrap w:val="0"/>
                  <w:vAlign w:val="center"/>
                </w:tcPr>
                <w:p w14:paraId="054C607A">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排放口类型</w:t>
                  </w:r>
                </w:p>
              </w:tc>
            </w:tr>
            <w:tr w14:paraId="6E04FB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69" w:type="pct"/>
                  <w:vMerge w:val="continue"/>
                  <w:tcBorders>
                    <w:tl2br w:val="nil"/>
                    <w:tr2bl w:val="nil"/>
                  </w:tcBorders>
                  <w:noWrap w:val="0"/>
                  <w:vAlign w:val="center"/>
                </w:tcPr>
                <w:p w14:paraId="434F0B4D">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294" w:type="pct"/>
                  <w:vMerge w:val="continue"/>
                  <w:tcBorders>
                    <w:tl2br w:val="nil"/>
                    <w:tr2bl w:val="nil"/>
                  </w:tcBorders>
                  <w:noWrap w:val="0"/>
                  <w:vAlign w:val="center"/>
                </w:tcPr>
                <w:p w14:paraId="2D97DD86">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524" w:type="pct"/>
                  <w:vMerge w:val="continue"/>
                  <w:tcBorders>
                    <w:tl2br w:val="nil"/>
                    <w:tr2bl w:val="nil"/>
                  </w:tcBorders>
                  <w:noWrap w:val="0"/>
                  <w:vAlign w:val="center"/>
                </w:tcPr>
                <w:p w14:paraId="30A8DF47">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444" w:type="pct"/>
                  <w:vMerge w:val="continue"/>
                  <w:tcBorders>
                    <w:tl2br w:val="nil"/>
                    <w:tr2bl w:val="nil"/>
                  </w:tcBorders>
                  <w:noWrap w:val="0"/>
                  <w:vAlign w:val="center"/>
                </w:tcPr>
                <w:p w14:paraId="5556FEAA">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468" w:type="pct"/>
                  <w:vMerge w:val="continue"/>
                  <w:tcBorders>
                    <w:tl2br w:val="nil"/>
                    <w:tr2bl w:val="nil"/>
                  </w:tcBorders>
                  <w:noWrap w:val="0"/>
                  <w:vAlign w:val="center"/>
                </w:tcPr>
                <w:p w14:paraId="69E64CC6">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378" w:type="pct"/>
                  <w:tcBorders>
                    <w:tl2br w:val="nil"/>
                    <w:tr2bl w:val="nil"/>
                  </w:tcBorders>
                  <w:noWrap w:val="0"/>
                  <w:vAlign w:val="center"/>
                </w:tcPr>
                <w:p w14:paraId="3D3A706F">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污染治理设施编号</w:t>
                  </w:r>
                </w:p>
              </w:tc>
              <w:tc>
                <w:tcPr>
                  <w:tcW w:w="395" w:type="pct"/>
                  <w:tcBorders>
                    <w:tl2br w:val="nil"/>
                    <w:tr2bl w:val="nil"/>
                  </w:tcBorders>
                  <w:noWrap w:val="0"/>
                  <w:vAlign w:val="center"/>
                </w:tcPr>
                <w:p w14:paraId="3ED43BE8">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污染治理设施名称</w:t>
                  </w:r>
                </w:p>
              </w:tc>
              <w:tc>
                <w:tcPr>
                  <w:tcW w:w="404" w:type="pct"/>
                  <w:tcBorders>
                    <w:tl2br w:val="nil"/>
                    <w:tr2bl w:val="nil"/>
                  </w:tcBorders>
                  <w:noWrap w:val="0"/>
                  <w:vAlign w:val="center"/>
                </w:tcPr>
                <w:p w14:paraId="439B31A2">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污染治理设置工艺</w:t>
                  </w:r>
                </w:p>
              </w:tc>
              <w:tc>
                <w:tcPr>
                  <w:tcW w:w="537" w:type="pct"/>
                  <w:vMerge w:val="continue"/>
                  <w:tcBorders>
                    <w:tl2br w:val="nil"/>
                    <w:tr2bl w:val="nil"/>
                  </w:tcBorders>
                  <w:noWrap w:val="0"/>
                  <w:vAlign w:val="center"/>
                </w:tcPr>
                <w:p w14:paraId="2443B0D8">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383" w:type="pct"/>
                  <w:vMerge w:val="continue"/>
                  <w:tcBorders>
                    <w:tl2br w:val="nil"/>
                    <w:tr2bl w:val="nil"/>
                  </w:tcBorders>
                  <w:noWrap w:val="0"/>
                  <w:vAlign w:val="center"/>
                </w:tcPr>
                <w:p w14:paraId="381549D1">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899" w:type="pct"/>
                  <w:vMerge w:val="continue"/>
                  <w:tcBorders>
                    <w:tl2br w:val="nil"/>
                    <w:tr2bl w:val="nil"/>
                  </w:tcBorders>
                  <w:noWrap w:val="0"/>
                  <w:vAlign w:val="center"/>
                </w:tcPr>
                <w:p w14:paraId="18789E57">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r>
            <w:tr w14:paraId="726BD2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225" w:hRule="atLeast"/>
              </w:trPr>
              <w:tc>
                <w:tcPr>
                  <w:tcW w:w="269" w:type="pct"/>
                  <w:tcBorders>
                    <w:tl2br w:val="nil"/>
                    <w:tr2bl w:val="nil"/>
                  </w:tcBorders>
                  <w:noWrap w:val="0"/>
                  <w:vAlign w:val="center"/>
                </w:tcPr>
                <w:p w14:paraId="5845DE1B">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p w14:paraId="18A5135D">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1</w:t>
                  </w:r>
                </w:p>
              </w:tc>
              <w:tc>
                <w:tcPr>
                  <w:tcW w:w="294" w:type="pct"/>
                  <w:tcBorders>
                    <w:tl2br w:val="nil"/>
                    <w:tr2bl w:val="nil"/>
                  </w:tcBorders>
                  <w:noWrap w:val="0"/>
                  <w:vAlign w:val="center"/>
                </w:tcPr>
                <w:p w14:paraId="0EF50BA1">
                  <w:pPr>
                    <w:keepNext w:val="0"/>
                    <w:keepLines w:val="0"/>
                    <w:suppressLineNumbers w:val="0"/>
                    <w:adjustRightInd w:val="0"/>
                    <w:snapToGrid w:val="0"/>
                    <w:spacing w:before="0" w:beforeAutospacing="0" w:after="0" w:afterAutospacing="0"/>
                    <w:ind w:left="0" w:right="0"/>
                    <w:jc w:val="center"/>
                    <w:rPr>
                      <w:rFonts w:hint="eastAsia" w:eastAsia="宋体" w:cs="宋体"/>
                      <w:bCs/>
                      <w:color w:val="auto"/>
                      <w:spacing w:val="-11"/>
                      <w:sz w:val="21"/>
                      <w:szCs w:val="21"/>
                      <w:lang w:eastAsia="zh-CN"/>
                    </w:rPr>
                  </w:pPr>
                  <w:r>
                    <w:rPr>
                      <w:rFonts w:hint="eastAsia" w:cs="宋体"/>
                      <w:bCs/>
                      <w:color w:val="auto"/>
                      <w:spacing w:val="-11"/>
                      <w:sz w:val="21"/>
                      <w:szCs w:val="21"/>
                      <w:lang w:val="en-US" w:eastAsia="zh-CN"/>
                    </w:rPr>
                    <w:t>生活污水</w:t>
                  </w:r>
                </w:p>
              </w:tc>
              <w:tc>
                <w:tcPr>
                  <w:tcW w:w="524" w:type="pct"/>
                  <w:tcBorders>
                    <w:tl2br w:val="nil"/>
                    <w:tr2bl w:val="nil"/>
                  </w:tcBorders>
                  <w:noWrap w:val="0"/>
                  <w:vAlign w:val="center"/>
                </w:tcPr>
                <w:p w14:paraId="208B6045">
                  <w:pPr>
                    <w:keepNext w:val="0"/>
                    <w:keepLines w:val="0"/>
                    <w:suppressLineNumbers w:val="0"/>
                    <w:adjustRightInd w:val="0"/>
                    <w:snapToGrid w:val="0"/>
                    <w:spacing w:before="0" w:beforeAutospacing="0" w:after="0" w:afterAutospacing="0"/>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rPr>
                    <w:t>COD、SS、NH</w:t>
                  </w:r>
                  <w:r>
                    <w:rPr>
                      <w:rFonts w:hint="eastAsia" w:cs="宋体"/>
                      <w:bCs/>
                      <w:color w:val="auto"/>
                      <w:spacing w:val="-11"/>
                      <w:sz w:val="21"/>
                      <w:szCs w:val="21"/>
                      <w:vertAlign w:val="subscript"/>
                    </w:rPr>
                    <w:t>3</w:t>
                  </w:r>
                  <w:r>
                    <w:rPr>
                      <w:rFonts w:hint="eastAsia" w:cs="宋体"/>
                      <w:bCs/>
                      <w:color w:val="auto"/>
                      <w:spacing w:val="-11"/>
                      <w:sz w:val="21"/>
                      <w:szCs w:val="21"/>
                    </w:rPr>
                    <w:t>-</w:t>
                  </w:r>
                  <w:r>
                    <w:rPr>
                      <w:rFonts w:hint="eastAsia" w:cs="宋体"/>
                      <w:bCs/>
                      <w:color w:val="auto"/>
                      <w:spacing w:val="-11"/>
                      <w:sz w:val="21"/>
                      <w:szCs w:val="21"/>
                      <w:lang w:val="en-US" w:eastAsia="zh-CN"/>
                    </w:rPr>
                    <w:t>N</w:t>
                  </w:r>
                  <w:r>
                    <w:rPr>
                      <w:rFonts w:hint="eastAsia" w:cs="宋体"/>
                      <w:bCs/>
                      <w:color w:val="auto"/>
                      <w:spacing w:val="-11"/>
                      <w:sz w:val="21"/>
                      <w:szCs w:val="21"/>
                    </w:rPr>
                    <w:t>、TP、TN</w:t>
                  </w:r>
                </w:p>
              </w:tc>
              <w:tc>
                <w:tcPr>
                  <w:tcW w:w="444" w:type="pct"/>
                  <w:tcBorders>
                    <w:tl2br w:val="nil"/>
                    <w:tr2bl w:val="nil"/>
                  </w:tcBorders>
                  <w:noWrap w:val="0"/>
                  <w:vAlign w:val="center"/>
                </w:tcPr>
                <w:p w14:paraId="10CBE72B">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p w14:paraId="4BC613B4">
                  <w:pPr>
                    <w:keepNext w:val="0"/>
                    <w:keepLines w:val="0"/>
                    <w:suppressLineNumbers w:val="0"/>
                    <w:adjustRightInd w:val="0"/>
                    <w:snapToGrid w:val="0"/>
                    <w:spacing w:before="0" w:beforeAutospacing="0" w:after="0" w:afterAutospacing="0"/>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涟水经济开发区西区污水处理厂</w:t>
                  </w:r>
                </w:p>
              </w:tc>
              <w:tc>
                <w:tcPr>
                  <w:tcW w:w="468" w:type="pct"/>
                  <w:tcBorders>
                    <w:tl2br w:val="nil"/>
                    <w:tr2bl w:val="nil"/>
                  </w:tcBorders>
                  <w:noWrap w:val="0"/>
                  <w:vAlign w:val="center"/>
                </w:tcPr>
                <w:p w14:paraId="22D2A3F7">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p w14:paraId="203DE4C3">
                  <w:pPr>
                    <w:keepNext w:val="0"/>
                    <w:keepLines w:val="0"/>
                    <w:suppressLineNumbers w:val="0"/>
                    <w:adjustRightInd w:val="0"/>
                    <w:snapToGrid w:val="0"/>
                    <w:spacing w:before="0" w:beforeAutospacing="0" w:after="0" w:afterAutospacing="0"/>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间断排放，排放期间流量不稳定</w:t>
                  </w:r>
                </w:p>
              </w:tc>
              <w:tc>
                <w:tcPr>
                  <w:tcW w:w="378" w:type="pct"/>
                  <w:tcBorders>
                    <w:tl2br w:val="nil"/>
                    <w:tr2bl w:val="nil"/>
                  </w:tcBorders>
                  <w:noWrap w:val="0"/>
                  <w:vAlign w:val="center"/>
                </w:tcPr>
                <w:p w14:paraId="41C1E53E">
                  <w:pPr>
                    <w:keepNext w:val="0"/>
                    <w:keepLines w:val="0"/>
                    <w:suppressLineNumbers w:val="0"/>
                    <w:adjustRightInd w:val="0"/>
                    <w:snapToGrid w:val="0"/>
                    <w:spacing w:before="0" w:beforeAutospacing="0" w:after="0" w:afterAutospacing="0"/>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TW001</w:t>
                  </w:r>
                </w:p>
              </w:tc>
              <w:tc>
                <w:tcPr>
                  <w:tcW w:w="395" w:type="pct"/>
                  <w:tcBorders>
                    <w:tl2br w:val="nil"/>
                    <w:tr2bl w:val="nil"/>
                  </w:tcBorders>
                  <w:noWrap w:val="0"/>
                  <w:vAlign w:val="center"/>
                </w:tcPr>
                <w:p w14:paraId="3795AB87">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化粪池</w:t>
                  </w:r>
                </w:p>
              </w:tc>
              <w:tc>
                <w:tcPr>
                  <w:tcW w:w="404" w:type="pct"/>
                  <w:tcBorders>
                    <w:tl2br w:val="nil"/>
                    <w:tr2bl w:val="nil"/>
                  </w:tcBorders>
                  <w:noWrap w:val="0"/>
                  <w:vAlign w:val="center"/>
                </w:tcPr>
                <w:p w14:paraId="07F4287A">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p w14:paraId="3BF5FE91">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bCs/>
                      <w:color w:val="auto"/>
                      <w:spacing w:val="-11"/>
                      <w:sz w:val="21"/>
                      <w:szCs w:val="21"/>
                    </w:rPr>
                    <w:t>/</w:t>
                  </w:r>
                </w:p>
                <w:p w14:paraId="7BF1AC79">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537" w:type="pct"/>
                  <w:tcBorders>
                    <w:tl2br w:val="nil"/>
                    <w:tr2bl w:val="nil"/>
                  </w:tcBorders>
                  <w:noWrap w:val="0"/>
                  <w:vAlign w:val="center"/>
                </w:tcPr>
                <w:p w14:paraId="4D4022EF">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p w14:paraId="7CD6DB15">
                  <w:pPr>
                    <w:keepNext w:val="0"/>
                    <w:keepLines w:val="0"/>
                    <w:suppressLineNumbers w:val="0"/>
                    <w:adjustRightInd w:val="0"/>
                    <w:snapToGrid w:val="0"/>
                    <w:spacing w:before="0" w:beforeAutospacing="0" w:after="0" w:afterAutospacing="0"/>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DW001</w:t>
                  </w:r>
                </w:p>
                <w:p w14:paraId="093317B4">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tc>
              <w:tc>
                <w:tcPr>
                  <w:tcW w:w="383" w:type="pct"/>
                  <w:tcBorders>
                    <w:tl2br w:val="nil"/>
                    <w:tr2bl w:val="nil"/>
                  </w:tcBorders>
                  <w:noWrap w:val="0"/>
                  <w:vAlign w:val="center"/>
                </w:tcPr>
                <w:p w14:paraId="5519564F">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p w14:paraId="344A61A8">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p>
                <w:p w14:paraId="0A6F6770">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color w:val="auto"/>
                      <w:sz w:val="21"/>
                      <w:szCs w:val="21"/>
                    </w:rPr>
                    <w:t>☑</w:t>
                  </w:r>
                  <w:r>
                    <w:rPr>
                      <w:rFonts w:hint="eastAsia" w:cs="宋体"/>
                      <w:bCs/>
                      <w:color w:val="auto"/>
                      <w:spacing w:val="-11"/>
                      <w:sz w:val="21"/>
                      <w:szCs w:val="21"/>
                    </w:rPr>
                    <w:t>是</w:t>
                  </w:r>
                </w:p>
                <w:p w14:paraId="605EAD70">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olor w:val="auto"/>
                      <w:sz w:val="21"/>
                      <w:szCs w:val="21"/>
                    </w:rPr>
                    <w:t>□</w:t>
                  </w:r>
                  <w:r>
                    <w:rPr>
                      <w:rFonts w:hint="eastAsia" w:cs="宋体"/>
                      <w:bCs/>
                      <w:color w:val="auto"/>
                      <w:spacing w:val="-11"/>
                      <w:sz w:val="21"/>
                      <w:szCs w:val="21"/>
                    </w:rPr>
                    <w:t>否</w:t>
                  </w:r>
                </w:p>
              </w:tc>
              <w:tc>
                <w:tcPr>
                  <w:tcW w:w="899" w:type="pct"/>
                  <w:tcBorders>
                    <w:tl2br w:val="nil"/>
                    <w:tr2bl w:val="nil"/>
                  </w:tcBorders>
                  <w:noWrap w:val="0"/>
                  <w:vAlign w:val="center"/>
                </w:tcPr>
                <w:p w14:paraId="4CA9AA06">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s="宋体"/>
                      <w:color w:val="auto"/>
                      <w:sz w:val="21"/>
                      <w:szCs w:val="21"/>
                    </w:rPr>
                    <w:t>☑</w:t>
                  </w:r>
                  <w:r>
                    <w:rPr>
                      <w:rFonts w:hint="eastAsia" w:cs="宋体"/>
                      <w:bCs/>
                      <w:color w:val="auto"/>
                      <w:spacing w:val="-11"/>
                      <w:sz w:val="21"/>
                      <w:szCs w:val="21"/>
                    </w:rPr>
                    <w:t>企业总排</w:t>
                  </w:r>
                </w:p>
                <w:p w14:paraId="7D3888D7">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olor w:val="auto"/>
                      <w:sz w:val="21"/>
                      <w:szCs w:val="21"/>
                    </w:rPr>
                    <w:t>□</w:t>
                  </w:r>
                  <w:r>
                    <w:rPr>
                      <w:rFonts w:hint="eastAsia" w:cs="宋体"/>
                      <w:bCs/>
                      <w:color w:val="auto"/>
                      <w:spacing w:val="-11"/>
                      <w:sz w:val="21"/>
                      <w:szCs w:val="21"/>
                    </w:rPr>
                    <w:t>雨水排口</w:t>
                  </w:r>
                </w:p>
                <w:p w14:paraId="6A028407">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olor w:val="auto"/>
                      <w:sz w:val="21"/>
                      <w:szCs w:val="21"/>
                    </w:rPr>
                    <w:t>□</w:t>
                  </w:r>
                  <w:r>
                    <w:rPr>
                      <w:rFonts w:hint="eastAsia" w:cs="宋体"/>
                      <w:bCs/>
                      <w:color w:val="auto"/>
                      <w:spacing w:val="-11"/>
                      <w:sz w:val="21"/>
                      <w:szCs w:val="21"/>
                    </w:rPr>
                    <w:t>清洁下水排口</w:t>
                  </w:r>
                </w:p>
                <w:p w14:paraId="6FF5D9A0">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olor w:val="auto"/>
                      <w:sz w:val="21"/>
                      <w:szCs w:val="21"/>
                    </w:rPr>
                    <w:t>□</w:t>
                  </w:r>
                  <w:r>
                    <w:rPr>
                      <w:rFonts w:hint="eastAsia" w:cs="宋体"/>
                      <w:bCs/>
                      <w:color w:val="auto"/>
                      <w:spacing w:val="-11"/>
                      <w:sz w:val="21"/>
                      <w:szCs w:val="21"/>
                    </w:rPr>
                    <w:t>温排水排口</w:t>
                  </w:r>
                </w:p>
                <w:p w14:paraId="689BF264">
                  <w:pPr>
                    <w:keepNext w:val="0"/>
                    <w:keepLines w:val="0"/>
                    <w:suppressLineNumbers w:val="0"/>
                    <w:adjustRightInd w:val="0"/>
                    <w:snapToGrid w:val="0"/>
                    <w:spacing w:before="0" w:beforeAutospacing="0" w:after="0" w:afterAutospacing="0"/>
                    <w:ind w:left="0" w:right="0"/>
                    <w:jc w:val="center"/>
                    <w:rPr>
                      <w:rFonts w:hint="default" w:cs="宋体"/>
                      <w:bCs/>
                      <w:color w:val="auto"/>
                      <w:spacing w:val="-11"/>
                      <w:sz w:val="21"/>
                      <w:szCs w:val="21"/>
                    </w:rPr>
                  </w:pPr>
                  <w:r>
                    <w:rPr>
                      <w:rFonts w:hint="eastAsia"/>
                      <w:color w:val="auto"/>
                      <w:sz w:val="21"/>
                      <w:szCs w:val="21"/>
                    </w:rPr>
                    <w:t>□</w:t>
                  </w:r>
                  <w:r>
                    <w:rPr>
                      <w:rFonts w:hint="eastAsia" w:cs="宋体"/>
                      <w:bCs/>
                      <w:color w:val="auto"/>
                      <w:spacing w:val="-11"/>
                      <w:sz w:val="21"/>
                      <w:szCs w:val="21"/>
                    </w:rPr>
                    <w:t>车间或车间处理设施排放</w:t>
                  </w:r>
                </w:p>
              </w:tc>
            </w:tr>
          </w:tbl>
          <w:p w14:paraId="6ED33C5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80"/>
              <w:jc w:val="both"/>
              <w:textAlignment w:val="auto"/>
              <w:rPr>
                <w:rFonts w:hint="default"/>
                <w:color w:val="auto"/>
              </w:rPr>
            </w:pPr>
            <w:r>
              <w:rPr>
                <w:rFonts w:hint="eastAsia"/>
                <w:color w:val="auto"/>
              </w:rPr>
              <w:t>本项目废水间接排放口信息见</w:t>
            </w:r>
            <w:r>
              <w:rPr>
                <w:rFonts w:hint="eastAsia"/>
                <w:color w:val="auto"/>
                <w:lang w:val="en-US" w:eastAsia="zh-CN"/>
              </w:rPr>
              <w:t>下</w:t>
            </w:r>
            <w:r>
              <w:rPr>
                <w:rFonts w:hint="eastAsia"/>
                <w:color w:val="auto"/>
              </w:rPr>
              <w:t>表。</w:t>
            </w:r>
          </w:p>
          <w:p w14:paraId="7D2E41DE">
            <w:pPr>
              <w:pStyle w:val="6"/>
              <w:keepNext w:val="0"/>
              <w:keepLines w:val="0"/>
              <w:suppressLineNumbers w:val="0"/>
              <w:spacing w:before="0" w:beforeAutospacing="0" w:after="0" w:afterAutospacing="0" w:line="240" w:lineRule="auto"/>
              <w:ind w:left="0" w:leftChars="0" w:right="0" w:firstLine="0" w:firstLineChars="0"/>
              <w:jc w:val="center"/>
              <w:rPr>
                <w:rFonts w:hint="default"/>
                <w:b/>
                <w:bCs/>
                <w:color w:val="auto"/>
                <w:sz w:val="21"/>
                <w:szCs w:val="21"/>
              </w:rPr>
            </w:pPr>
            <w:r>
              <w:rPr>
                <w:rFonts w:hint="eastAsia"/>
                <w:b/>
                <w:bCs/>
                <w:color w:val="auto"/>
                <w:sz w:val="21"/>
                <w:szCs w:val="21"/>
                <w:lang w:val="en-US" w:eastAsia="zh-CN"/>
              </w:rPr>
              <w:t>表4-13  本项目废水间接排放口</w:t>
            </w:r>
            <w:r>
              <w:rPr>
                <w:rFonts w:hint="eastAsia"/>
                <w:b/>
                <w:bCs/>
                <w:color w:val="auto"/>
                <w:sz w:val="21"/>
                <w:szCs w:val="21"/>
              </w:rPr>
              <w:t>基本信息表</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76"/>
              <w:gridCol w:w="674"/>
              <w:gridCol w:w="904"/>
              <w:gridCol w:w="830"/>
              <w:gridCol w:w="590"/>
              <w:gridCol w:w="1010"/>
              <w:gridCol w:w="410"/>
              <w:gridCol w:w="480"/>
              <w:gridCol w:w="440"/>
              <w:gridCol w:w="760"/>
              <w:gridCol w:w="1572"/>
            </w:tblGrid>
            <w:tr w14:paraId="39B2F8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73" w:type="pct"/>
                  <w:vMerge w:val="restart"/>
                  <w:tcBorders>
                    <w:tl2br w:val="nil"/>
                    <w:tr2bl w:val="nil"/>
                  </w:tcBorders>
                  <w:noWrap w:val="0"/>
                  <w:vAlign w:val="center"/>
                </w:tcPr>
                <w:p w14:paraId="7D437817">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序号</w:t>
                  </w:r>
                </w:p>
              </w:tc>
              <w:tc>
                <w:tcPr>
                  <w:tcW w:w="424" w:type="pct"/>
                  <w:vMerge w:val="restart"/>
                  <w:tcBorders>
                    <w:tl2br w:val="nil"/>
                    <w:tr2bl w:val="nil"/>
                  </w:tcBorders>
                  <w:noWrap w:val="0"/>
                  <w:vAlign w:val="center"/>
                </w:tcPr>
                <w:p w14:paraId="4DE81D90">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排放口编号</w:t>
                  </w:r>
                </w:p>
              </w:tc>
              <w:tc>
                <w:tcPr>
                  <w:tcW w:w="1091" w:type="pct"/>
                  <w:gridSpan w:val="2"/>
                  <w:tcBorders>
                    <w:tl2br w:val="nil"/>
                    <w:tr2bl w:val="nil"/>
                  </w:tcBorders>
                  <w:noWrap w:val="0"/>
                  <w:vAlign w:val="center"/>
                </w:tcPr>
                <w:p w14:paraId="1A98EBF7">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排放口地理坐标</w:t>
                  </w:r>
                </w:p>
              </w:tc>
              <w:tc>
                <w:tcPr>
                  <w:tcW w:w="371" w:type="pct"/>
                  <w:vMerge w:val="restart"/>
                  <w:tcBorders>
                    <w:tl2br w:val="nil"/>
                    <w:tr2bl w:val="nil"/>
                  </w:tcBorders>
                  <w:noWrap w:val="0"/>
                  <w:vAlign w:val="center"/>
                </w:tcPr>
                <w:p w14:paraId="0B5A0EF9">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废水排放量（t/a）</w:t>
                  </w:r>
                </w:p>
              </w:tc>
              <w:tc>
                <w:tcPr>
                  <w:tcW w:w="635" w:type="pct"/>
                  <w:vMerge w:val="restart"/>
                  <w:tcBorders>
                    <w:tl2br w:val="nil"/>
                    <w:tr2bl w:val="nil"/>
                  </w:tcBorders>
                  <w:noWrap w:val="0"/>
                  <w:vAlign w:val="center"/>
                </w:tcPr>
                <w:p w14:paraId="32E7793B">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排放去向</w:t>
                  </w:r>
                </w:p>
              </w:tc>
              <w:tc>
                <w:tcPr>
                  <w:tcW w:w="257" w:type="pct"/>
                  <w:vMerge w:val="restart"/>
                  <w:tcBorders>
                    <w:tl2br w:val="nil"/>
                    <w:tr2bl w:val="nil"/>
                  </w:tcBorders>
                  <w:noWrap w:val="0"/>
                  <w:vAlign w:val="center"/>
                </w:tcPr>
                <w:p w14:paraId="6E771E7E">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排放规律</w:t>
                  </w:r>
                </w:p>
              </w:tc>
              <w:tc>
                <w:tcPr>
                  <w:tcW w:w="302" w:type="pct"/>
                  <w:vMerge w:val="restart"/>
                  <w:tcBorders>
                    <w:tl2br w:val="nil"/>
                    <w:tr2bl w:val="nil"/>
                  </w:tcBorders>
                  <w:noWrap w:val="0"/>
                  <w:vAlign w:val="center"/>
                </w:tcPr>
                <w:p w14:paraId="442A24E6">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间歇排放时段</w:t>
                  </w:r>
                </w:p>
              </w:tc>
              <w:tc>
                <w:tcPr>
                  <w:tcW w:w="1744" w:type="pct"/>
                  <w:gridSpan w:val="3"/>
                  <w:tcBorders>
                    <w:tl2br w:val="nil"/>
                    <w:tr2bl w:val="nil"/>
                  </w:tcBorders>
                  <w:noWrap w:val="0"/>
                  <w:vAlign w:val="center"/>
                </w:tcPr>
                <w:p w14:paraId="34BED09D">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收纳污水处理厂信息</w:t>
                  </w:r>
                </w:p>
              </w:tc>
            </w:tr>
            <w:tr w14:paraId="1F6C5B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73" w:type="pct"/>
                  <w:vMerge w:val="continue"/>
                  <w:tcBorders>
                    <w:tl2br w:val="nil"/>
                    <w:tr2bl w:val="nil"/>
                  </w:tcBorders>
                  <w:noWrap w:val="0"/>
                  <w:vAlign w:val="center"/>
                </w:tcPr>
                <w:p w14:paraId="4C211596">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p>
              </w:tc>
              <w:tc>
                <w:tcPr>
                  <w:tcW w:w="424" w:type="pct"/>
                  <w:vMerge w:val="continue"/>
                  <w:tcBorders>
                    <w:tl2br w:val="nil"/>
                    <w:tr2bl w:val="nil"/>
                  </w:tcBorders>
                  <w:noWrap w:val="0"/>
                  <w:vAlign w:val="center"/>
                </w:tcPr>
                <w:p w14:paraId="1137B9CA">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p>
              </w:tc>
              <w:tc>
                <w:tcPr>
                  <w:tcW w:w="568" w:type="pct"/>
                  <w:tcBorders>
                    <w:tl2br w:val="nil"/>
                    <w:tr2bl w:val="nil"/>
                  </w:tcBorders>
                  <w:noWrap w:val="0"/>
                  <w:vAlign w:val="center"/>
                </w:tcPr>
                <w:p w14:paraId="3FB20935">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经度</w:t>
                  </w:r>
                </w:p>
              </w:tc>
              <w:tc>
                <w:tcPr>
                  <w:tcW w:w="522" w:type="pct"/>
                  <w:tcBorders>
                    <w:tl2br w:val="nil"/>
                    <w:tr2bl w:val="nil"/>
                  </w:tcBorders>
                  <w:noWrap w:val="0"/>
                  <w:vAlign w:val="center"/>
                </w:tcPr>
                <w:p w14:paraId="4ED40177">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纬度</w:t>
                  </w:r>
                </w:p>
              </w:tc>
              <w:tc>
                <w:tcPr>
                  <w:tcW w:w="371" w:type="pct"/>
                  <w:vMerge w:val="continue"/>
                  <w:tcBorders>
                    <w:tl2br w:val="nil"/>
                    <w:tr2bl w:val="nil"/>
                  </w:tcBorders>
                  <w:noWrap w:val="0"/>
                  <w:vAlign w:val="center"/>
                </w:tcPr>
                <w:p w14:paraId="4E01E9F4">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p>
              </w:tc>
              <w:tc>
                <w:tcPr>
                  <w:tcW w:w="635" w:type="pct"/>
                  <w:vMerge w:val="continue"/>
                  <w:tcBorders>
                    <w:tl2br w:val="nil"/>
                    <w:tr2bl w:val="nil"/>
                  </w:tcBorders>
                  <w:noWrap w:val="0"/>
                  <w:vAlign w:val="center"/>
                </w:tcPr>
                <w:p w14:paraId="5B44A02F">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p>
              </w:tc>
              <w:tc>
                <w:tcPr>
                  <w:tcW w:w="257" w:type="pct"/>
                  <w:vMerge w:val="continue"/>
                  <w:tcBorders>
                    <w:tl2br w:val="nil"/>
                    <w:tr2bl w:val="nil"/>
                  </w:tcBorders>
                  <w:noWrap w:val="0"/>
                  <w:vAlign w:val="center"/>
                </w:tcPr>
                <w:p w14:paraId="13611722">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p>
              </w:tc>
              <w:tc>
                <w:tcPr>
                  <w:tcW w:w="302" w:type="pct"/>
                  <w:vMerge w:val="continue"/>
                  <w:tcBorders>
                    <w:tl2br w:val="nil"/>
                    <w:tr2bl w:val="nil"/>
                  </w:tcBorders>
                  <w:noWrap w:val="0"/>
                  <w:vAlign w:val="center"/>
                </w:tcPr>
                <w:p w14:paraId="0568D342">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p>
              </w:tc>
              <w:tc>
                <w:tcPr>
                  <w:tcW w:w="276" w:type="pct"/>
                  <w:tcBorders>
                    <w:tl2br w:val="nil"/>
                    <w:tr2bl w:val="nil"/>
                  </w:tcBorders>
                  <w:noWrap w:val="0"/>
                  <w:vAlign w:val="center"/>
                </w:tcPr>
                <w:p w14:paraId="756A59C1">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名称</w:t>
                  </w:r>
                </w:p>
              </w:tc>
              <w:tc>
                <w:tcPr>
                  <w:tcW w:w="478" w:type="pct"/>
                  <w:tcBorders>
                    <w:tl2br w:val="nil"/>
                    <w:tr2bl w:val="nil"/>
                  </w:tcBorders>
                  <w:noWrap w:val="0"/>
                  <w:vAlign w:val="center"/>
                </w:tcPr>
                <w:p w14:paraId="50DDDB80">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污染物种类</w:t>
                  </w:r>
                </w:p>
              </w:tc>
              <w:tc>
                <w:tcPr>
                  <w:tcW w:w="989" w:type="pct"/>
                  <w:tcBorders>
                    <w:tl2br w:val="nil"/>
                    <w:tr2bl w:val="nil"/>
                  </w:tcBorders>
                  <w:noWrap w:val="0"/>
                  <w:vAlign w:val="center"/>
                </w:tcPr>
                <w:p w14:paraId="335D0B19">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国家或地方污染物排放标准浓度限值（mg/L）</w:t>
                  </w:r>
                </w:p>
              </w:tc>
            </w:tr>
            <w:tr w14:paraId="778844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73" w:type="pct"/>
                  <w:vMerge w:val="restart"/>
                  <w:tcBorders>
                    <w:tl2br w:val="nil"/>
                    <w:tr2bl w:val="nil"/>
                  </w:tcBorders>
                  <w:noWrap w:val="0"/>
                  <w:vAlign w:val="center"/>
                </w:tcPr>
                <w:p w14:paraId="339E951C">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1</w:t>
                  </w:r>
                </w:p>
              </w:tc>
              <w:tc>
                <w:tcPr>
                  <w:tcW w:w="424" w:type="pct"/>
                  <w:vMerge w:val="restart"/>
                  <w:tcBorders>
                    <w:tl2br w:val="nil"/>
                    <w:tr2bl w:val="nil"/>
                  </w:tcBorders>
                  <w:noWrap w:val="0"/>
                  <w:vAlign w:val="center"/>
                </w:tcPr>
                <w:p w14:paraId="0FB0B6A1">
                  <w:pPr>
                    <w:keepNext w:val="0"/>
                    <w:keepLines w:val="0"/>
                    <w:suppressLineNumbers w:val="0"/>
                    <w:adjustRightInd w:val="0"/>
                    <w:snapToGrid w:val="0"/>
                    <w:spacing w:before="0" w:beforeAutospacing="0" w:after="0" w:afterAutospacing="0" w:line="360" w:lineRule="auto"/>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DW001</w:t>
                  </w:r>
                </w:p>
              </w:tc>
              <w:tc>
                <w:tcPr>
                  <w:tcW w:w="568" w:type="pct"/>
                  <w:vMerge w:val="restart"/>
                  <w:tcBorders>
                    <w:tl2br w:val="nil"/>
                    <w:tr2bl w:val="nil"/>
                  </w:tcBorders>
                  <w:noWrap w:val="0"/>
                  <w:vAlign w:val="center"/>
                </w:tcPr>
                <w:p w14:paraId="68FC20A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宋体"/>
                      <w:bCs/>
                      <w:color w:val="auto"/>
                      <w:spacing w:val="-11"/>
                      <w:sz w:val="21"/>
                      <w:szCs w:val="21"/>
                      <w:lang w:val="en-US" w:eastAsia="zh-CN"/>
                    </w:rPr>
                  </w:pPr>
                  <w:r>
                    <w:rPr>
                      <w:rFonts w:hint="eastAsia" w:ascii="Times New Roman" w:hAnsi="Times New Roman" w:cs="宋体"/>
                      <w:bCs/>
                      <w:color w:val="auto"/>
                      <w:spacing w:val="-11"/>
                      <w:sz w:val="21"/>
                      <w:szCs w:val="21"/>
                      <w:lang w:val="en-US" w:eastAsia="zh-CN"/>
                    </w:rPr>
                    <w:t>119°</w:t>
                  </w:r>
                  <w:r>
                    <w:rPr>
                      <w:rFonts w:hint="eastAsia" w:cs="宋体"/>
                      <w:bCs/>
                      <w:color w:val="auto"/>
                      <w:spacing w:val="-11"/>
                      <w:sz w:val="21"/>
                      <w:szCs w:val="21"/>
                      <w:lang w:val="en-US" w:eastAsia="zh-CN"/>
                    </w:rPr>
                    <w:t>14</w:t>
                  </w:r>
                  <w:r>
                    <w:rPr>
                      <w:rFonts w:hint="eastAsia" w:ascii="Times New Roman" w:hAnsi="Times New Roman" w:cs="宋体"/>
                      <w:bCs/>
                      <w:color w:val="auto"/>
                      <w:spacing w:val="-11"/>
                      <w:sz w:val="21"/>
                      <w:szCs w:val="21"/>
                      <w:lang w:val="en-US" w:eastAsia="zh-CN"/>
                    </w:rPr>
                    <w:t>′</w:t>
                  </w:r>
                  <w:r>
                    <w:rPr>
                      <w:rFonts w:hint="eastAsia" w:cs="宋体"/>
                      <w:bCs/>
                      <w:color w:val="auto"/>
                      <w:spacing w:val="-11"/>
                      <w:sz w:val="21"/>
                      <w:szCs w:val="21"/>
                      <w:lang w:val="en-US" w:eastAsia="zh-CN"/>
                    </w:rPr>
                    <w:t>58.084</w:t>
                  </w:r>
                  <w:r>
                    <w:rPr>
                      <w:rFonts w:hint="eastAsia" w:ascii="Times New Roman" w:hAnsi="Times New Roman" w:cs="宋体"/>
                      <w:bCs/>
                      <w:color w:val="auto"/>
                      <w:spacing w:val="-11"/>
                      <w:sz w:val="21"/>
                      <w:szCs w:val="21"/>
                      <w:lang w:val="en-US" w:eastAsia="zh-CN"/>
                    </w:rPr>
                    <w:t>″</w:t>
                  </w:r>
                </w:p>
              </w:tc>
              <w:tc>
                <w:tcPr>
                  <w:tcW w:w="522" w:type="pct"/>
                  <w:vMerge w:val="restart"/>
                  <w:tcBorders>
                    <w:tl2br w:val="nil"/>
                    <w:tr2bl w:val="nil"/>
                  </w:tcBorders>
                  <w:noWrap w:val="0"/>
                  <w:vAlign w:val="center"/>
                </w:tcPr>
                <w:p w14:paraId="3604E10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宋体"/>
                      <w:bCs/>
                      <w:color w:val="auto"/>
                      <w:spacing w:val="-11"/>
                      <w:sz w:val="21"/>
                      <w:szCs w:val="21"/>
                      <w:lang w:val="en-US" w:eastAsia="zh-CN"/>
                    </w:rPr>
                  </w:pPr>
                  <w:r>
                    <w:rPr>
                      <w:rFonts w:hint="eastAsia" w:ascii="Times New Roman" w:hAnsi="Times New Roman" w:cs="宋体"/>
                      <w:bCs/>
                      <w:color w:val="auto"/>
                      <w:spacing w:val="-11"/>
                      <w:sz w:val="21"/>
                      <w:szCs w:val="21"/>
                      <w:lang w:val="en-US" w:eastAsia="zh-CN"/>
                    </w:rPr>
                    <w:t>33°4</w:t>
                  </w:r>
                  <w:r>
                    <w:rPr>
                      <w:rFonts w:hint="eastAsia" w:cs="宋体"/>
                      <w:bCs/>
                      <w:color w:val="auto"/>
                      <w:spacing w:val="-11"/>
                      <w:sz w:val="21"/>
                      <w:szCs w:val="21"/>
                      <w:lang w:val="en-US" w:eastAsia="zh-CN"/>
                    </w:rPr>
                    <w:t>8</w:t>
                  </w:r>
                  <w:r>
                    <w:rPr>
                      <w:rFonts w:hint="eastAsia" w:ascii="Times New Roman" w:hAnsi="Times New Roman" w:cs="宋体"/>
                      <w:bCs/>
                      <w:color w:val="auto"/>
                      <w:spacing w:val="-11"/>
                      <w:sz w:val="21"/>
                      <w:szCs w:val="21"/>
                      <w:lang w:val="en-US" w:eastAsia="zh-CN"/>
                    </w:rPr>
                    <w:t>′</w:t>
                  </w:r>
                  <w:r>
                    <w:rPr>
                      <w:rFonts w:hint="eastAsia" w:cs="宋体"/>
                      <w:bCs/>
                      <w:color w:val="auto"/>
                      <w:spacing w:val="-11"/>
                      <w:sz w:val="21"/>
                      <w:szCs w:val="21"/>
                      <w:lang w:val="en-US" w:eastAsia="zh-CN"/>
                    </w:rPr>
                    <w:t>31.367</w:t>
                  </w:r>
                  <w:r>
                    <w:rPr>
                      <w:rFonts w:hint="eastAsia" w:ascii="Times New Roman" w:hAnsi="Times New Roman" w:cs="宋体"/>
                      <w:bCs/>
                      <w:color w:val="auto"/>
                      <w:spacing w:val="-11"/>
                      <w:sz w:val="21"/>
                      <w:szCs w:val="21"/>
                      <w:lang w:val="en-US" w:eastAsia="zh-CN"/>
                    </w:rPr>
                    <w:t>″</w:t>
                  </w:r>
                </w:p>
              </w:tc>
              <w:tc>
                <w:tcPr>
                  <w:tcW w:w="371" w:type="pct"/>
                  <w:vMerge w:val="restart"/>
                  <w:tcBorders>
                    <w:tl2br w:val="nil"/>
                    <w:tr2bl w:val="nil"/>
                  </w:tcBorders>
                  <w:noWrap w:val="0"/>
                  <w:vAlign w:val="center"/>
                </w:tcPr>
                <w:p w14:paraId="567C0067">
                  <w:pPr>
                    <w:keepNext w:val="0"/>
                    <w:keepLines w:val="0"/>
                    <w:suppressLineNumbers w:val="0"/>
                    <w:adjustRightInd w:val="0"/>
                    <w:snapToGrid w:val="0"/>
                    <w:spacing w:before="0" w:beforeAutospacing="0" w:after="0" w:afterAutospacing="0" w:line="360" w:lineRule="auto"/>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360</w:t>
                  </w:r>
                </w:p>
              </w:tc>
              <w:tc>
                <w:tcPr>
                  <w:tcW w:w="635" w:type="pct"/>
                  <w:vMerge w:val="restart"/>
                  <w:tcBorders>
                    <w:tl2br w:val="nil"/>
                    <w:tr2bl w:val="nil"/>
                  </w:tcBorders>
                  <w:noWrap w:val="0"/>
                  <w:vAlign w:val="center"/>
                </w:tcPr>
                <w:p w14:paraId="3A06B6EE">
                  <w:pPr>
                    <w:keepNext w:val="0"/>
                    <w:keepLines w:val="0"/>
                    <w:suppressLineNumbers w:val="0"/>
                    <w:adjustRightInd w:val="0"/>
                    <w:snapToGrid w:val="0"/>
                    <w:spacing w:before="0" w:beforeAutospacing="0" w:after="0" w:afterAutospacing="0" w:line="360" w:lineRule="auto"/>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涟水经济开发区西区污水处理厂</w:t>
                  </w:r>
                </w:p>
              </w:tc>
              <w:tc>
                <w:tcPr>
                  <w:tcW w:w="257" w:type="pct"/>
                  <w:vMerge w:val="restart"/>
                  <w:tcBorders>
                    <w:tl2br w:val="nil"/>
                    <w:tr2bl w:val="nil"/>
                  </w:tcBorders>
                  <w:noWrap w:val="0"/>
                  <w:vAlign w:val="center"/>
                </w:tcPr>
                <w:p w14:paraId="4E091573">
                  <w:pPr>
                    <w:keepNext w:val="0"/>
                    <w:keepLines w:val="0"/>
                    <w:suppressLineNumbers w:val="0"/>
                    <w:adjustRightInd w:val="0"/>
                    <w:snapToGrid w:val="0"/>
                    <w:spacing w:before="0" w:beforeAutospacing="0" w:after="0" w:afterAutospacing="0" w:line="360" w:lineRule="auto"/>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间断排放</w:t>
                  </w:r>
                </w:p>
              </w:tc>
              <w:tc>
                <w:tcPr>
                  <w:tcW w:w="302" w:type="pct"/>
                  <w:vMerge w:val="restart"/>
                  <w:tcBorders>
                    <w:tl2br w:val="nil"/>
                    <w:tr2bl w:val="nil"/>
                  </w:tcBorders>
                  <w:noWrap w:val="0"/>
                  <w:vAlign w:val="center"/>
                </w:tcPr>
                <w:p w14:paraId="41F833F7">
                  <w:pPr>
                    <w:keepNext w:val="0"/>
                    <w:keepLines w:val="0"/>
                    <w:suppressLineNumbers w:val="0"/>
                    <w:adjustRightInd w:val="0"/>
                    <w:snapToGrid w:val="0"/>
                    <w:spacing w:before="0" w:beforeAutospacing="0" w:after="0" w:afterAutospacing="0" w:line="360" w:lineRule="auto"/>
                    <w:ind w:left="0" w:right="0"/>
                    <w:jc w:val="center"/>
                    <w:rPr>
                      <w:rFonts w:hint="default" w:cs="宋体"/>
                      <w:bCs/>
                      <w:color w:val="auto"/>
                      <w:spacing w:val="-11"/>
                      <w:sz w:val="21"/>
                      <w:szCs w:val="21"/>
                    </w:rPr>
                  </w:pPr>
                  <w:r>
                    <w:rPr>
                      <w:rFonts w:hint="eastAsia" w:cs="宋体"/>
                      <w:bCs/>
                      <w:color w:val="auto"/>
                      <w:spacing w:val="-11"/>
                      <w:sz w:val="21"/>
                      <w:szCs w:val="21"/>
                    </w:rPr>
                    <w:t>/</w:t>
                  </w:r>
                </w:p>
              </w:tc>
              <w:tc>
                <w:tcPr>
                  <w:tcW w:w="276" w:type="pct"/>
                  <w:vMerge w:val="restart"/>
                  <w:tcBorders>
                    <w:tl2br w:val="nil"/>
                    <w:tr2bl w:val="nil"/>
                  </w:tcBorders>
                  <w:noWrap w:val="0"/>
                  <w:vAlign w:val="center"/>
                </w:tcPr>
                <w:p w14:paraId="2AE88689">
                  <w:pPr>
                    <w:keepNext w:val="0"/>
                    <w:keepLines w:val="0"/>
                    <w:suppressLineNumbers w:val="0"/>
                    <w:adjustRightInd w:val="0"/>
                    <w:snapToGrid w:val="0"/>
                    <w:spacing w:before="0" w:beforeAutospacing="0" w:after="0" w:afterAutospacing="0" w:line="360" w:lineRule="auto"/>
                    <w:ind w:left="0" w:right="0"/>
                    <w:jc w:val="center"/>
                    <w:rPr>
                      <w:rFonts w:hint="default" w:eastAsia="宋体" w:cs="宋体"/>
                      <w:bCs/>
                      <w:color w:val="auto"/>
                      <w:spacing w:val="-11"/>
                      <w:sz w:val="21"/>
                      <w:szCs w:val="21"/>
                      <w:lang w:val="en-US" w:eastAsia="zh-CN"/>
                    </w:rPr>
                  </w:pPr>
                  <w:r>
                    <w:rPr>
                      <w:rFonts w:hint="eastAsia" w:cs="宋体"/>
                      <w:bCs/>
                      <w:color w:val="auto"/>
                      <w:spacing w:val="-11"/>
                      <w:sz w:val="21"/>
                      <w:szCs w:val="21"/>
                      <w:lang w:val="en-US" w:eastAsia="zh-CN"/>
                    </w:rPr>
                    <w:t>生活污水排放口</w:t>
                  </w:r>
                </w:p>
              </w:tc>
              <w:tc>
                <w:tcPr>
                  <w:tcW w:w="478" w:type="pct"/>
                  <w:tcBorders>
                    <w:tl2br w:val="nil"/>
                    <w:tr2bl w:val="nil"/>
                  </w:tcBorders>
                  <w:noWrap w:val="0"/>
                  <w:vAlign w:val="center"/>
                </w:tcPr>
                <w:p w14:paraId="406AEE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COD</w:t>
                  </w:r>
                </w:p>
              </w:tc>
              <w:tc>
                <w:tcPr>
                  <w:tcW w:w="989" w:type="pct"/>
                  <w:tcBorders>
                    <w:tl2br w:val="nil"/>
                    <w:tr2bl w:val="nil"/>
                  </w:tcBorders>
                  <w:noWrap w:val="0"/>
                  <w:vAlign w:val="center"/>
                </w:tcPr>
                <w:p w14:paraId="6CC8F0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50</w:t>
                  </w:r>
                </w:p>
              </w:tc>
            </w:tr>
            <w:tr w14:paraId="7E2389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73" w:type="pct"/>
                  <w:vMerge w:val="continue"/>
                  <w:tcBorders>
                    <w:tl2br w:val="nil"/>
                    <w:tr2bl w:val="nil"/>
                  </w:tcBorders>
                  <w:noWrap w:val="0"/>
                  <w:vAlign w:val="center"/>
                </w:tcPr>
                <w:p w14:paraId="5AF245ED">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24" w:type="pct"/>
                  <w:vMerge w:val="continue"/>
                  <w:tcBorders>
                    <w:tl2br w:val="nil"/>
                    <w:tr2bl w:val="nil"/>
                  </w:tcBorders>
                  <w:noWrap w:val="0"/>
                  <w:vAlign w:val="center"/>
                </w:tcPr>
                <w:p w14:paraId="17E7A528">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68" w:type="pct"/>
                  <w:vMerge w:val="continue"/>
                  <w:tcBorders>
                    <w:tl2br w:val="nil"/>
                    <w:tr2bl w:val="nil"/>
                  </w:tcBorders>
                  <w:noWrap w:val="0"/>
                  <w:vAlign w:val="center"/>
                </w:tcPr>
                <w:p w14:paraId="0929C9CC">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22" w:type="pct"/>
                  <w:vMerge w:val="continue"/>
                  <w:tcBorders>
                    <w:tl2br w:val="nil"/>
                    <w:tr2bl w:val="nil"/>
                  </w:tcBorders>
                  <w:noWrap w:val="0"/>
                  <w:vAlign w:val="center"/>
                </w:tcPr>
                <w:p w14:paraId="42664F46">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71" w:type="pct"/>
                  <w:vMerge w:val="continue"/>
                  <w:tcBorders>
                    <w:tl2br w:val="nil"/>
                    <w:tr2bl w:val="nil"/>
                  </w:tcBorders>
                  <w:noWrap w:val="0"/>
                  <w:vAlign w:val="center"/>
                </w:tcPr>
                <w:p w14:paraId="4DBDAF70">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635" w:type="pct"/>
                  <w:vMerge w:val="continue"/>
                  <w:tcBorders>
                    <w:tl2br w:val="nil"/>
                    <w:tr2bl w:val="nil"/>
                  </w:tcBorders>
                  <w:noWrap w:val="0"/>
                  <w:vAlign w:val="center"/>
                </w:tcPr>
                <w:p w14:paraId="69530F6A">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57" w:type="pct"/>
                  <w:vMerge w:val="continue"/>
                  <w:tcBorders>
                    <w:tl2br w:val="nil"/>
                    <w:tr2bl w:val="nil"/>
                  </w:tcBorders>
                  <w:noWrap w:val="0"/>
                  <w:vAlign w:val="center"/>
                </w:tcPr>
                <w:p w14:paraId="65353C8B">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02" w:type="pct"/>
                  <w:vMerge w:val="continue"/>
                  <w:tcBorders>
                    <w:tl2br w:val="nil"/>
                    <w:tr2bl w:val="nil"/>
                  </w:tcBorders>
                  <w:noWrap w:val="0"/>
                  <w:vAlign w:val="center"/>
                </w:tcPr>
                <w:p w14:paraId="6BAE6B6D">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76" w:type="pct"/>
                  <w:vMerge w:val="continue"/>
                  <w:tcBorders>
                    <w:tl2br w:val="nil"/>
                    <w:tr2bl w:val="nil"/>
                  </w:tcBorders>
                  <w:noWrap w:val="0"/>
                  <w:vAlign w:val="center"/>
                </w:tcPr>
                <w:p w14:paraId="435A0DB5">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78" w:type="pct"/>
                  <w:tcBorders>
                    <w:tl2br w:val="nil"/>
                    <w:tr2bl w:val="nil"/>
                  </w:tcBorders>
                  <w:noWrap w:val="0"/>
                  <w:vAlign w:val="center"/>
                </w:tcPr>
                <w:p w14:paraId="02CBB1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SS</w:t>
                  </w:r>
                </w:p>
              </w:tc>
              <w:tc>
                <w:tcPr>
                  <w:tcW w:w="989" w:type="pct"/>
                  <w:tcBorders>
                    <w:tl2br w:val="nil"/>
                    <w:tr2bl w:val="nil"/>
                  </w:tcBorders>
                  <w:noWrap w:val="0"/>
                  <w:vAlign w:val="center"/>
                </w:tcPr>
                <w:p w14:paraId="26F106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10</w:t>
                  </w:r>
                </w:p>
              </w:tc>
            </w:tr>
            <w:tr w14:paraId="33FB88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73" w:type="pct"/>
                  <w:vMerge w:val="continue"/>
                  <w:tcBorders>
                    <w:tl2br w:val="nil"/>
                    <w:tr2bl w:val="nil"/>
                  </w:tcBorders>
                  <w:noWrap w:val="0"/>
                  <w:vAlign w:val="center"/>
                </w:tcPr>
                <w:p w14:paraId="6F394A51">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24" w:type="pct"/>
                  <w:vMerge w:val="continue"/>
                  <w:tcBorders>
                    <w:tl2br w:val="nil"/>
                    <w:tr2bl w:val="nil"/>
                  </w:tcBorders>
                  <w:noWrap w:val="0"/>
                  <w:vAlign w:val="center"/>
                </w:tcPr>
                <w:p w14:paraId="64A4C14F">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68" w:type="pct"/>
                  <w:vMerge w:val="continue"/>
                  <w:tcBorders>
                    <w:tl2br w:val="nil"/>
                    <w:tr2bl w:val="nil"/>
                  </w:tcBorders>
                  <w:noWrap w:val="0"/>
                  <w:vAlign w:val="center"/>
                </w:tcPr>
                <w:p w14:paraId="20A96CB2">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22" w:type="pct"/>
                  <w:vMerge w:val="continue"/>
                  <w:tcBorders>
                    <w:tl2br w:val="nil"/>
                    <w:tr2bl w:val="nil"/>
                  </w:tcBorders>
                  <w:noWrap w:val="0"/>
                  <w:vAlign w:val="center"/>
                </w:tcPr>
                <w:p w14:paraId="3FEA77F6">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71" w:type="pct"/>
                  <w:vMerge w:val="continue"/>
                  <w:tcBorders>
                    <w:tl2br w:val="nil"/>
                    <w:tr2bl w:val="nil"/>
                  </w:tcBorders>
                  <w:noWrap w:val="0"/>
                  <w:vAlign w:val="center"/>
                </w:tcPr>
                <w:p w14:paraId="4EDD63A7">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635" w:type="pct"/>
                  <w:vMerge w:val="continue"/>
                  <w:tcBorders>
                    <w:tl2br w:val="nil"/>
                    <w:tr2bl w:val="nil"/>
                  </w:tcBorders>
                  <w:noWrap w:val="0"/>
                  <w:vAlign w:val="center"/>
                </w:tcPr>
                <w:p w14:paraId="71165150">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57" w:type="pct"/>
                  <w:vMerge w:val="continue"/>
                  <w:tcBorders>
                    <w:tl2br w:val="nil"/>
                    <w:tr2bl w:val="nil"/>
                  </w:tcBorders>
                  <w:noWrap w:val="0"/>
                  <w:vAlign w:val="center"/>
                </w:tcPr>
                <w:p w14:paraId="79A07989">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02" w:type="pct"/>
                  <w:vMerge w:val="continue"/>
                  <w:tcBorders>
                    <w:tl2br w:val="nil"/>
                    <w:tr2bl w:val="nil"/>
                  </w:tcBorders>
                  <w:noWrap w:val="0"/>
                  <w:vAlign w:val="center"/>
                </w:tcPr>
                <w:p w14:paraId="7DA34C75">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76" w:type="pct"/>
                  <w:vMerge w:val="continue"/>
                  <w:tcBorders>
                    <w:tl2br w:val="nil"/>
                    <w:tr2bl w:val="nil"/>
                  </w:tcBorders>
                  <w:noWrap w:val="0"/>
                  <w:vAlign w:val="center"/>
                </w:tcPr>
                <w:p w14:paraId="29D413C8">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78" w:type="pct"/>
                  <w:tcBorders>
                    <w:tl2br w:val="nil"/>
                    <w:tr2bl w:val="nil"/>
                  </w:tcBorders>
                  <w:noWrap w:val="0"/>
                  <w:vAlign w:val="center"/>
                </w:tcPr>
                <w:p w14:paraId="02E93E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NH</w:t>
                  </w:r>
                  <w:r>
                    <w:rPr>
                      <w:rFonts w:hint="eastAsia" w:ascii="Times New Roman" w:hAnsi="Times New Roman" w:eastAsia="宋体" w:cs="宋体"/>
                      <w:bCs/>
                      <w:color w:val="auto"/>
                      <w:spacing w:val="-11"/>
                      <w:sz w:val="21"/>
                      <w:szCs w:val="21"/>
                      <w:vertAlign w:val="subscript"/>
                      <w:lang w:val="en-US" w:eastAsia="zh-CN"/>
                    </w:rPr>
                    <w:t>3</w:t>
                  </w:r>
                  <w:r>
                    <w:rPr>
                      <w:rFonts w:hint="eastAsia" w:ascii="Times New Roman" w:hAnsi="Times New Roman" w:eastAsia="宋体" w:cs="宋体"/>
                      <w:bCs/>
                      <w:color w:val="auto"/>
                      <w:spacing w:val="-11"/>
                      <w:sz w:val="21"/>
                      <w:szCs w:val="21"/>
                      <w:lang w:val="en-US" w:eastAsia="zh-CN"/>
                    </w:rPr>
                    <w:t>-</w:t>
                  </w:r>
                  <w:r>
                    <w:rPr>
                      <w:rFonts w:hint="eastAsia" w:cs="宋体"/>
                      <w:bCs/>
                      <w:color w:val="auto"/>
                      <w:spacing w:val="-11"/>
                      <w:sz w:val="21"/>
                      <w:szCs w:val="21"/>
                      <w:lang w:val="en-US" w:eastAsia="zh-CN"/>
                    </w:rPr>
                    <w:t>N</w:t>
                  </w:r>
                </w:p>
              </w:tc>
              <w:tc>
                <w:tcPr>
                  <w:tcW w:w="989" w:type="pct"/>
                  <w:tcBorders>
                    <w:tl2br w:val="nil"/>
                    <w:tr2bl w:val="nil"/>
                  </w:tcBorders>
                  <w:noWrap w:val="0"/>
                  <w:vAlign w:val="center"/>
                </w:tcPr>
                <w:p w14:paraId="377AA7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5</w:t>
                  </w:r>
                </w:p>
              </w:tc>
            </w:tr>
            <w:tr w14:paraId="446069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73" w:type="pct"/>
                  <w:vMerge w:val="continue"/>
                  <w:tcBorders>
                    <w:tl2br w:val="nil"/>
                    <w:tr2bl w:val="nil"/>
                  </w:tcBorders>
                  <w:noWrap w:val="0"/>
                  <w:vAlign w:val="center"/>
                </w:tcPr>
                <w:p w14:paraId="60A3F47A">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24" w:type="pct"/>
                  <w:vMerge w:val="continue"/>
                  <w:tcBorders>
                    <w:tl2br w:val="nil"/>
                    <w:tr2bl w:val="nil"/>
                  </w:tcBorders>
                  <w:noWrap w:val="0"/>
                  <w:vAlign w:val="center"/>
                </w:tcPr>
                <w:p w14:paraId="02038FA4">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68" w:type="pct"/>
                  <w:vMerge w:val="continue"/>
                  <w:tcBorders>
                    <w:tl2br w:val="nil"/>
                    <w:tr2bl w:val="nil"/>
                  </w:tcBorders>
                  <w:noWrap w:val="0"/>
                  <w:vAlign w:val="center"/>
                </w:tcPr>
                <w:p w14:paraId="642823B5">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22" w:type="pct"/>
                  <w:vMerge w:val="continue"/>
                  <w:tcBorders>
                    <w:tl2br w:val="nil"/>
                    <w:tr2bl w:val="nil"/>
                  </w:tcBorders>
                  <w:noWrap w:val="0"/>
                  <w:vAlign w:val="center"/>
                </w:tcPr>
                <w:p w14:paraId="5A772244">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71" w:type="pct"/>
                  <w:vMerge w:val="continue"/>
                  <w:tcBorders>
                    <w:tl2br w:val="nil"/>
                    <w:tr2bl w:val="nil"/>
                  </w:tcBorders>
                  <w:noWrap w:val="0"/>
                  <w:vAlign w:val="center"/>
                </w:tcPr>
                <w:p w14:paraId="273822B6">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635" w:type="pct"/>
                  <w:vMerge w:val="continue"/>
                  <w:tcBorders>
                    <w:tl2br w:val="nil"/>
                    <w:tr2bl w:val="nil"/>
                  </w:tcBorders>
                  <w:noWrap w:val="0"/>
                  <w:vAlign w:val="center"/>
                </w:tcPr>
                <w:p w14:paraId="490E421E">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57" w:type="pct"/>
                  <w:vMerge w:val="continue"/>
                  <w:tcBorders>
                    <w:tl2br w:val="nil"/>
                    <w:tr2bl w:val="nil"/>
                  </w:tcBorders>
                  <w:noWrap w:val="0"/>
                  <w:vAlign w:val="center"/>
                </w:tcPr>
                <w:p w14:paraId="0C8DA6F0">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02" w:type="pct"/>
                  <w:vMerge w:val="continue"/>
                  <w:tcBorders>
                    <w:tl2br w:val="nil"/>
                    <w:tr2bl w:val="nil"/>
                  </w:tcBorders>
                  <w:noWrap w:val="0"/>
                  <w:vAlign w:val="center"/>
                </w:tcPr>
                <w:p w14:paraId="03BD2894">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76" w:type="pct"/>
                  <w:vMerge w:val="continue"/>
                  <w:tcBorders>
                    <w:tl2br w:val="nil"/>
                    <w:tr2bl w:val="nil"/>
                  </w:tcBorders>
                  <w:noWrap w:val="0"/>
                  <w:vAlign w:val="center"/>
                </w:tcPr>
                <w:p w14:paraId="78E8BC96">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78" w:type="pct"/>
                  <w:tcBorders>
                    <w:tl2br w:val="nil"/>
                    <w:tr2bl w:val="nil"/>
                  </w:tcBorders>
                  <w:noWrap w:val="0"/>
                  <w:vAlign w:val="center"/>
                </w:tcPr>
                <w:p w14:paraId="0CACE0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kern w:val="2"/>
                      <w:sz w:val="21"/>
                      <w:szCs w:val="21"/>
                      <w:lang w:val="en-US" w:eastAsia="zh-CN" w:bidi="ar-SA"/>
                    </w:rPr>
                    <w:t>TN</w:t>
                  </w:r>
                </w:p>
              </w:tc>
              <w:tc>
                <w:tcPr>
                  <w:tcW w:w="989" w:type="pct"/>
                  <w:tcBorders>
                    <w:tl2br w:val="nil"/>
                    <w:tr2bl w:val="nil"/>
                  </w:tcBorders>
                  <w:noWrap w:val="0"/>
                  <w:vAlign w:val="center"/>
                </w:tcPr>
                <w:p w14:paraId="7BE249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kern w:val="2"/>
                      <w:sz w:val="21"/>
                      <w:szCs w:val="21"/>
                      <w:lang w:val="en-US" w:eastAsia="zh-CN" w:bidi="ar-SA"/>
                    </w:rPr>
                    <w:t>15</w:t>
                  </w:r>
                </w:p>
              </w:tc>
            </w:tr>
            <w:tr w14:paraId="36CA56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73" w:type="pct"/>
                  <w:vMerge w:val="continue"/>
                  <w:tcBorders>
                    <w:tl2br w:val="nil"/>
                    <w:tr2bl w:val="nil"/>
                  </w:tcBorders>
                  <w:noWrap w:val="0"/>
                  <w:vAlign w:val="center"/>
                </w:tcPr>
                <w:p w14:paraId="76EA74F3">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24" w:type="pct"/>
                  <w:vMerge w:val="continue"/>
                  <w:tcBorders>
                    <w:tl2br w:val="nil"/>
                    <w:tr2bl w:val="nil"/>
                  </w:tcBorders>
                  <w:noWrap w:val="0"/>
                  <w:vAlign w:val="center"/>
                </w:tcPr>
                <w:p w14:paraId="45955B2D">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68" w:type="pct"/>
                  <w:vMerge w:val="continue"/>
                  <w:tcBorders>
                    <w:tl2br w:val="nil"/>
                    <w:tr2bl w:val="nil"/>
                  </w:tcBorders>
                  <w:noWrap w:val="0"/>
                  <w:vAlign w:val="center"/>
                </w:tcPr>
                <w:p w14:paraId="39E0E81C">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522" w:type="pct"/>
                  <w:vMerge w:val="continue"/>
                  <w:tcBorders>
                    <w:tl2br w:val="nil"/>
                    <w:tr2bl w:val="nil"/>
                  </w:tcBorders>
                  <w:noWrap w:val="0"/>
                  <w:vAlign w:val="center"/>
                </w:tcPr>
                <w:p w14:paraId="037B7570">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71" w:type="pct"/>
                  <w:vMerge w:val="continue"/>
                  <w:tcBorders>
                    <w:tl2br w:val="nil"/>
                    <w:tr2bl w:val="nil"/>
                  </w:tcBorders>
                  <w:noWrap w:val="0"/>
                  <w:vAlign w:val="center"/>
                </w:tcPr>
                <w:p w14:paraId="47DBD6EF">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635" w:type="pct"/>
                  <w:vMerge w:val="continue"/>
                  <w:tcBorders>
                    <w:tl2br w:val="nil"/>
                    <w:tr2bl w:val="nil"/>
                  </w:tcBorders>
                  <w:noWrap w:val="0"/>
                  <w:vAlign w:val="center"/>
                </w:tcPr>
                <w:p w14:paraId="1E4FF9C9">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57" w:type="pct"/>
                  <w:vMerge w:val="continue"/>
                  <w:tcBorders>
                    <w:tl2br w:val="nil"/>
                    <w:tr2bl w:val="nil"/>
                  </w:tcBorders>
                  <w:noWrap w:val="0"/>
                  <w:vAlign w:val="center"/>
                </w:tcPr>
                <w:p w14:paraId="1C5920DB">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302" w:type="pct"/>
                  <w:vMerge w:val="continue"/>
                  <w:tcBorders>
                    <w:tl2br w:val="nil"/>
                    <w:tr2bl w:val="nil"/>
                  </w:tcBorders>
                  <w:noWrap w:val="0"/>
                  <w:vAlign w:val="center"/>
                </w:tcPr>
                <w:p w14:paraId="51079C9F">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276" w:type="pct"/>
                  <w:vMerge w:val="continue"/>
                  <w:tcBorders>
                    <w:tl2br w:val="nil"/>
                    <w:tr2bl w:val="nil"/>
                  </w:tcBorders>
                  <w:noWrap w:val="0"/>
                  <w:vAlign w:val="center"/>
                </w:tcPr>
                <w:p w14:paraId="3A64723A">
                  <w:pPr>
                    <w:keepNext w:val="0"/>
                    <w:keepLines w:val="0"/>
                    <w:suppressLineNumbers w:val="0"/>
                    <w:adjustRightInd w:val="0"/>
                    <w:snapToGrid w:val="0"/>
                    <w:spacing w:before="0" w:beforeAutospacing="0" w:after="0" w:afterAutospacing="0" w:line="360" w:lineRule="auto"/>
                    <w:ind w:left="0" w:right="0"/>
                    <w:jc w:val="center"/>
                    <w:rPr>
                      <w:rFonts w:hint="eastAsia" w:cs="宋体"/>
                      <w:bCs/>
                      <w:color w:val="auto"/>
                      <w:spacing w:val="-11"/>
                      <w:sz w:val="21"/>
                      <w:szCs w:val="21"/>
                    </w:rPr>
                  </w:pPr>
                </w:p>
              </w:tc>
              <w:tc>
                <w:tcPr>
                  <w:tcW w:w="478" w:type="pct"/>
                  <w:tcBorders>
                    <w:tl2br w:val="nil"/>
                    <w:tr2bl w:val="nil"/>
                  </w:tcBorders>
                  <w:noWrap w:val="0"/>
                  <w:vAlign w:val="center"/>
                </w:tcPr>
                <w:p w14:paraId="35DC5E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TP</w:t>
                  </w:r>
                </w:p>
              </w:tc>
              <w:tc>
                <w:tcPr>
                  <w:tcW w:w="989" w:type="pct"/>
                  <w:tcBorders>
                    <w:tl2br w:val="nil"/>
                    <w:tr2bl w:val="nil"/>
                  </w:tcBorders>
                  <w:noWrap w:val="0"/>
                  <w:vAlign w:val="center"/>
                </w:tcPr>
                <w:p w14:paraId="3B3733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default" w:ascii="Times New Roman" w:hAnsi="Times New Roman" w:eastAsia="宋体" w:cs="宋体"/>
                      <w:bCs/>
                      <w:color w:val="auto"/>
                      <w:spacing w:val="-11"/>
                      <w:kern w:val="2"/>
                      <w:sz w:val="21"/>
                      <w:szCs w:val="21"/>
                      <w:lang w:val="en-US" w:eastAsia="zh-CN" w:bidi="ar-SA"/>
                    </w:rPr>
                  </w:pPr>
                  <w:r>
                    <w:rPr>
                      <w:rFonts w:hint="eastAsia" w:ascii="Times New Roman" w:hAnsi="Times New Roman" w:eastAsia="宋体" w:cs="宋体"/>
                      <w:bCs/>
                      <w:color w:val="auto"/>
                      <w:spacing w:val="-11"/>
                      <w:sz w:val="21"/>
                      <w:szCs w:val="21"/>
                      <w:lang w:val="en-US" w:eastAsia="zh-CN"/>
                    </w:rPr>
                    <w:t>0.5</w:t>
                  </w:r>
                </w:p>
              </w:tc>
            </w:tr>
          </w:tbl>
          <w:p w14:paraId="444ED0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color w:val="auto"/>
                <w:sz w:val="24"/>
              </w:rPr>
            </w:pPr>
            <w:r>
              <w:rPr>
                <w:rFonts w:hint="default"/>
                <w:color w:val="auto"/>
                <w:sz w:val="24"/>
              </w:rPr>
              <w:t>本项目废水污染物排放执行标准见下表。</w:t>
            </w:r>
          </w:p>
          <w:p w14:paraId="7502728F">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p>
          <w:p w14:paraId="7722E43D">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p>
          <w:p w14:paraId="4B87713E">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p>
          <w:p w14:paraId="35EE8FFA">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p>
          <w:p w14:paraId="0543411A">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p>
          <w:p w14:paraId="15613DD7">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p>
          <w:p w14:paraId="66B39006">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表4-1</w:t>
            </w:r>
            <w:r>
              <w:rPr>
                <w:rFonts w:hint="eastAsia" w:ascii="Times New Roman" w:hAnsi="Times New Roman" w:cs="Times New Roman"/>
                <w:b/>
                <w:bCs w:val="0"/>
                <w:color w:val="auto"/>
                <w:sz w:val="21"/>
                <w:szCs w:val="21"/>
                <w:lang w:val="en-US" w:eastAsia="zh-CN"/>
              </w:rPr>
              <w:t xml:space="preserve">4  </w:t>
            </w:r>
            <w:r>
              <w:rPr>
                <w:rFonts w:hint="default" w:ascii="Times New Roman" w:hAnsi="Times New Roman" w:cs="Times New Roman"/>
                <w:b/>
                <w:bCs w:val="0"/>
                <w:color w:val="auto"/>
                <w:sz w:val="21"/>
                <w:szCs w:val="21"/>
              </w:rPr>
              <w:t>本项目废水污染物排放执行标准表</w:t>
            </w:r>
          </w:p>
          <w:tbl>
            <w:tblPr>
              <w:tblStyle w:val="23"/>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36"/>
              <w:gridCol w:w="1503"/>
              <w:gridCol w:w="1741"/>
              <w:gridCol w:w="2820"/>
            </w:tblGrid>
            <w:tr w14:paraId="52CCAC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vMerge w:val="restart"/>
                  <w:tcBorders>
                    <w:tl2br w:val="nil"/>
                    <w:tr2bl w:val="nil"/>
                  </w:tcBorders>
                  <w:noWrap w:val="0"/>
                  <w:vAlign w:val="center"/>
                </w:tcPr>
                <w:p w14:paraId="732293D3">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序号</w:t>
                  </w:r>
                </w:p>
              </w:tc>
              <w:tc>
                <w:tcPr>
                  <w:tcW w:w="778" w:type="pct"/>
                  <w:vMerge w:val="restart"/>
                  <w:tcBorders>
                    <w:tl2br w:val="nil"/>
                    <w:tr2bl w:val="nil"/>
                  </w:tcBorders>
                  <w:noWrap w:val="0"/>
                  <w:vAlign w:val="center"/>
                </w:tcPr>
                <w:p w14:paraId="11909B1B">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排放口编号</w:t>
                  </w:r>
                </w:p>
              </w:tc>
              <w:tc>
                <w:tcPr>
                  <w:tcW w:w="946" w:type="pct"/>
                  <w:vMerge w:val="restart"/>
                  <w:tcBorders>
                    <w:tl2br w:val="nil"/>
                    <w:tr2bl w:val="nil"/>
                  </w:tcBorders>
                  <w:noWrap w:val="0"/>
                  <w:vAlign w:val="center"/>
                </w:tcPr>
                <w:p w14:paraId="40D6CD08">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污染物种类</w:t>
                  </w:r>
                </w:p>
              </w:tc>
              <w:tc>
                <w:tcPr>
                  <w:tcW w:w="2871" w:type="pct"/>
                  <w:gridSpan w:val="2"/>
                  <w:tcBorders>
                    <w:tl2br w:val="nil"/>
                    <w:tr2bl w:val="nil"/>
                  </w:tcBorders>
                  <w:noWrap w:val="0"/>
                  <w:vAlign w:val="center"/>
                </w:tcPr>
                <w:p w14:paraId="518129C0">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国家或地方污染物排放标准及其按规定商定的排放协议</w:t>
                  </w:r>
                </w:p>
              </w:tc>
            </w:tr>
            <w:tr w14:paraId="7CC74D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vMerge w:val="continue"/>
                  <w:tcBorders>
                    <w:tl2br w:val="nil"/>
                    <w:tr2bl w:val="nil"/>
                  </w:tcBorders>
                  <w:noWrap w:val="0"/>
                  <w:vAlign w:val="center"/>
                </w:tcPr>
                <w:p w14:paraId="5E573A4C">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778" w:type="pct"/>
                  <w:vMerge w:val="continue"/>
                  <w:tcBorders>
                    <w:tl2br w:val="nil"/>
                    <w:tr2bl w:val="nil"/>
                  </w:tcBorders>
                  <w:noWrap w:val="0"/>
                  <w:vAlign w:val="center"/>
                </w:tcPr>
                <w:p w14:paraId="39B5A17D">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946" w:type="pct"/>
                  <w:vMerge w:val="continue"/>
                  <w:tcBorders>
                    <w:tl2br w:val="nil"/>
                    <w:tr2bl w:val="nil"/>
                  </w:tcBorders>
                  <w:noWrap w:val="0"/>
                  <w:vAlign w:val="center"/>
                </w:tcPr>
                <w:p w14:paraId="2C3D6B87">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1096" w:type="pct"/>
                  <w:tcBorders>
                    <w:tl2br w:val="nil"/>
                    <w:tr2bl w:val="nil"/>
                  </w:tcBorders>
                  <w:noWrap w:val="0"/>
                  <w:vAlign w:val="center"/>
                </w:tcPr>
                <w:p w14:paraId="4866C5A8">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名称</w:t>
                  </w:r>
                </w:p>
              </w:tc>
              <w:tc>
                <w:tcPr>
                  <w:tcW w:w="1775" w:type="pct"/>
                  <w:tcBorders>
                    <w:tl2br w:val="nil"/>
                    <w:tr2bl w:val="nil"/>
                  </w:tcBorders>
                  <w:noWrap w:val="0"/>
                  <w:vAlign w:val="center"/>
                </w:tcPr>
                <w:p w14:paraId="7440A8B7">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浓度限值/（mg/L）</w:t>
                  </w:r>
                </w:p>
              </w:tc>
            </w:tr>
            <w:tr w14:paraId="12711E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vMerge w:val="restart"/>
                  <w:tcBorders>
                    <w:tl2br w:val="nil"/>
                    <w:tr2bl w:val="nil"/>
                  </w:tcBorders>
                  <w:noWrap w:val="0"/>
                  <w:vAlign w:val="center"/>
                </w:tcPr>
                <w:p w14:paraId="791200CC">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1</w:t>
                  </w:r>
                </w:p>
              </w:tc>
              <w:tc>
                <w:tcPr>
                  <w:tcW w:w="778" w:type="pct"/>
                  <w:vMerge w:val="restart"/>
                  <w:tcBorders>
                    <w:tl2br w:val="nil"/>
                    <w:tr2bl w:val="nil"/>
                  </w:tcBorders>
                  <w:noWrap w:val="0"/>
                  <w:vAlign w:val="center"/>
                </w:tcPr>
                <w:p w14:paraId="6B2F8500">
                  <w:pPr>
                    <w:pStyle w:val="6"/>
                    <w:keepNext w:val="0"/>
                    <w:keepLines w:val="0"/>
                    <w:suppressLineNumbers w:val="0"/>
                    <w:spacing w:before="0" w:beforeAutospacing="0" w:after="0" w:afterAutospacing="0"/>
                    <w:ind w:left="0" w:leftChars="0" w:right="0" w:firstLine="0" w:firstLineChars="0"/>
                    <w:jc w:val="center"/>
                    <w:rPr>
                      <w:rFonts w:hint="default" w:eastAsia="宋体"/>
                      <w:color w:val="auto"/>
                      <w:sz w:val="21"/>
                      <w:szCs w:val="21"/>
                      <w:lang w:val="en-US" w:eastAsia="zh-CN"/>
                    </w:rPr>
                  </w:pPr>
                  <w:r>
                    <w:rPr>
                      <w:rFonts w:hint="eastAsia"/>
                      <w:color w:val="auto"/>
                      <w:sz w:val="21"/>
                      <w:szCs w:val="21"/>
                      <w:lang w:val="en-US" w:eastAsia="zh-CN"/>
                    </w:rPr>
                    <w:t>DW001</w:t>
                  </w:r>
                </w:p>
              </w:tc>
              <w:tc>
                <w:tcPr>
                  <w:tcW w:w="946" w:type="pct"/>
                  <w:tcBorders>
                    <w:tl2br w:val="nil"/>
                    <w:tr2bl w:val="nil"/>
                  </w:tcBorders>
                  <w:noWrap w:val="0"/>
                  <w:vAlign w:val="center"/>
                </w:tcPr>
                <w:p w14:paraId="65F54D75">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COD</w:t>
                  </w:r>
                </w:p>
              </w:tc>
              <w:tc>
                <w:tcPr>
                  <w:tcW w:w="1096" w:type="pct"/>
                  <w:vMerge w:val="restart"/>
                  <w:tcBorders>
                    <w:tl2br w:val="nil"/>
                    <w:tr2bl w:val="nil"/>
                  </w:tcBorders>
                  <w:noWrap w:val="0"/>
                  <w:vAlign w:val="center"/>
                </w:tcPr>
                <w:p w14:paraId="1A9511DD">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lang w:val="en-US"/>
                    </w:rPr>
                  </w:pPr>
                  <w:r>
                    <w:rPr>
                      <w:rFonts w:hint="eastAsia" w:cs="宋体"/>
                      <w:bCs/>
                      <w:color w:val="auto"/>
                      <w:spacing w:val="-11"/>
                      <w:sz w:val="21"/>
                      <w:szCs w:val="21"/>
                      <w:lang w:val="en-US" w:eastAsia="zh-CN"/>
                    </w:rPr>
                    <w:t>涟水经济开发区西区污水处理厂</w:t>
                  </w:r>
                  <w:r>
                    <w:rPr>
                      <w:rFonts w:hint="eastAsia"/>
                      <w:b w:val="0"/>
                      <w:color w:val="auto"/>
                      <w:sz w:val="21"/>
                      <w:szCs w:val="21"/>
                      <w:lang w:val="en-US" w:eastAsia="zh-CN"/>
                    </w:rPr>
                    <w:t>接管标准</w:t>
                  </w:r>
                </w:p>
              </w:tc>
              <w:tc>
                <w:tcPr>
                  <w:tcW w:w="1775" w:type="pct"/>
                  <w:tcBorders>
                    <w:tl2br w:val="nil"/>
                    <w:tr2bl w:val="nil"/>
                  </w:tcBorders>
                  <w:noWrap w:val="0"/>
                  <w:vAlign w:val="center"/>
                </w:tcPr>
                <w:p w14:paraId="21109B9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color w:val="auto"/>
                      <w:sz w:val="21"/>
                      <w:szCs w:val="21"/>
                      <w:lang w:val="en-US"/>
                    </w:rPr>
                  </w:pPr>
                  <w:r>
                    <w:rPr>
                      <w:rFonts w:hint="eastAsia" w:ascii="Times New Roman" w:hAnsi="Times New Roman" w:eastAsia="宋体"/>
                      <w:color w:val="auto"/>
                      <w:sz w:val="21"/>
                      <w:szCs w:val="21"/>
                      <w:lang w:val="en-US" w:eastAsia="zh-CN"/>
                    </w:rPr>
                    <w:t>500</w:t>
                  </w:r>
                </w:p>
              </w:tc>
            </w:tr>
            <w:tr w14:paraId="2E5319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vMerge w:val="continue"/>
                  <w:tcBorders>
                    <w:tl2br w:val="nil"/>
                    <w:tr2bl w:val="nil"/>
                  </w:tcBorders>
                  <w:noWrap w:val="0"/>
                  <w:vAlign w:val="center"/>
                </w:tcPr>
                <w:p w14:paraId="4B9C407B">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778" w:type="pct"/>
                  <w:vMerge w:val="continue"/>
                  <w:tcBorders>
                    <w:tl2br w:val="nil"/>
                    <w:tr2bl w:val="nil"/>
                  </w:tcBorders>
                  <w:noWrap w:val="0"/>
                  <w:vAlign w:val="center"/>
                </w:tcPr>
                <w:p w14:paraId="494C2D74">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946" w:type="pct"/>
                  <w:tcBorders>
                    <w:tl2br w:val="nil"/>
                    <w:tr2bl w:val="nil"/>
                  </w:tcBorders>
                  <w:noWrap w:val="0"/>
                  <w:vAlign w:val="center"/>
                </w:tcPr>
                <w:p w14:paraId="513DC599">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SS</w:t>
                  </w:r>
                </w:p>
              </w:tc>
              <w:tc>
                <w:tcPr>
                  <w:tcW w:w="1096" w:type="pct"/>
                  <w:vMerge w:val="continue"/>
                  <w:tcBorders>
                    <w:tl2br w:val="nil"/>
                    <w:tr2bl w:val="nil"/>
                  </w:tcBorders>
                  <w:noWrap w:val="0"/>
                  <w:vAlign w:val="center"/>
                </w:tcPr>
                <w:p w14:paraId="22ACE9B5">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1775" w:type="pct"/>
                  <w:tcBorders>
                    <w:tl2br w:val="nil"/>
                    <w:tr2bl w:val="nil"/>
                  </w:tcBorders>
                  <w:noWrap w:val="0"/>
                  <w:vAlign w:val="center"/>
                </w:tcPr>
                <w:p w14:paraId="46FDD86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color w:val="auto"/>
                      <w:sz w:val="21"/>
                      <w:szCs w:val="21"/>
                      <w:lang w:val="en-US"/>
                    </w:rPr>
                  </w:pPr>
                  <w:r>
                    <w:rPr>
                      <w:rFonts w:hint="eastAsia" w:ascii="Times New Roman" w:hAnsi="Times New Roman" w:eastAsia="宋体"/>
                      <w:color w:val="auto"/>
                      <w:sz w:val="21"/>
                      <w:szCs w:val="21"/>
                      <w:lang w:val="en-US" w:eastAsia="zh-CN"/>
                    </w:rPr>
                    <w:t>400</w:t>
                  </w:r>
                </w:p>
              </w:tc>
            </w:tr>
            <w:tr w14:paraId="21E46A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vMerge w:val="continue"/>
                  <w:tcBorders>
                    <w:tl2br w:val="nil"/>
                    <w:tr2bl w:val="nil"/>
                  </w:tcBorders>
                  <w:noWrap w:val="0"/>
                  <w:vAlign w:val="center"/>
                </w:tcPr>
                <w:p w14:paraId="64B336A5">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778" w:type="pct"/>
                  <w:vMerge w:val="continue"/>
                  <w:tcBorders>
                    <w:tl2br w:val="nil"/>
                    <w:tr2bl w:val="nil"/>
                  </w:tcBorders>
                  <w:noWrap w:val="0"/>
                  <w:vAlign w:val="center"/>
                </w:tcPr>
                <w:p w14:paraId="3D207B01">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946" w:type="pct"/>
                  <w:tcBorders>
                    <w:tl2br w:val="nil"/>
                    <w:tr2bl w:val="nil"/>
                  </w:tcBorders>
                  <w:noWrap w:val="0"/>
                  <w:vAlign w:val="center"/>
                </w:tcPr>
                <w:p w14:paraId="56EEFCFC">
                  <w:pPr>
                    <w:pStyle w:val="6"/>
                    <w:keepNext w:val="0"/>
                    <w:keepLines w:val="0"/>
                    <w:suppressLineNumbers w:val="0"/>
                    <w:spacing w:before="0" w:beforeAutospacing="0" w:after="0" w:afterAutospacing="0"/>
                    <w:ind w:left="0" w:leftChars="0" w:right="0" w:firstLine="0" w:firstLineChars="0"/>
                    <w:jc w:val="center"/>
                    <w:rPr>
                      <w:rFonts w:hint="eastAsia" w:eastAsia="宋体"/>
                      <w:color w:val="auto"/>
                      <w:sz w:val="21"/>
                      <w:szCs w:val="21"/>
                      <w:lang w:val="en-US" w:eastAsia="zh-CN"/>
                    </w:rPr>
                  </w:pPr>
                  <w:r>
                    <w:rPr>
                      <w:rFonts w:hint="eastAsia"/>
                      <w:color w:val="auto"/>
                      <w:sz w:val="21"/>
                      <w:szCs w:val="21"/>
                    </w:rPr>
                    <w:t>NH</w:t>
                  </w:r>
                  <w:r>
                    <w:rPr>
                      <w:rFonts w:hint="eastAsia"/>
                      <w:color w:val="auto"/>
                      <w:sz w:val="21"/>
                      <w:szCs w:val="21"/>
                      <w:vertAlign w:val="subscript"/>
                    </w:rPr>
                    <w:t>3</w:t>
                  </w:r>
                  <w:r>
                    <w:rPr>
                      <w:rFonts w:hint="eastAsia"/>
                      <w:color w:val="auto"/>
                      <w:sz w:val="21"/>
                      <w:szCs w:val="21"/>
                    </w:rPr>
                    <w:t>-</w:t>
                  </w:r>
                  <w:r>
                    <w:rPr>
                      <w:rFonts w:hint="eastAsia"/>
                      <w:color w:val="auto"/>
                      <w:sz w:val="21"/>
                      <w:szCs w:val="21"/>
                      <w:lang w:val="en-US" w:eastAsia="zh-CN"/>
                    </w:rPr>
                    <w:t>N</w:t>
                  </w:r>
                </w:p>
              </w:tc>
              <w:tc>
                <w:tcPr>
                  <w:tcW w:w="1096" w:type="pct"/>
                  <w:vMerge w:val="continue"/>
                  <w:tcBorders>
                    <w:tl2br w:val="nil"/>
                    <w:tr2bl w:val="nil"/>
                  </w:tcBorders>
                  <w:noWrap w:val="0"/>
                  <w:vAlign w:val="center"/>
                </w:tcPr>
                <w:p w14:paraId="3DACF71E">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1775" w:type="pct"/>
                  <w:tcBorders>
                    <w:tl2br w:val="nil"/>
                    <w:tr2bl w:val="nil"/>
                  </w:tcBorders>
                  <w:noWrap w:val="0"/>
                  <w:vAlign w:val="center"/>
                </w:tcPr>
                <w:p w14:paraId="69DAE43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color w:val="auto"/>
                      <w:sz w:val="21"/>
                      <w:szCs w:val="21"/>
                      <w:lang w:val="en-US"/>
                    </w:rPr>
                  </w:pPr>
                  <w:r>
                    <w:rPr>
                      <w:rFonts w:hint="eastAsia" w:ascii="Times New Roman" w:hAnsi="Times New Roman" w:eastAsia="宋体"/>
                      <w:color w:val="auto"/>
                      <w:sz w:val="21"/>
                      <w:szCs w:val="21"/>
                      <w:lang w:val="en-US" w:eastAsia="zh-CN"/>
                    </w:rPr>
                    <w:t>30</w:t>
                  </w:r>
                </w:p>
              </w:tc>
            </w:tr>
            <w:tr w14:paraId="3624B0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vMerge w:val="continue"/>
                  <w:tcBorders>
                    <w:tl2br w:val="nil"/>
                    <w:tr2bl w:val="nil"/>
                  </w:tcBorders>
                  <w:noWrap w:val="0"/>
                  <w:vAlign w:val="center"/>
                </w:tcPr>
                <w:p w14:paraId="5634F003">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778" w:type="pct"/>
                  <w:vMerge w:val="continue"/>
                  <w:tcBorders>
                    <w:tl2br w:val="nil"/>
                    <w:tr2bl w:val="nil"/>
                  </w:tcBorders>
                  <w:noWrap w:val="0"/>
                  <w:vAlign w:val="center"/>
                </w:tcPr>
                <w:p w14:paraId="36F2B226">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946" w:type="pct"/>
                  <w:tcBorders>
                    <w:tl2br w:val="nil"/>
                    <w:tr2bl w:val="nil"/>
                  </w:tcBorders>
                  <w:noWrap w:val="0"/>
                  <w:vAlign w:val="center"/>
                </w:tcPr>
                <w:p w14:paraId="0F5741D5">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TP</w:t>
                  </w:r>
                </w:p>
              </w:tc>
              <w:tc>
                <w:tcPr>
                  <w:tcW w:w="1096" w:type="pct"/>
                  <w:vMerge w:val="continue"/>
                  <w:tcBorders>
                    <w:tl2br w:val="nil"/>
                    <w:tr2bl w:val="nil"/>
                  </w:tcBorders>
                  <w:noWrap w:val="0"/>
                  <w:vAlign w:val="center"/>
                </w:tcPr>
                <w:p w14:paraId="7BBD2037">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1775" w:type="pct"/>
                  <w:tcBorders>
                    <w:tl2br w:val="nil"/>
                    <w:tr2bl w:val="nil"/>
                  </w:tcBorders>
                  <w:noWrap w:val="0"/>
                  <w:vAlign w:val="center"/>
                </w:tcPr>
                <w:p w14:paraId="7C818DF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color w:val="auto"/>
                      <w:sz w:val="21"/>
                      <w:szCs w:val="21"/>
                    </w:rPr>
                  </w:pPr>
                  <w:r>
                    <w:rPr>
                      <w:rFonts w:hint="eastAsia"/>
                      <w:color w:val="auto"/>
                      <w:sz w:val="21"/>
                      <w:szCs w:val="21"/>
                      <w:lang w:val="en-US" w:eastAsia="zh-CN"/>
                    </w:rPr>
                    <w:t>8</w:t>
                  </w:r>
                </w:p>
              </w:tc>
            </w:tr>
            <w:tr w14:paraId="19D8CA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vMerge w:val="continue"/>
                  <w:tcBorders>
                    <w:tl2br w:val="nil"/>
                    <w:tr2bl w:val="nil"/>
                  </w:tcBorders>
                  <w:noWrap w:val="0"/>
                  <w:vAlign w:val="center"/>
                </w:tcPr>
                <w:p w14:paraId="64BCC1BF">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778" w:type="pct"/>
                  <w:vMerge w:val="continue"/>
                  <w:tcBorders>
                    <w:tl2br w:val="nil"/>
                    <w:tr2bl w:val="nil"/>
                  </w:tcBorders>
                  <w:noWrap w:val="0"/>
                  <w:vAlign w:val="center"/>
                </w:tcPr>
                <w:p w14:paraId="50196C65">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946" w:type="pct"/>
                  <w:tcBorders>
                    <w:tl2br w:val="nil"/>
                    <w:tr2bl w:val="nil"/>
                  </w:tcBorders>
                  <w:noWrap w:val="0"/>
                  <w:vAlign w:val="center"/>
                </w:tcPr>
                <w:p w14:paraId="7F6DEC7E">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TN</w:t>
                  </w:r>
                </w:p>
              </w:tc>
              <w:tc>
                <w:tcPr>
                  <w:tcW w:w="1096" w:type="pct"/>
                  <w:vMerge w:val="continue"/>
                  <w:tcBorders>
                    <w:tl2br w:val="nil"/>
                    <w:tr2bl w:val="nil"/>
                  </w:tcBorders>
                  <w:noWrap w:val="0"/>
                  <w:vAlign w:val="center"/>
                </w:tcPr>
                <w:p w14:paraId="0BCB50F3">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1775" w:type="pct"/>
                  <w:tcBorders>
                    <w:tl2br w:val="nil"/>
                    <w:tr2bl w:val="nil"/>
                  </w:tcBorders>
                  <w:noWrap w:val="0"/>
                  <w:vAlign w:val="center"/>
                </w:tcPr>
                <w:p w14:paraId="10E6AD1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color w:val="auto"/>
                      <w:sz w:val="21"/>
                      <w:szCs w:val="21"/>
                      <w:lang w:val="en-US"/>
                    </w:rPr>
                  </w:pPr>
                  <w:r>
                    <w:rPr>
                      <w:rFonts w:hint="eastAsia" w:ascii="Times New Roman" w:hAnsi="Times New Roman" w:eastAsia="宋体"/>
                      <w:color w:val="auto"/>
                      <w:sz w:val="21"/>
                      <w:szCs w:val="21"/>
                      <w:lang w:val="en-US" w:eastAsia="zh-CN"/>
                    </w:rPr>
                    <w:t>45</w:t>
                  </w:r>
                </w:p>
              </w:tc>
            </w:tr>
          </w:tbl>
          <w:p w14:paraId="678B20A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jc w:val="both"/>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本项目废水污染物排放信息见下表。</w:t>
            </w:r>
          </w:p>
          <w:p w14:paraId="0306100C">
            <w:pPr>
              <w:pStyle w:val="6"/>
              <w:keepNext w:val="0"/>
              <w:keepLines w:val="0"/>
              <w:suppressLineNumbers w:val="0"/>
              <w:spacing w:before="0" w:beforeAutospacing="0" w:after="0" w:afterAutospacing="0" w:line="240" w:lineRule="auto"/>
              <w:ind w:left="0" w:leftChars="0" w:right="0" w:firstLine="0" w:firstLineChars="0"/>
              <w:jc w:val="center"/>
              <w:rPr>
                <w:rFonts w:hint="default"/>
                <w:b/>
                <w:bCs/>
                <w:color w:val="auto"/>
                <w:sz w:val="21"/>
                <w:szCs w:val="21"/>
              </w:rPr>
            </w:pPr>
            <w:r>
              <w:rPr>
                <w:rFonts w:hint="eastAsia"/>
                <w:b/>
                <w:bCs/>
                <w:color w:val="auto"/>
                <w:sz w:val="21"/>
                <w:szCs w:val="21"/>
              </w:rPr>
              <w:t>表4-1</w:t>
            </w:r>
            <w:r>
              <w:rPr>
                <w:rFonts w:hint="eastAsia"/>
                <w:b/>
                <w:bCs/>
                <w:color w:val="auto"/>
                <w:sz w:val="21"/>
                <w:szCs w:val="21"/>
                <w:lang w:val="en-US" w:eastAsia="zh-CN"/>
              </w:rPr>
              <w:t xml:space="preserve">5  </w:t>
            </w:r>
            <w:r>
              <w:rPr>
                <w:rFonts w:hint="eastAsia"/>
                <w:b/>
                <w:bCs/>
                <w:color w:val="auto"/>
                <w:sz w:val="21"/>
                <w:szCs w:val="21"/>
              </w:rPr>
              <w:t>本项目废水污染物排放信息表</w:t>
            </w:r>
          </w:p>
          <w:tbl>
            <w:tblPr>
              <w:tblStyle w:val="23"/>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323"/>
              <w:gridCol w:w="1323"/>
              <w:gridCol w:w="1323"/>
              <w:gridCol w:w="1325"/>
              <w:gridCol w:w="1323"/>
            </w:tblGrid>
            <w:tr w14:paraId="57DCF8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tcBorders>
                    <w:tl2br w:val="nil"/>
                    <w:tr2bl w:val="nil"/>
                  </w:tcBorders>
                  <w:noWrap w:val="0"/>
                  <w:vAlign w:val="center"/>
                </w:tcPr>
                <w:p w14:paraId="151A6B6F">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序号</w:t>
                  </w:r>
                </w:p>
              </w:tc>
              <w:tc>
                <w:tcPr>
                  <w:tcW w:w="833" w:type="pct"/>
                  <w:tcBorders>
                    <w:tl2br w:val="nil"/>
                    <w:tr2bl w:val="nil"/>
                  </w:tcBorders>
                  <w:noWrap w:val="0"/>
                  <w:vAlign w:val="center"/>
                </w:tcPr>
                <w:p w14:paraId="4AD40760">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排放口编号</w:t>
                  </w:r>
                </w:p>
              </w:tc>
              <w:tc>
                <w:tcPr>
                  <w:tcW w:w="833" w:type="pct"/>
                  <w:tcBorders>
                    <w:tl2br w:val="nil"/>
                    <w:tr2bl w:val="nil"/>
                  </w:tcBorders>
                  <w:noWrap w:val="0"/>
                  <w:vAlign w:val="center"/>
                </w:tcPr>
                <w:p w14:paraId="0F6A7256">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污染物种类</w:t>
                  </w:r>
                </w:p>
              </w:tc>
              <w:tc>
                <w:tcPr>
                  <w:tcW w:w="833" w:type="pct"/>
                  <w:tcBorders>
                    <w:tl2br w:val="nil"/>
                    <w:tr2bl w:val="nil"/>
                  </w:tcBorders>
                  <w:noWrap w:val="0"/>
                  <w:vAlign w:val="center"/>
                </w:tcPr>
                <w:p w14:paraId="1C4B17EE">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排放浓度（mg/L）</w:t>
                  </w:r>
                </w:p>
              </w:tc>
              <w:tc>
                <w:tcPr>
                  <w:tcW w:w="834" w:type="pct"/>
                  <w:tcBorders>
                    <w:tl2br w:val="nil"/>
                    <w:tr2bl w:val="nil"/>
                  </w:tcBorders>
                  <w:noWrap w:val="0"/>
                  <w:vAlign w:val="center"/>
                </w:tcPr>
                <w:p w14:paraId="57E95141">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日排放量</w:t>
                  </w:r>
                </w:p>
                <w:p w14:paraId="6F1413A9">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lang w:eastAsia="zh-CN"/>
                    </w:rPr>
                    <w:t>(</w:t>
                  </w:r>
                  <w:r>
                    <w:rPr>
                      <w:rFonts w:hint="eastAsia"/>
                      <w:color w:val="auto"/>
                      <w:sz w:val="21"/>
                      <w:szCs w:val="21"/>
                    </w:rPr>
                    <w:t>t/d</w:t>
                  </w:r>
                  <w:r>
                    <w:rPr>
                      <w:rFonts w:hint="eastAsia"/>
                      <w:color w:val="auto"/>
                      <w:sz w:val="21"/>
                      <w:szCs w:val="21"/>
                      <w:lang w:eastAsia="zh-CN"/>
                    </w:rPr>
                    <w:t>)</w:t>
                  </w:r>
                </w:p>
              </w:tc>
              <w:tc>
                <w:tcPr>
                  <w:tcW w:w="833" w:type="pct"/>
                  <w:tcBorders>
                    <w:tl2br w:val="nil"/>
                    <w:tr2bl w:val="nil"/>
                  </w:tcBorders>
                  <w:noWrap w:val="0"/>
                  <w:vAlign w:val="center"/>
                </w:tcPr>
                <w:p w14:paraId="544D2949">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年排放量（t/a）</w:t>
                  </w:r>
                </w:p>
              </w:tc>
            </w:tr>
            <w:tr w14:paraId="2723A6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vMerge w:val="restart"/>
                  <w:tcBorders>
                    <w:tl2br w:val="nil"/>
                    <w:tr2bl w:val="nil"/>
                  </w:tcBorders>
                  <w:noWrap w:val="0"/>
                  <w:vAlign w:val="center"/>
                </w:tcPr>
                <w:p w14:paraId="004506C4">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1</w:t>
                  </w:r>
                </w:p>
              </w:tc>
              <w:tc>
                <w:tcPr>
                  <w:tcW w:w="833" w:type="pct"/>
                  <w:vMerge w:val="restart"/>
                  <w:tcBorders>
                    <w:tl2br w:val="nil"/>
                    <w:tr2bl w:val="nil"/>
                  </w:tcBorders>
                  <w:noWrap w:val="0"/>
                  <w:vAlign w:val="center"/>
                </w:tcPr>
                <w:p w14:paraId="298B6E12">
                  <w:pPr>
                    <w:pStyle w:val="6"/>
                    <w:keepNext w:val="0"/>
                    <w:keepLines w:val="0"/>
                    <w:suppressLineNumbers w:val="0"/>
                    <w:spacing w:before="0" w:beforeAutospacing="0" w:after="0" w:afterAutospacing="0"/>
                    <w:ind w:left="0" w:leftChars="0" w:right="0" w:firstLine="0" w:firstLineChars="0"/>
                    <w:jc w:val="center"/>
                    <w:rPr>
                      <w:rFonts w:hint="default" w:eastAsia="宋体"/>
                      <w:color w:val="auto"/>
                      <w:sz w:val="21"/>
                      <w:szCs w:val="21"/>
                      <w:lang w:val="en-US" w:eastAsia="zh-CN"/>
                    </w:rPr>
                  </w:pPr>
                  <w:r>
                    <w:rPr>
                      <w:rFonts w:hint="eastAsia"/>
                      <w:color w:val="auto"/>
                      <w:sz w:val="21"/>
                      <w:szCs w:val="21"/>
                      <w:lang w:val="en-US" w:eastAsia="zh-CN"/>
                    </w:rPr>
                    <w:t>DW001</w:t>
                  </w:r>
                </w:p>
              </w:tc>
              <w:tc>
                <w:tcPr>
                  <w:tcW w:w="833" w:type="pct"/>
                  <w:tcBorders>
                    <w:tl2br w:val="nil"/>
                    <w:tr2bl w:val="nil"/>
                  </w:tcBorders>
                  <w:noWrap w:val="0"/>
                  <w:vAlign w:val="center"/>
                </w:tcPr>
                <w:p w14:paraId="58B98A5B">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COD</w:t>
                  </w:r>
                </w:p>
              </w:tc>
              <w:tc>
                <w:tcPr>
                  <w:tcW w:w="833" w:type="pct"/>
                  <w:tcBorders>
                    <w:tl2br w:val="nil"/>
                    <w:tr2bl w:val="nil"/>
                  </w:tcBorders>
                  <w:noWrap w:val="0"/>
                  <w:vAlign w:val="center"/>
                </w:tcPr>
                <w:p w14:paraId="59091EA7">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250</w:t>
                  </w:r>
                </w:p>
              </w:tc>
              <w:tc>
                <w:tcPr>
                  <w:tcW w:w="1325" w:type="dxa"/>
                  <w:tcBorders>
                    <w:tl2br w:val="nil"/>
                    <w:tr2bl w:val="nil"/>
                  </w:tcBorders>
                  <w:noWrap w:val="0"/>
                  <w:vAlign w:val="center"/>
                </w:tcPr>
                <w:p w14:paraId="112429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0.000300 </w:t>
                  </w:r>
                </w:p>
              </w:tc>
              <w:tc>
                <w:tcPr>
                  <w:tcW w:w="1323" w:type="dxa"/>
                  <w:tcBorders>
                    <w:tl2br w:val="nil"/>
                    <w:tr2bl w:val="nil"/>
                  </w:tcBorders>
                  <w:noWrap w:val="0"/>
                  <w:vAlign w:val="center"/>
                </w:tcPr>
                <w:p w14:paraId="5CB19D3F">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0.090 </w:t>
                  </w:r>
                </w:p>
              </w:tc>
            </w:tr>
            <w:tr w14:paraId="75468A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vMerge w:val="continue"/>
                  <w:tcBorders>
                    <w:tl2br w:val="nil"/>
                    <w:tr2bl w:val="nil"/>
                  </w:tcBorders>
                  <w:noWrap w:val="0"/>
                  <w:vAlign w:val="center"/>
                </w:tcPr>
                <w:p w14:paraId="4E688F32">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vMerge w:val="continue"/>
                  <w:tcBorders>
                    <w:tl2br w:val="nil"/>
                    <w:tr2bl w:val="nil"/>
                  </w:tcBorders>
                  <w:noWrap w:val="0"/>
                  <w:vAlign w:val="center"/>
                </w:tcPr>
                <w:p w14:paraId="643F27A9">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tcBorders>
                    <w:tl2br w:val="nil"/>
                    <w:tr2bl w:val="nil"/>
                  </w:tcBorders>
                  <w:noWrap w:val="0"/>
                  <w:vAlign w:val="center"/>
                </w:tcPr>
                <w:p w14:paraId="53B3EB37">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SS</w:t>
                  </w:r>
                </w:p>
              </w:tc>
              <w:tc>
                <w:tcPr>
                  <w:tcW w:w="833" w:type="pct"/>
                  <w:tcBorders>
                    <w:tl2br w:val="nil"/>
                    <w:tr2bl w:val="nil"/>
                  </w:tcBorders>
                  <w:noWrap w:val="0"/>
                  <w:vAlign w:val="center"/>
                </w:tcPr>
                <w:p w14:paraId="7AAEDBC0">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180</w:t>
                  </w:r>
                </w:p>
              </w:tc>
              <w:tc>
                <w:tcPr>
                  <w:tcW w:w="1325" w:type="dxa"/>
                  <w:tcBorders>
                    <w:tl2br w:val="nil"/>
                    <w:tr2bl w:val="nil"/>
                  </w:tcBorders>
                  <w:noWrap w:val="0"/>
                  <w:vAlign w:val="center"/>
                </w:tcPr>
                <w:p w14:paraId="673B99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0.000216 </w:t>
                  </w:r>
                </w:p>
              </w:tc>
              <w:tc>
                <w:tcPr>
                  <w:tcW w:w="1323" w:type="dxa"/>
                  <w:tcBorders>
                    <w:tl2br w:val="nil"/>
                    <w:tr2bl w:val="nil"/>
                  </w:tcBorders>
                  <w:noWrap w:val="0"/>
                  <w:vAlign w:val="center"/>
                </w:tcPr>
                <w:p w14:paraId="4173E1A6">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0.065 </w:t>
                  </w:r>
                </w:p>
              </w:tc>
            </w:tr>
            <w:tr w14:paraId="01F494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vMerge w:val="continue"/>
                  <w:tcBorders>
                    <w:tl2br w:val="nil"/>
                    <w:tr2bl w:val="nil"/>
                  </w:tcBorders>
                  <w:noWrap w:val="0"/>
                  <w:vAlign w:val="center"/>
                </w:tcPr>
                <w:p w14:paraId="42F73F1C">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vMerge w:val="continue"/>
                  <w:tcBorders>
                    <w:tl2br w:val="nil"/>
                    <w:tr2bl w:val="nil"/>
                  </w:tcBorders>
                  <w:noWrap w:val="0"/>
                  <w:vAlign w:val="center"/>
                </w:tcPr>
                <w:p w14:paraId="75A9607A">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tcBorders>
                    <w:tl2br w:val="nil"/>
                    <w:tr2bl w:val="nil"/>
                  </w:tcBorders>
                  <w:noWrap w:val="0"/>
                  <w:vAlign w:val="center"/>
                </w:tcPr>
                <w:p w14:paraId="0DEBDB07">
                  <w:pPr>
                    <w:pStyle w:val="6"/>
                    <w:keepNext w:val="0"/>
                    <w:keepLines w:val="0"/>
                    <w:suppressLineNumbers w:val="0"/>
                    <w:spacing w:before="0" w:beforeAutospacing="0" w:after="0" w:afterAutospacing="0"/>
                    <w:ind w:left="0" w:leftChars="0" w:right="0" w:firstLine="0" w:firstLineChars="0"/>
                    <w:jc w:val="center"/>
                    <w:rPr>
                      <w:rFonts w:hint="eastAsia" w:eastAsia="宋体"/>
                      <w:color w:val="auto"/>
                      <w:sz w:val="21"/>
                      <w:szCs w:val="21"/>
                      <w:lang w:val="en-US" w:eastAsia="zh-CN"/>
                    </w:rPr>
                  </w:pPr>
                  <w:r>
                    <w:rPr>
                      <w:rFonts w:hint="eastAsia"/>
                      <w:color w:val="auto"/>
                      <w:sz w:val="21"/>
                      <w:szCs w:val="21"/>
                    </w:rPr>
                    <w:t>NH</w:t>
                  </w:r>
                  <w:r>
                    <w:rPr>
                      <w:rFonts w:hint="eastAsia"/>
                      <w:color w:val="auto"/>
                      <w:sz w:val="21"/>
                      <w:szCs w:val="21"/>
                      <w:vertAlign w:val="subscript"/>
                    </w:rPr>
                    <w:t>3</w:t>
                  </w:r>
                  <w:r>
                    <w:rPr>
                      <w:rFonts w:hint="eastAsia"/>
                      <w:color w:val="auto"/>
                      <w:sz w:val="21"/>
                      <w:szCs w:val="21"/>
                    </w:rPr>
                    <w:t>-</w:t>
                  </w:r>
                  <w:r>
                    <w:rPr>
                      <w:rFonts w:hint="eastAsia"/>
                      <w:color w:val="auto"/>
                      <w:sz w:val="21"/>
                      <w:szCs w:val="21"/>
                      <w:lang w:val="en-US" w:eastAsia="zh-CN"/>
                    </w:rPr>
                    <w:t>N</w:t>
                  </w:r>
                </w:p>
              </w:tc>
              <w:tc>
                <w:tcPr>
                  <w:tcW w:w="833" w:type="pct"/>
                  <w:tcBorders>
                    <w:tl2br w:val="nil"/>
                    <w:tr2bl w:val="nil"/>
                  </w:tcBorders>
                  <w:noWrap w:val="0"/>
                  <w:vAlign w:val="center"/>
                </w:tcPr>
                <w:p w14:paraId="09772735">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25</w:t>
                  </w:r>
                </w:p>
              </w:tc>
              <w:tc>
                <w:tcPr>
                  <w:tcW w:w="1325" w:type="dxa"/>
                  <w:tcBorders>
                    <w:tl2br w:val="nil"/>
                    <w:tr2bl w:val="nil"/>
                  </w:tcBorders>
                  <w:noWrap w:val="0"/>
                  <w:vAlign w:val="center"/>
                </w:tcPr>
                <w:p w14:paraId="56C4C8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0.000030 </w:t>
                  </w:r>
                </w:p>
              </w:tc>
              <w:tc>
                <w:tcPr>
                  <w:tcW w:w="1323" w:type="dxa"/>
                  <w:tcBorders>
                    <w:tl2br w:val="nil"/>
                    <w:tr2bl w:val="nil"/>
                  </w:tcBorders>
                  <w:noWrap w:val="0"/>
                  <w:vAlign w:val="center"/>
                </w:tcPr>
                <w:p w14:paraId="04AF76D3">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0.009 </w:t>
                  </w:r>
                </w:p>
              </w:tc>
            </w:tr>
            <w:tr w14:paraId="5A92B4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vMerge w:val="continue"/>
                  <w:tcBorders>
                    <w:tl2br w:val="nil"/>
                    <w:tr2bl w:val="nil"/>
                  </w:tcBorders>
                  <w:noWrap w:val="0"/>
                  <w:vAlign w:val="center"/>
                </w:tcPr>
                <w:p w14:paraId="3A75C8E3">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vMerge w:val="continue"/>
                  <w:tcBorders>
                    <w:tl2br w:val="nil"/>
                    <w:tr2bl w:val="nil"/>
                  </w:tcBorders>
                  <w:noWrap w:val="0"/>
                  <w:vAlign w:val="center"/>
                </w:tcPr>
                <w:p w14:paraId="31E7C7F1">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tcBorders>
                    <w:tl2br w:val="nil"/>
                    <w:tr2bl w:val="nil"/>
                  </w:tcBorders>
                  <w:noWrap w:val="0"/>
                  <w:vAlign w:val="center"/>
                </w:tcPr>
                <w:p w14:paraId="3EEE97FA">
                  <w:pPr>
                    <w:pStyle w:val="6"/>
                    <w:keepNext w:val="0"/>
                    <w:keepLines w:val="0"/>
                    <w:suppressLineNumbers w:val="0"/>
                    <w:spacing w:before="0" w:beforeAutospacing="0" w:after="0" w:afterAutospacing="0"/>
                    <w:ind w:left="0" w:leftChars="0" w:right="0" w:firstLine="0" w:firstLineChars="0"/>
                    <w:jc w:val="center"/>
                    <w:rPr>
                      <w:rFonts w:hint="default" w:eastAsia="宋体"/>
                      <w:color w:val="auto"/>
                      <w:sz w:val="21"/>
                      <w:szCs w:val="21"/>
                      <w:lang w:val="en-US" w:eastAsia="zh-CN"/>
                    </w:rPr>
                  </w:pPr>
                  <w:r>
                    <w:rPr>
                      <w:rFonts w:hint="eastAsia"/>
                      <w:color w:val="auto"/>
                      <w:sz w:val="21"/>
                      <w:szCs w:val="21"/>
                      <w:lang w:val="en-US" w:eastAsia="zh-CN"/>
                    </w:rPr>
                    <w:t>TN</w:t>
                  </w:r>
                </w:p>
              </w:tc>
              <w:tc>
                <w:tcPr>
                  <w:tcW w:w="833" w:type="pct"/>
                  <w:tcBorders>
                    <w:tl2br w:val="nil"/>
                    <w:tr2bl w:val="nil"/>
                  </w:tcBorders>
                  <w:noWrap w:val="0"/>
                  <w:vAlign w:val="center"/>
                </w:tcPr>
                <w:p w14:paraId="06EB90BF">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35</w:t>
                  </w:r>
                </w:p>
              </w:tc>
              <w:tc>
                <w:tcPr>
                  <w:tcW w:w="1325" w:type="dxa"/>
                  <w:tcBorders>
                    <w:tl2br w:val="nil"/>
                    <w:tr2bl w:val="nil"/>
                  </w:tcBorders>
                  <w:noWrap w:val="0"/>
                  <w:vAlign w:val="center"/>
                </w:tcPr>
                <w:p w14:paraId="005614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0.000042 </w:t>
                  </w:r>
                </w:p>
              </w:tc>
              <w:tc>
                <w:tcPr>
                  <w:tcW w:w="1323" w:type="dxa"/>
                  <w:tcBorders>
                    <w:tl2br w:val="nil"/>
                    <w:tr2bl w:val="nil"/>
                  </w:tcBorders>
                  <w:noWrap w:val="0"/>
                  <w:vAlign w:val="center"/>
                </w:tcPr>
                <w:p w14:paraId="1B342429">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0.013 </w:t>
                  </w:r>
                </w:p>
              </w:tc>
            </w:tr>
            <w:tr w14:paraId="7DD997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3" w:type="pct"/>
                  <w:vMerge w:val="continue"/>
                  <w:tcBorders>
                    <w:tl2br w:val="nil"/>
                    <w:tr2bl w:val="nil"/>
                  </w:tcBorders>
                  <w:noWrap w:val="0"/>
                  <w:vAlign w:val="center"/>
                </w:tcPr>
                <w:p w14:paraId="442FEFEC">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vMerge w:val="continue"/>
                  <w:tcBorders>
                    <w:tl2br w:val="nil"/>
                    <w:tr2bl w:val="nil"/>
                  </w:tcBorders>
                  <w:noWrap w:val="0"/>
                  <w:vAlign w:val="center"/>
                </w:tcPr>
                <w:p w14:paraId="38DFC69A">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833" w:type="pct"/>
                  <w:tcBorders>
                    <w:tl2br w:val="nil"/>
                    <w:tr2bl w:val="nil"/>
                  </w:tcBorders>
                  <w:noWrap w:val="0"/>
                  <w:vAlign w:val="center"/>
                </w:tcPr>
                <w:p w14:paraId="73F865D7">
                  <w:pPr>
                    <w:pStyle w:val="6"/>
                    <w:keepNext w:val="0"/>
                    <w:keepLines w:val="0"/>
                    <w:suppressLineNumbers w:val="0"/>
                    <w:spacing w:before="0" w:beforeAutospacing="0" w:after="0" w:afterAutospacing="0"/>
                    <w:ind w:left="0" w:leftChars="0" w:right="0" w:firstLine="0" w:firstLineChars="0"/>
                    <w:jc w:val="center"/>
                    <w:rPr>
                      <w:rFonts w:hint="eastAsia" w:eastAsia="宋体"/>
                      <w:color w:val="auto"/>
                      <w:sz w:val="21"/>
                      <w:szCs w:val="21"/>
                      <w:lang w:val="en-US" w:eastAsia="zh-CN"/>
                    </w:rPr>
                  </w:pPr>
                  <w:r>
                    <w:rPr>
                      <w:rFonts w:hint="eastAsia"/>
                      <w:color w:val="auto"/>
                      <w:sz w:val="21"/>
                      <w:szCs w:val="21"/>
                    </w:rPr>
                    <w:t>T</w:t>
                  </w:r>
                  <w:r>
                    <w:rPr>
                      <w:rFonts w:hint="eastAsia"/>
                      <w:color w:val="auto"/>
                      <w:sz w:val="21"/>
                      <w:szCs w:val="21"/>
                      <w:lang w:val="en-US" w:eastAsia="zh-CN"/>
                    </w:rPr>
                    <w:t>P</w:t>
                  </w:r>
                </w:p>
              </w:tc>
              <w:tc>
                <w:tcPr>
                  <w:tcW w:w="833" w:type="pct"/>
                  <w:tcBorders>
                    <w:tl2br w:val="nil"/>
                    <w:tr2bl w:val="nil"/>
                  </w:tcBorders>
                  <w:noWrap w:val="0"/>
                  <w:vAlign w:val="center"/>
                </w:tcPr>
                <w:p w14:paraId="37F1F78E">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4</w:t>
                  </w:r>
                </w:p>
              </w:tc>
              <w:tc>
                <w:tcPr>
                  <w:tcW w:w="1325" w:type="dxa"/>
                  <w:tcBorders>
                    <w:tl2br w:val="nil"/>
                    <w:tr2bl w:val="nil"/>
                  </w:tcBorders>
                  <w:noWrap w:val="0"/>
                  <w:vAlign w:val="center"/>
                </w:tcPr>
                <w:p w14:paraId="42D1C0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0.000005 </w:t>
                  </w:r>
                </w:p>
              </w:tc>
              <w:tc>
                <w:tcPr>
                  <w:tcW w:w="1323" w:type="dxa"/>
                  <w:tcBorders>
                    <w:tl2br w:val="nil"/>
                    <w:tr2bl w:val="nil"/>
                  </w:tcBorders>
                  <w:noWrap w:val="0"/>
                  <w:vAlign w:val="center"/>
                </w:tcPr>
                <w:p w14:paraId="31ADFD9C">
                  <w:pPr>
                    <w:keepNext w:val="0"/>
                    <w:keepLines w:val="0"/>
                    <w:widowControl/>
                    <w:suppressLineNumbers w:val="0"/>
                    <w:jc w:val="center"/>
                    <w:textAlignment w:val="center"/>
                    <w:rPr>
                      <w:rFonts w:hint="default"/>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0.001 </w:t>
                  </w:r>
                </w:p>
              </w:tc>
            </w:tr>
            <w:tr w14:paraId="62F981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6" w:type="pct"/>
                  <w:gridSpan w:val="2"/>
                  <w:vMerge w:val="restart"/>
                  <w:tcBorders>
                    <w:tl2br w:val="nil"/>
                    <w:tr2bl w:val="nil"/>
                  </w:tcBorders>
                  <w:noWrap w:val="0"/>
                  <w:vAlign w:val="center"/>
                </w:tcPr>
                <w:p w14:paraId="39E46F72">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r>
                    <w:rPr>
                      <w:rFonts w:hint="eastAsia"/>
                      <w:color w:val="auto"/>
                      <w:sz w:val="21"/>
                      <w:szCs w:val="21"/>
                    </w:rPr>
                    <w:t>全厂排放口合计</w:t>
                  </w:r>
                </w:p>
              </w:tc>
              <w:tc>
                <w:tcPr>
                  <w:tcW w:w="2500" w:type="pct"/>
                  <w:gridSpan w:val="3"/>
                  <w:tcBorders>
                    <w:tl2br w:val="nil"/>
                    <w:tr2bl w:val="nil"/>
                  </w:tcBorders>
                  <w:noWrap w:val="0"/>
                  <w:vAlign w:val="center"/>
                </w:tcPr>
                <w:p w14:paraId="2D91B66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COD</w:t>
                  </w:r>
                </w:p>
              </w:tc>
              <w:tc>
                <w:tcPr>
                  <w:tcW w:w="1323" w:type="dxa"/>
                  <w:tcBorders>
                    <w:tl2br w:val="nil"/>
                    <w:tr2bl w:val="nil"/>
                  </w:tcBorders>
                  <w:noWrap w:val="0"/>
                  <w:vAlign w:val="center"/>
                </w:tcPr>
                <w:p w14:paraId="0CB4F754">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0.090 </w:t>
                  </w:r>
                </w:p>
              </w:tc>
            </w:tr>
            <w:tr w14:paraId="0DF4C9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6" w:type="pct"/>
                  <w:gridSpan w:val="2"/>
                  <w:vMerge w:val="continue"/>
                  <w:tcBorders>
                    <w:tl2br w:val="nil"/>
                    <w:tr2bl w:val="nil"/>
                  </w:tcBorders>
                  <w:noWrap w:val="0"/>
                  <w:vAlign w:val="center"/>
                </w:tcPr>
                <w:p w14:paraId="2D9A1DAE">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2500" w:type="pct"/>
                  <w:gridSpan w:val="3"/>
                  <w:tcBorders>
                    <w:tl2br w:val="nil"/>
                    <w:tr2bl w:val="nil"/>
                  </w:tcBorders>
                  <w:noWrap w:val="0"/>
                  <w:vAlign w:val="center"/>
                </w:tcPr>
                <w:p w14:paraId="005AB2A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SS</w:t>
                  </w:r>
                </w:p>
              </w:tc>
              <w:tc>
                <w:tcPr>
                  <w:tcW w:w="1323" w:type="dxa"/>
                  <w:tcBorders>
                    <w:tl2br w:val="nil"/>
                    <w:tr2bl w:val="nil"/>
                  </w:tcBorders>
                  <w:noWrap w:val="0"/>
                  <w:vAlign w:val="center"/>
                </w:tcPr>
                <w:p w14:paraId="34B85CC5">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0.065 </w:t>
                  </w:r>
                </w:p>
              </w:tc>
            </w:tr>
            <w:tr w14:paraId="0FF491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6" w:type="pct"/>
                  <w:gridSpan w:val="2"/>
                  <w:vMerge w:val="continue"/>
                  <w:tcBorders>
                    <w:tl2br w:val="nil"/>
                    <w:tr2bl w:val="nil"/>
                  </w:tcBorders>
                  <w:noWrap w:val="0"/>
                  <w:vAlign w:val="center"/>
                </w:tcPr>
                <w:p w14:paraId="3A047429">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2500" w:type="pct"/>
                  <w:gridSpan w:val="3"/>
                  <w:tcBorders>
                    <w:tl2br w:val="nil"/>
                    <w:tr2bl w:val="nil"/>
                  </w:tcBorders>
                  <w:noWrap w:val="0"/>
                  <w:vAlign w:val="center"/>
                </w:tcPr>
                <w:p w14:paraId="4554965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NH</w:t>
                  </w:r>
                  <w:r>
                    <w:rPr>
                      <w:rFonts w:hint="eastAsia" w:ascii="Times New Roman" w:hAnsi="Times New Roman" w:cs="Times New Roman"/>
                      <w:color w:val="auto"/>
                      <w:sz w:val="21"/>
                      <w:szCs w:val="21"/>
                      <w:vertAlign w:val="subscript"/>
                      <w:lang w:val="en-US" w:eastAsia="zh-CN"/>
                    </w:rPr>
                    <w:t>3</w:t>
                  </w:r>
                  <w:r>
                    <w:rPr>
                      <w:rFonts w:hint="eastAsia" w:ascii="Times New Roman" w:hAnsi="Times New Roman" w:cs="Times New Roman"/>
                      <w:color w:val="auto"/>
                      <w:sz w:val="21"/>
                      <w:szCs w:val="21"/>
                      <w:lang w:val="en-US" w:eastAsia="zh-CN"/>
                    </w:rPr>
                    <w:t>-N</w:t>
                  </w:r>
                </w:p>
              </w:tc>
              <w:tc>
                <w:tcPr>
                  <w:tcW w:w="1323" w:type="dxa"/>
                  <w:tcBorders>
                    <w:tl2br w:val="nil"/>
                    <w:tr2bl w:val="nil"/>
                  </w:tcBorders>
                  <w:noWrap w:val="0"/>
                  <w:vAlign w:val="center"/>
                </w:tcPr>
                <w:p w14:paraId="24D606FE">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0.009 </w:t>
                  </w:r>
                </w:p>
              </w:tc>
            </w:tr>
            <w:tr w14:paraId="4D5DBD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6" w:type="pct"/>
                  <w:gridSpan w:val="2"/>
                  <w:vMerge w:val="continue"/>
                  <w:tcBorders>
                    <w:tl2br w:val="nil"/>
                    <w:tr2bl w:val="nil"/>
                  </w:tcBorders>
                  <w:noWrap w:val="0"/>
                  <w:vAlign w:val="center"/>
                </w:tcPr>
                <w:p w14:paraId="5CF796A0">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2500" w:type="pct"/>
                  <w:gridSpan w:val="3"/>
                  <w:tcBorders>
                    <w:tl2br w:val="nil"/>
                    <w:tr2bl w:val="nil"/>
                  </w:tcBorders>
                  <w:noWrap w:val="0"/>
                  <w:vAlign w:val="center"/>
                </w:tcPr>
                <w:p w14:paraId="2907079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TN</w:t>
                  </w:r>
                </w:p>
              </w:tc>
              <w:tc>
                <w:tcPr>
                  <w:tcW w:w="1323" w:type="dxa"/>
                  <w:tcBorders>
                    <w:tl2br w:val="nil"/>
                    <w:tr2bl w:val="nil"/>
                  </w:tcBorders>
                  <w:noWrap w:val="0"/>
                  <w:vAlign w:val="center"/>
                </w:tcPr>
                <w:p w14:paraId="42C8AF99">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0.013 </w:t>
                  </w:r>
                </w:p>
              </w:tc>
            </w:tr>
            <w:tr w14:paraId="5C97E1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6" w:type="pct"/>
                  <w:gridSpan w:val="2"/>
                  <w:vMerge w:val="continue"/>
                  <w:tcBorders>
                    <w:tl2br w:val="nil"/>
                    <w:tr2bl w:val="nil"/>
                  </w:tcBorders>
                  <w:noWrap w:val="0"/>
                  <w:vAlign w:val="center"/>
                </w:tcPr>
                <w:p w14:paraId="0A6FBF0E">
                  <w:pPr>
                    <w:pStyle w:val="6"/>
                    <w:keepNext w:val="0"/>
                    <w:keepLines w:val="0"/>
                    <w:suppressLineNumbers w:val="0"/>
                    <w:spacing w:before="0" w:beforeAutospacing="0" w:after="0" w:afterAutospacing="0"/>
                    <w:ind w:left="0" w:leftChars="0" w:right="0" w:firstLine="0" w:firstLineChars="0"/>
                    <w:jc w:val="center"/>
                    <w:rPr>
                      <w:rFonts w:hint="default"/>
                      <w:color w:val="auto"/>
                      <w:sz w:val="21"/>
                      <w:szCs w:val="21"/>
                    </w:rPr>
                  </w:pPr>
                </w:p>
              </w:tc>
              <w:tc>
                <w:tcPr>
                  <w:tcW w:w="2500" w:type="pct"/>
                  <w:gridSpan w:val="3"/>
                  <w:tcBorders>
                    <w:tl2br w:val="nil"/>
                    <w:tr2bl w:val="nil"/>
                  </w:tcBorders>
                  <w:noWrap w:val="0"/>
                  <w:vAlign w:val="center"/>
                </w:tcPr>
                <w:p w14:paraId="4F2F2DE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TP</w:t>
                  </w:r>
                </w:p>
              </w:tc>
              <w:tc>
                <w:tcPr>
                  <w:tcW w:w="1323" w:type="dxa"/>
                  <w:tcBorders>
                    <w:tl2br w:val="nil"/>
                    <w:tr2bl w:val="nil"/>
                  </w:tcBorders>
                  <w:noWrap w:val="0"/>
                  <w:vAlign w:val="center"/>
                </w:tcPr>
                <w:p w14:paraId="119A0395">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0.001 </w:t>
                  </w:r>
                </w:p>
              </w:tc>
            </w:tr>
          </w:tbl>
          <w:p w14:paraId="54958F6E">
            <w:pPr>
              <w:pStyle w:val="6"/>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firstLine="480"/>
              <w:jc w:val="both"/>
              <w:rPr>
                <w:rFonts w:hint="default"/>
                <w:color w:val="auto"/>
              </w:rPr>
            </w:pPr>
            <w:r>
              <w:rPr>
                <w:rFonts w:hint="eastAsia"/>
                <w:color w:val="auto"/>
              </w:rPr>
              <w:t>4、水环境影响分析</w:t>
            </w:r>
          </w:p>
          <w:p w14:paraId="22014CDF">
            <w:pPr>
              <w:pStyle w:val="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firstLine="480" w:firstLineChars="200"/>
              <w:jc w:val="both"/>
              <w:textAlignment w:val="auto"/>
              <w:rPr>
                <w:rFonts w:hint="eastAsia" w:ascii="Times New Roman" w:hAnsi="Times New Roman" w:eastAsia="宋体" w:cs="宋体"/>
                <w:b w:val="0"/>
                <w:bCs w:val="0"/>
                <w:color w:val="auto"/>
                <w:kern w:val="2"/>
                <w:sz w:val="24"/>
                <w:szCs w:val="24"/>
                <w:lang w:val="en-US" w:eastAsia="zh-CN" w:bidi="ar-SA"/>
              </w:rPr>
            </w:pPr>
            <w:r>
              <w:rPr>
                <w:rFonts w:hint="eastAsia" w:ascii="Times New Roman" w:hAnsi="Times New Roman" w:eastAsia="宋体" w:cs="宋体"/>
                <w:b w:val="0"/>
                <w:bCs w:val="0"/>
                <w:color w:val="auto"/>
                <w:kern w:val="2"/>
                <w:sz w:val="24"/>
                <w:szCs w:val="24"/>
                <w:lang w:val="en-US" w:eastAsia="zh-CN" w:bidi="ar-SA"/>
              </w:rPr>
              <w:t>①水量接管可行性分析</w:t>
            </w:r>
          </w:p>
          <w:p w14:paraId="289C5D79">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宋体"/>
                <w:b w:val="0"/>
                <w:bCs w:val="0"/>
                <w:color w:val="auto"/>
                <w:kern w:val="2"/>
                <w:sz w:val="24"/>
                <w:szCs w:val="24"/>
                <w:lang w:val="en-US" w:eastAsia="zh-CN" w:bidi="ar-SA"/>
              </w:rPr>
            </w:pPr>
            <w:r>
              <w:rPr>
                <w:rFonts w:hint="default" w:ascii="Times New Roman" w:hAnsi="Times New Roman" w:eastAsia="宋体" w:cs="宋体"/>
                <w:b w:val="0"/>
                <w:bCs w:val="0"/>
                <w:color w:val="auto"/>
                <w:kern w:val="2"/>
                <w:sz w:val="24"/>
                <w:szCs w:val="24"/>
                <w:lang w:val="en-US" w:eastAsia="zh-CN" w:bidi="ar-SA"/>
              </w:rPr>
              <w:t>涟水经济开发区西区污水处理厂</w:t>
            </w:r>
            <w:r>
              <w:rPr>
                <w:rFonts w:hint="eastAsia" w:cs="宋体"/>
                <w:b w:val="0"/>
                <w:bCs w:val="0"/>
                <w:color w:val="auto"/>
                <w:kern w:val="2"/>
                <w:sz w:val="24"/>
                <w:szCs w:val="24"/>
                <w:lang w:val="en-US" w:eastAsia="zh-CN" w:bidi="ar-SA"/>
              </w:rPr>
              <w:t>目前处理现状为3</w:t>
            </w:r>
            <w:r>
              <w:rPr>
                <w:rFonts w:hint="default" w:ascii="Times New Roman" w:hAnsi="Times New Roman" w:eastAsia="宋体" w:cs="宋体"/>
                <w:b w:val="0"/>
                <w:bCs w:val="0"/>
                <w:color w:val="auto"/>
                <w:kern w:val="2"/>
                <w:sz w:val="24"/>
                <w:szCs w:val="24"/>
                <w:lang w:val="en-US" w:eastAsia="zh-CN" w:bidi="ar-SA"/>
              </w:rPr>
              <w:t>万吨每日，有足够余量处理本项目的生活污水。本项目营运后新增污水量为</w:t>
            </w:r>
            <w:r>
              <w:rPr>
                <w:rFonts w:hint="eastAsia" w:cs="宋体"/>
                <w:b w:val="0"/>
                <w:bCs w:val="0"/>
                <w:color w:val="auto"/>
                <w:kern w:val="2"/>
                <w:sz w:val="24"/>
                <w:szCs w:val="24"/>
                <w:lang w:val="en-US" w:eastAsia="zh-CN" w:bidi="ar-SA"/>
              </w:rPr>
              <w:t>1.2t/d，</w:t>
            </w:r>
            <w:r>
              <w:rPr>
                <w:rFonts w:hint="default" w:ascii="Times New Roman" w:hAnsi="Times New Roman" w:eastAsia="宋体" w:cs="宋体"/>
                <w:b w:val="0"/>
                <w:bCs w:val="0"/>
                <w:color w:val="auto"/>
                <w:kern w:val="2"/>
                <w:sz w:val="24"/>
                <w:szCs w:val="24"/>
                <w:lang w:val="en-US" w:eastAsia="zh-CN" w:bidi="ar-SA"/>
              </w:rPr>
              <w:t>占涟水经济开发区西区污水处理厂</w:t>
            </w:r>
            <w:r>
              <w:rPr>
                <w:rFonts w:hint="eastAsia" w:cs="宋体"/>
                <w:b w:val="0"/>
                <w:bCs w:val="0"/>
                <w:color w:val="auto"/>
                <w:kern w:val="2"/>
                <w:sz w:val="24"/>
                <w:szCs w:val="24"/>
                <w:lang w:val="en-US" w:eastAsia="zh-CN" w:bidi="ar-SA"/>
              </w:rPr>
              <w:t>处理</w:t>
            </w:r>
            <w:r>
              <w:rPr>
                <w:rFonts w:hint="default" w:ascii="Times New Roman" w:hAnsi="Times New Roman" w:eastAsia="宋体" w:cs="宋体"/>
                <w:b w:val="0"/>
                <w:bCs w:val="0"/>
                <w:color w:val="auto"/>
                <w:kern w:val="2"/>
                <w:sz w:val="24"/>
                <w:szCs w:val="24"/>
                <w:lang w:val="en-US" w:eastAsia="zh-CN" w:bidi="ar-SA"/>
              </w:rPr>
              <w:t>规模的比例很小，因此本项目所排废水的水量在污水处理厂的处理能力内。</w:t>
            </w:r>
          </w:p>
          <w:p w14:paraId="11221FC9">
            <w:pPr>
              <w:pStyle w:val="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firstLine="480" w:firstLineChars="200"/>
              <w:jc w:val="both"/>
              <w:textAlignment w:val="auto"/>
              <w:rPr>
                <w:rFonts w:hint="eastAsia" w:ascii="Times New Roman" w:hAnsi="Times New Roman" w:eastAsia="宋体" w:cs="宋体"/>
                <w:b w:val="0"/>
                <w:bCs w:val="0"/>
                <w:color w:val="auto"/>
                <w:kern w:val="2"/>
                <w:sz w:val="24"/>
                <w:szCs w:val="24"/>
                <w:lang w:val="en-US" w:eastAsia="zh-CN" w:bidi="ar-SA"/>
              </w:rPr>
            </w:pPr>
            <w:r>
              <w:rPr>
                <w:rFonts w:hint="eastAsia" w:ascii="Times New Roman" w:hAnsi="Times New Roman" w:eastAsia="宋体" w:cs="宋体"/>
                <w:b w:val="0"/>
                <w:bCs w:val="0"/>
                <w:color w:val="auto"/>
                <w:kern w:val="2"/>
                <w:sz w:val="24"/>
                <w:szCs w:val="24"/>
                <w:lang w:val="en-US" w:eastAsia="zh-CN" w:bidi="ar-SA"/>
              </w:rPr>
              <w:t>②水质接管可行性分析</w:t>
            </w:r>
          </w:p>
          <w:p w14:paraId="7D9FE239">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textAlignment w:val="auto"/>
              <w:rPr>
                <w:rFonts w:hint="default" w:ascii="Times New Roman" w:hAnsi="Times New Roman"/>
                <w:b w:val="0"/>
                <w:bCs w:val="0"/>
                <w:color w:val="auto"/>
                <w:sz w:val="24"/>
                <w:lang w:val="en-US" w:eastAsia="zh-CN"/>
              </w:rPr>
            </w:pPr>
            <w:r>
              <w:rPr>
                <w:rFonts w:hint="default" w:ascii="Times New Roman" w:hAnsi="Times New Roman"/>
                <w:b w:val="0"/>
                <w:bCs w:val="0"/>
                <w:color w:val="auto"/>
                <w:sz w:val="24"/>
                <w:lang w:val="en-US" w:eastAsia="zh-CN"/>
              </w:rPr>
              <w:t>项目废水中的主要污染物为COD、SS、氨氮、总氮、总磷，经分析，这些污染物经</w:t>
            </w:r>
            <w:r>
              <w:rPr>
                <w:rFonts w:hint="eastAsia" w:ascii="Times New Roman" w:hAnsi="Times New Roman"/>
                <w:b w:val="0"/>
                <w:bCs w:val="0"/>
                <w:color w:val="auto"/>
                <w:sz w:val="24"/>
                <w:lang w:val="en-US" w:eastAsia="zh-CN"/>
              </w:rPr>
              <w:t>租赁厂房公共化粪池预</w:t>
            </w:r>
            <w:r>
              <w:rPr>
                <w:rFonts w:hint="default" w:ascii="Times New Roman" w:hAnsi="Times New Roman"/>
                <w:b w:val="0"/>
                <w:bCs w:val="0"/>
                <w:color w:val="auto"/>
                <w:sz w:val="24"/>
                <w:lang w:val="en-US" w:eastAsia="zh-CN"/>
              </w:rPr>
              <w:t>处理后，</w:t>
            </w:r>
            <w:r>
              <w:rPr>
                <w:rFonts w:hint="eastAsia" w:ascii="Times New Roman" w:hAnsi="Times New Roman"/>
                <w:b w:val="0"/>
                <w:bCs w:val="0"/>
                <w:color w:val="auto"/>
                <w:sz w:val="24"/>
                <w:lang w:val="en-US" w:eastAsia="zh-CN"/>
              </w:rPr>
              <w:t>可达到涟水经济开发区西区污水</w:t>
            </w:r>
            <w:r>
              <w:rPr>
                <w:rFonts w:hint="default" w:ascii="Times New Roman" w:hAnsi="Times New Roman"/>
                <w:b w:val="0"/>
                <w:bCs w:val="0"/>
                <w:color w:val="auto"/>
                <w:sz w:val="24"/>
                <w:lang w:val="en-US" w:eastAsia="zh-CN"/>
              </w:rPr>
              <w:t>处理厂的接管</w:t>
            </w:r>
            <w:r>
              <w:rPr>
                <w:rFonts w:hint="eastAsia" w:ascii="Times New Roman" w:hAnsi="Times New Roman"/>
                <w:b w:val="0"/>
                <w:bCs w:val="0"/>
                <w:color w:val="auto"/>
                <w:sz w:val="24"/>
                <w:lang w:val="en-US" w:eastAsia="zh-CN"/>
              </w:rPr>
              <w:t>要求</w:t>
            </w:r>
            <w:r>
              <w:rPr>
                <w:rFonts w:hint="default" w:ascii="Times New Roman" w:hAnsi="Times New Roman"/>
                <w:b w:val="0"/>
                <w:bCs w:val="0"/>
                <w:color w:val="auto"/>
                <w:sz w:val="24"/>
                <w:lang w:val="en-US" w:eastAsia="zh-CN"/>
              </w:rPr>
              <w:t>，</w:t>
            </w:r>
            <w:r>
              <w:rPr>
                <w:rFonts w:hint="eastAsia" w:ascii="Times New Roman" w:hAnsi="Times New Roman"/>
                <w:b w:val="0"/>
                <w:bCs w:val="0"/>
                <w:color w:val="auto"/>
                <w:sz w:val="24"/>
                <w:lang w:val="en-US" w:eastAsia="zh-CN"/>
              </w:rPr>
              <w:t>项目废水经涟水经济开发区西区污水处理厂处理后达标排放</w:t>
            </w:r>
            <w:r>
              <w:rPr>
                <w:rFonts w:hint="default" w:ascii="Times New Roman" w:hAnsi="Times New Roman"/>
                <w:b w:val="0"/>
                <w:bCs w:val="0"/>
                <w:color w:val="auto"/>
                <w:sz w:val="24"/>
                <w:lang w:val="en-US" w:eastAsia="zh-CN"/>
              </w:rPr>
              <w:t>。</w:t>
            </w:r>
          </w:p>
          <w:p w14:paraId="7B35FAA9">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textAlignment w:val="auto"/>
              <w:rPr>
                <w:rFonts w:hint="default" w:ascii="Times New Roman" w:hAnsi="Times New Roman"/>
                <w:b w:val="0"/>
                <w:bCs w:val="0"/>
                <w:color w:val="auto"/>
                <w:sz w:val="24"/>
                <w:lang w:val="en-US" w:eastAsia="zh-CN"/>
              </w:rPr>
            </w:pPr>
            <w:r>
              <w:rPr>
                <w:rFonts w:hint="default" w:ascii="Times New Roman" w:hAnsi="Times New Roman"/>
                <w:b w:val="0"/>
                <w:bCs w:val="0"/>
                <w:color w:val="auto"/>
                <w:sz w:val="24"/>
                <w:lang w:val="en-US" w:eastAsia="zh-CN"/>
              </w:rPr>
              <w:t>因此，从水质上来说，本项目废水排入</w:t>
            </w:r>
            <w:r>
              <w:rPr>
                <w:rFonts w:hint="eastAsia" w:ascii="Times New Roman" w:hAnsi="Times New Roman"/>
                <w:b w:val="0"/>
                <w:bCs w:val="0"/>
                <w:color w:val="auto"/>
                <w:sz w:val="24"/>
                <w:lang w:val="en-US" w:eastAsia="zh-CN"/>
              </w:rPr>
              <w:t>涟水经济开发区西区污水处理厂</w:t>
            </w:r>
            <w:r>
              <w:rPr>
                <w:rFonts w:hint="default" w:ascii="Times New Roman" w:hAnsi="Times New Roman"/>
                <w:b w:val="0"/>
                <w:bCs w:val="0"/>
                <w:color w:val="auto"/>
                <w:sz w:val="24"/>
                <w:lang w:val="en-US" w:eastAsia="zh-CN"/>
              </w:rPr>
              <w:t>处理是可行的。</w:t>
            </w:r>
          </w:p>
          <w:p w14:paraId="7274FE63">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eastAsia" w:ascii="Times New Roman" w:hAnsi="Times New Roman"/>
                <w:b w:val="0"/>
                <w:bCs/>
                <w:color w:val="auto"/>
                <w:sz w:val="24"/>
                <w:lang w:val="en-US" w:eastAsia="zh-CN"/>
              </w:rPr>
            </w:pPr>
            <w:r>
              <w:rPr>
                <w:rFonts w:hint="eastAsia" w:ascii="Times New Roman" w:hAnsi="Times New Roman"/>
                <w:b w:val="0"/>
                <w:bCs/>
                <w:color w:val="auto"/>
                <w:sz w:val="24"/>
                <w:lang w:val="en-US" w:eastAsia="zh-CN"/>
              </w:rPr>
              <w:t>③管网配套可行性分析</w:t>
            </w:r>
          </w:p>
          <w:p w14:paraId="3B525BD5">
            <w:pPr>
              <w:keepNext w:val="0"/>
              <w:keepLines w:val="0"/>
              <w:pageBreakBefore w:val="0"/>
              <w:widowControl w:val="0"/>
              <w:kinsoku/>
              <w:wordWrap/>
              <w:overflowPunct/>
              <w:topLinePunct w:val="0"/>
              <w:bidi w:val="0"/>
              <w:snapToGrid/>
              <w:spacing w:line="360" w:lineRule="auto"/>
              <w:ind w:firstLine="480" w:firstLineChars="200"/>
              <w:jc w:val="both"/>
              <w:textAlignment w:val="auto"/>
              <w:rPr>
                <w:color w:val="auto"/>
                <w:sz w:val="24"/>
              </w:rPr>
            </w:pPr>
            <w:r>
              <w:rPr>
                <w:color w:val="auto"/>
                <w:sz w:val="24"/>
              </w:rPr>
              <w:t>建设项目</w:t>
            </w:r>
            <w:r>
              <w:rPr>
                <w:rFonts w:hint="eastAsia"/>
                <w:color w:val="auto"/>
                <w:sz w:val="24"/>
                <w:lang w:eastAsia="zh-CN"/>
              </w:rPr>
              <w:t>雨污水</w:t>
            </w:r>
            <w:r>
              <w:rPr>
                <w:color w:val="auto"/>
                <w:sz w:val="24"/>
              </w:rPr>
              <w:t>分别接管进入市政雨、污水管网，项目生活污水</w:t>
            </w:r>
            <w:r>
              <w:rPr>
                <w:rFonts w:hint="eastAsia"/>
                <w:color w:val="auto"/>
                <w:sz w:val="24"/>
                <w:lang w:val="en-US" w:eastAsia="zh-CN"/>
              </w:rPr>
              <w:t>经</w:t>
            </w:r>
            <w:r>
              <w:rPr>
                <w:rFonts w:hint="eastAsia"/>
                <w:color w:val="auto"/>
                <w:sz w:val="24"/>
              </w:rPr>
              <w:t>化粪池预处理</w:t>
            </w:r>
            <w:r>
              <w:rPr>
                <w:color w:val="auto"/>
                <w:sz w:val="24"/>
              </w:rPr>
              <w:t>后，可达涟水经济开发区西区污水处理厂的接管要求，项目废水经涟水经济开发区西区污水处理厂处理后达标排放，对周围水环境影响较小。</w:t>
            </w:r>
          </w:p>
          <w:p w14:paraId="1DA93EA9">
            <w:pPr>
              <w:pStyle w:val="2"/>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b w:val="0"/>
                <w:bCs/>
                <w:color w:val="auto"/>
                <w:sz w:val="24"/>
                <w:lang w:val="en-US" w:eastAsia="zh-CN"/>
              </w:rPr>
            </w:pPr>
            <w:r>
              <w:rPr>
                <w:rFonts w:hint="default" w:ascii="Times New Roman" w:hAnsi="Times New Roman"/>
                <w:b w:val="0"/>
                <w:bCs/>
                <w:color w:val="auto"/>
                <w:sz w:val="24"/>
                <w:lang w:val="en-US" w:eastAsia="zh-CN"/>
              </w:rPr>
              <w:t>本项目位于涟水县</w:t>
            </w:r>
            <w:r>
              <w:rPr>
                <w:rFonts w:hint="eastAsia" w:ascii="Times New Roman" w:hAnsi="Times New Roman"/>
                <w:b w:val="0"/>
                <w:bCs/>
                <w:color w:val="auto"/>
                <w:sz w:val="24"/>
                <w:lang w:val="en-US" w:eastAsia="zh-CN"/>
              </w:rPr>
              <w:t>经济开发区淮浦北路东侧、兴隆路南侧</w:t>
            </w:r>
            <w:r>
              <w:rPr>
                <w:rFonts w:hint="default" w:ascii="Times New Roman" w:hAnsi="Times New Roman"/>
                <w:b w:val="0"/>
                <w:bCs/>
                <w:color w:val="auto"/>
                <w:sz w:val="24"/>
                <w:lang w:val="en-US" w:eastAsia="zh-CN"/>
              </w:rPr>
              <w:t>，属于</w:t>
            </w:r>
            <w:r>
              <w:rPr>
                <w:rFonts w:hint="eastAsia" w:ascii="Times New Roman" w:hAnsi="Times New Roman"/>
                <w:b w:val="0"/>
                <w:bCs/>
                <w:color w:val="auto"/>
                <w:sz w:val="24"/>
                <w:lang w:val="en-US" w:eastAsia="zh-CN"/>
              </w:rPr>
              <w:t>涟水经济开发区西区污水</w:t>
            </w:r>
            <w:r>
              <w:rPr>
                <w:rFonts w:hint="default" w:ascii="Times New Roman" w:hAnsi="Times New Roman"/>
                <w:b w:val="0"/>
                <w:bCs/>
                <w:color w:val="auto"/>
                <w:sz w:val="24"/>
                <w:lang w:val="en-US" w:eastAsia="zh-CN"/>
              </w:rPr>
              <w:t>处理厂服务范围内，且所在区域污水管网已铺设到位。</w:t>
            </w:r>
          </w:p>
          <w:p w14:paraId="446BA278">
            <w:pPr>
              <w:pStyle w:val="2"/>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480" w:firstLineChars="200"/>
              <w:jc w:val="both"/>
              <w:textAlignment w:val="auto"/>
              <w:rPr>
                <w:rFonts w:hint="default"/>
                <w:b w:val="0"/>
                <w:bCs/>
                <w:color w:val="auto"/>
              </w:rPr>
            </w:pPr>
            <w:r>
              <w:rPr>
                <w:rFonts w:hint="eastAsia" w:ascii="Times New Roman" w:hAnsi="Times New Roman" w:cs="Times New Roman"/>
                <w:b w:val="0"/>
                <w:bCs/>
                <w:color w:val="auto"/>
              </w:rPr>
              <w:t>5</w:t>
            </w:r>
            <w:r>
              <w:rPr>
                <w:rFonts w:hint="default" w:ascii="Times New Roman" w:hAnsi="Times New Roman" w:cs="Times New Roman"/>
                <w:b w:val="0"/>
                <w:bCs/>
                <w:color w:val="auto"/>
              </w:rPr>
              <w:t>、</w:t>
            </w:r>
            <w:r>
              <w:rPr>
                <w:rFonts w:hint="eastAsia" w:ascii="Times New Roman" w:hAnsi="Times New Roman" w:cs="Times New Roman"/>
                <w:b w:val="0"/>
                <w:bCs/>
                <w:color w:val="auto"/>
              </w:rPr>
              <w:t>水环境影响分析结论</w:t>
            </w:r>
          </w:p>
          <w:p w14:paraId="07C6F587">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color w:val="auto"/>
                <w:sz w:val="24"/>
              </w:rPr>
            </w:pPr>
            <w:r>
              <w:rPr>
                <w:rFonts w:hint="eastAsia" w:ascii="Times New Roman" w:hAnsi="Times New Roman"/>
                <w:b w:val="0"/>
                <w:bCs/>
                <w:color w:val="auto"/>
                <w:sz w:val="24"/>
                <w:lang w:val="en-US" w:eastAsia="zh-CN"/>
              </w:rPr>
              <w:t>本项目废水主要为生活污水，生活污水</w:t>
            </w:r>
            <w:r>
              <w:rPr>
                <w:rFonts w:hint="eastAsia"/>
                <w:b w:val="0"/>
                <w:bCs/>
                <w:color w:val="auto"/>
                <w:sz w:val="24"/>
                <w:lang w:val="en-US" w:eastAsia="zh-CN"/>
              </w:rPr>
              <w:t>经</w:t>
            </w:r>
            <w:r>
              <w:rPr>
                <w:rFonts w:hint="eastAsia" w:ascii="Times New Roman" w:hAnsi="Times New Roman"/>
                <w:b w:val="0"/>
                <w:bCs/>
                <w:color w:val="auto"/>
                <w:sz w:val="24"/>
                <w:lang w:val="en-US" w:eastAsia="zh-CN"/>
              </w:rPr>
              <w:t>化粪池预处理后可达到涟水经济开发区西区污水处理厂接管标准，通过市政污水管网接管至涟水经济开发区西区处理厂处理，尾水</w:t>
            </w:r>
            <w:r>
              <w:rPr>
                <w:rFonts w:hint="eastAsia"/>
                <w:b w:val="0"/>
                <w:bCs/>
                <w:color w:val="auto"/>
                <w:sz w:val="24"/>
                <w:lang w:val="en-US" w:eastAsia="zh-CN"/>
              </w:rPr>
              <w:t>经祁六沟</w:t>
            </w:r>
            <w:r>
              <w:rPr>
                <w:rFonts w:hint="eastAsia" w:ascii="Times New Roman" w:hAnsi="Times New Roman"/>
                <w:b w:val="0"/>
                <w:bCs/>
                <w:color w:val="auto"/>
                <w:sz w:val="24"/>
                <w:lang w:val="en-US" w:eastAsia="zh-CN"/>
              </w:rPr>
              <w:t>排入公兴河；且从水量、水质、配套管网建设情况等方面综合考虑，</w:t>
            </w:r>
            <w:r>
              <w:rPr>
                <w:color w:val="auto"/>
                <w:sz w:val="24"/>
              </w:rPr>
              <w:t>项目废水接管至涟水经济开发区西区污水处理厂处理是可行的。</w:t>
            </w:r>
          </w:p>
          <w:p w14:paraId="0C9766B4">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color w:val="auto"/>
                <w:sz w:val="24"/>
              </w:rPr>
            </w:pPr>
            <w:r>
              <w:rPr>
                <w:color w:val="auto"/>
                <w:sz w:val="24"/>
              </w:rPr>
              <w:t>因此，项目对地表水环境的影响可以接受。</w:t>
            </w:r>
          </w:p>
          <w:p w14:paraId="63286FB6">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eastAsia="宋体"/>
                <w:color w:val="auto"/>
                <w:kern w:val="0"/>
                <w:sz w:val="24"/>
                <w:lang w:val="zh-CN"/>
              </w:rPr>
            </w:pPr>
            <w:r>
              <w:rPr>
                <w:rFonts w:hint="eastAsia"/>
                <w:color w:val="auto"/>
                <w:kern w:val="0"/>
                <w:sz w:val="24"/>
                <w:lang w:val="en-US" w:eastAsia="zh-CN"/>
              </w:rPr>
              <w:t>6、</w:t>
            </w:r>
            <w:r>
              <w:rPr>
                <w:rFonts w:eastAsia="宋体"/>
                <w:color w:val="auto"/>
                <w:kern w:val="0"/>
                <w:sz w:val="24"/>
                <w:lang w:val="zh-CN"/>
              </w:rPr>
              <w:t>废水</w:t>
            </w:r>
            <w:r>
              <w:rPr>
                <w:rFonts w:hint="eastAsia"/>
                <w:color w:val="auto"/>
                <w:kern w:val="0"/>
                <w:sz w:val="24"/>
                <w:lang w:val="zh-CN"/>
              </w:rPr>
              <w:t>检测</w:t>
            </w:r>
            <w:r>
              <w:rPr>
                <w:rFonts w:eastAsia="宋体"/>
                <w:color w:val="auto"/>
                <w:kern w:val="0"/>
                <w:sz w:val="24"/>
                <w:lang w:val="zh-CN"/>
              </w:rPr>
              <w:t>要求</w:t>
            </w:r>
          </w:p>
          <w:p w14:paraId="7AA5640B">
            <w:pPr>
              <w:pStyle w:val="6"/>
              <w:keepNext w:val="0"/>
              <w:keepLines w:val="0"/>
              <w:pageBreakBefore w:val="0"/>
              <w:widowControl w:val="0"/>
              <w:kinsoku/>
              <w:wordWrap/>
              <w:overflowPunct/>
              <w:topLinePunct w:val="0"/>
              <w:bidi w:val="0"/>
              <w:spacing w:after="0" w:line="360" w:lineRule="auto"/>
              <w:ind w:left="0" w:leftChars="0" w:firstLine="480"/>
              <w:jc w:val="both"/>
              <w:rPr>
                <w:rFonts w:hint="default" w:eastAsia="宋体"/>
                <w:color w:val="auto"/>
                <w:lang w:val="en-US" w:eastAsia="zh-CN"/>
              </w:rPr>
            </w:pPr>
            <w:r>
              <w:rPr>
                <w:rFonts w:hint="eastAsia"/>
                <w:color w:val="auto"/>
              </w:rPr>
              <w:t>本项目营运期废水</w:t>
            </w:r>
            <w:r>
              <w:rPr>
                <w:rFonts w:hint="eastAsia"/>
                <w:color w:val="auto"/>
                <w:lang w:val="en-US" w:eastAsia="zh-CN"/>
              </w:rPr>
              <w:t>为生活污水，</w:t>
            </w:r>
            <w:r>
              <w:rPr>
                <w:color w:val="auto"/>
                <w:sz w:val="24"/>
              </w:rPr>
              <w:t>根据</w:t>
            </w:r>
            <w:r>
              <w:rPr>
                <w:rFonts w:hint="eastAsia"/>
                <w:color w:val="auto"/>
              </w:rPr>
              <w:t>《排污单位自行监测技术指南总则》（HJ819-2017）中相关规定，单独排入公共污水处理系统的生活污水无需开展自行监测，</w:t>
            </w:r>
            <w:r>
              <w:rPr>
                <w:rFonts w:hint="eastAsia"/>
                <w:color w:val="auto"/>
                <w:lang w:val="en-US" w:eastAsia="zh-CN"/>
              </w:rPr>
              <w:t>本项目生活污水可不进行</w:t>
            </w:r>
            <w:r>
              <w:rPr>
                <w:rFonts w:hint="eastAsia"/>
                <w:color w:val="auto"/>
              </w:rPr>
              <w:t>监测</w:t>
            </w:r>
            <w:r>
              <w:rPr>
                <w:rFonts w:hint="eastAsia"/>
                <w:color w:val="auto"/>
                <w:sz w:val="21"/>
                <w:szCs w:val="21"/>
                <w:lang w:eastAsia="zh-CN"/>
              </w:rPr>
              <w:t>。</w:t>
            </w:r>
          </w:p>
          <w:p w14:paraId="4735DB7F">
            <w:pPr>
              <w:pStyle w:val="48"/>
              <w:keepNext w:val="0"/>
              <w:keepLines w:val="0"/>
              <w:pageBreakBefore w:val="0"/>
              <w:widowControl w:val="0"/>
              <w:kinsoku/>
              <w:wordWrap/>
              <w:overflowPunct/>
              <w:topLinePunct w:val="0"/>
              <w:bidi w:val="0"/>
              <w:adjustRightInd/>
              <w:snapToGrid w:val="0"/>
              <w:spacing w:line="360" w:lineRule="auto"/>
              <w:ind w:left="0" w:right="0" w:firstLineChars="200"/>
              <w:jc w:val="both"/>
              <w:rPr>
                <w:b/>
                <w:color w:val="auto"/>
                <w:szCs w:val="24"/>
              </w:rPr>
            </w:pPr>
            <w:r>
              <w:rPr>
                <w:rFonts w:hint="eastAsia" w:ascii="Times New Roman" w:hAnsi="Times New Roman" w:eastAsia="宋体"/>
                <w:b/>
                <w:color w:val="auto"/>
                <w:szCs w:val="24"/>
              </w:rPr>
              <w:t>三</w:t>
            </w:r>
            <w:r>
              <w:rPr>
                <w:rFonts w:ascii="Times New Roman" w:hAnsi="Times New Roman" w:eastAsia="宋体"/>
                <w:b/>
                <w:color w:val="auto"/>
                <w:szCs w:val="24"/>
              </w:rPr>
              <w:t>、</w:t>
            </w:r>
            <w:r>
              <w:rPr>
                <w:rFonts w:hint="eastAsia" w:ascii="Times New Roman" w:hAnsi="Times New Roman" w:eastAsia="宋体"/>
                <w:b/>
                <w:color w:val="auto"/>
                <w:szCs w:val="24"/>
              </w:rPr>
              <w:t>噪声</w:t>
            </w:r>
          </w:p>
          <w:p w14:paraId="7FFC197D">
            <w:pPr>
              <w:pStyle w:val="49"/>
              <w:keepNext w:val="0"/>
              <w:keepLines w:val="0"/>
              <w:pageBreakBefore w:val="0"/>
              <w:widowControl w:val="0"/>
              <w:kinsoku/>
              <w:wordWrap/>
              <w:overflowPunct/>
              <w:topLinePunct w:val="0"/>
              <w:bidi w:val="0"/>
              <w:snapToGrid w:val="0"/>
              <w:spacing w:line="360" w:lineRule="auto"/>
              <w:ind w:firstLine="480"/>
              <w:jc w:val="both"/>
              <w:rPr>
                <w:rFonts w:ascii="Times New Roman" w:eastAsia="宋体"/>
                <w:b w:val="0"/>
                <w:bCs/>
                <w:color w:val="auto"/>
                <w:sz w:val="24"/>
                <w:szCs w:val="24"/>
              </w:rPr>
            </w:pPr>
            <w:r>
              <w:rPr>
                <w:rFonts w:hint="eastAsia" w:ascii="Times New Roman" w:eastAsia="宋体"/>
                <w:b w:val="0"/>
                <w:bCs/>
                <w:color w:val="auto"/>
                <w:sz w:val="24"/>
                <w:szCs w:val="24"/>
              </w:rPr>
              <w:t>1、噪声源分析</w:t>
            </w:r>
          </w:p>
          <w:p w14:paraId="4C351B1E">
            <w:pPr>
              <w:pStyle w:val="2"/>
              <w:keepNext w:val="0"/>
              <w:keepLines w:val="0"/>
              <w:pageBreakBefore w:val="0"/>
              <w:widowControl w:val="0"/>
              <w:kinsoku/>
              <w:wordWrap/>
              <w:overflowPunct/>
              <w:topLinePunct w:val="0"/>
              <w:bidi w:val="0"/>
              <w:spacing w:line="360" w:lineRule="auto"/>
              <w:ind w:firstLine="480" w:firstLineChars="200"/>
              <w:jc w:val="both"/>
              <w:rPr>
                <w:rFonts w:hint="eastAsia" w:eastAsia="宋体"/>
                <w:bCs/>
                <w:color w:val="auto"/>
                <w:sz w:val="24"/>
                <w:szCs w:val="24"/>
                <w:lang w:val="en-US" w:eastAsia="zh-CN"/>
              </w:rPr>
            </w:pPr>
            <w:r>
              <w:rPr>
                <w:rFonts w:hint="eastAsia" w:ascii="Times New Roman" w:hAnsi="Times New Roman"/>
                <w:b w:val="0"/>
                <w:bCs w:val="0"/>
                <w:color w:val="auto"/>
                <w:sz w:val="24"/>
              </w:rPr>
              <w:t>本项目营运期</w:t>
            </w:r>
            <w:r>
              <w:rPr>
                <w:rFonts w:ascii="Times New Roman" w:hAnsi="Times New Roman"/>
                <w:b w:val="0"/>
                <w:bCs w:val="0"/>
                <w:color w:val="auto"/>
                <w:sz w:val="24"/>
              </w:rPr>
              <w:t>主要固定噪声源为</w:t>
            </w:r>
            <w:r>
              <w:rPr>
                <w:rFonts w:hint="eastAsia" w:ascii="Times New Roman" w:hAnsi="Times New Roman"/>
                <w:b w:val="0"/>
                <w:bCs w:val="0"/>
                <w:color w:val="auto"/>
                <w:sz w:val="24"/>
                <w:lang w:val="en-US" w:eastAsia="zh-CN"/>
              </w:rPr>
              <w:t>自动切片机、半自动切片机、双边磨边机、玻璃钻孔机、空压机、废气处理风机</w:t>
            </w:r>
            <w:r>
              <w:rPr>
                <w:rFonts w:hint="eastAsia" w:ascii="Times New Roman" w:hAnsi="Times New Roman"/>
                <w:b w:val="0"/>
                <w:bCs w:val="0"/>
                <w:color w:val="auto"/>
                <w:sz w:val="24"/>
              </w:rPr>
              <w:t>等。</w:t>
            </w:r>
            <w:r>
              <w:rPr>
                <w:rFonts w:ascii="Times New Roman" w:hAnsi="Times New Roman"/>
                <w:b w:val="0"/>
                <w:bCs w:val="0"/>
                <w:color w:val="auto"/>
                <w:sz w:val="24"/>
              </w:rPr>
              <w:t>根据类比</w:t>
            </w:r>
            <w:r>
              <w:rPr>
                <w:rFonts w:hint="eastAsia" w:ascii="Times New Roman" w:hAnsi="Times New Roman"/>
                <w:b w:val="0"/>
                <w:bCs w:val="0"/>
                <w:color w:val="auto"/>
                <w:sz w:val="24"/>
              </w:rPr>
              <w:t>分析</w:t>
            </w:r>
            <w:r>
              <w:rPr>
                <w:rFonts w:ascii="Times New Roman" w:hAnsi="Times New Roman"/>
                <w:b w:val="0"/>
                <w:bCs w:val="0"/>
                <w:color w:val="auto"/>
                <w:sz w:val="24"/>
              </w:rPr>
              <w:t>，设备运行时</w:t>
            </w:r>
            <w:r>
              <w:rPr>
                <w:rFonts w:hint="eastAsia" w:ascii="Times New Roman" w:hAnsi="Times New Roman"/>
                <w:b w:val="0"/>
                <w:bCs w:val="0"/>
                <w:color w:val="auto"/>
                <w:sz w:val="24"/>
              </w:rPr>
              <w:t>机械</w:t>
            </w:r>
            <w:r>
              <w:rPr>
                <w:rFonts w:ascii="Times New Roman" w:hAnsi="Times New Roman"/>
                <w:b w:val="0"/>
                <w:bCs w:val="0"/>
                <w:color w:val="auto"/>
                <w:sz w:val="24"/>
              </w:rPr>
              <w:t>噪声值在</w:t>
            </w:r>
            <w:r>
              <w:rPr>
                <w:rFonts w:hint="eastAsia" w:ascii="Times New Roman" w:hAnsi="Times New Roman"/>
                <w:b w:val="0"/>
                <w:bCs w:val="0"/>
                <w:color w:val="auto"/>
                <w:sz w:val="24"/>
                <w:lang w:val="en-US" w:eastAsia="zh-CN"/>
              </w:rPr>
              <w:t>6</w:t>
            </w:r>
            <w:r>
              <w:rPr>
                <w:rFonts w:hint="eastAsia" w:ascii="Times New Roman" w:hAnsi="Times New Roman"/>
                <w:b w:val="0"/>
                <w:bCs w:val="0"/>
                <w:color w:val="auto"/>
                <w:sz w:val="24"/>
              </w:rPr>
              <w:t>5</w:t>
            </w:r>
            <w:r>
              <w:rPr>
                <w:rFonts w:ascii="Times New Roman" w:hAnsi="Times New Roman"/>
                <w:b w:val="0"/>
                <w:bCs w:val="0"/>
                <w:color w:val="auto"/>
                <w:sz w:val="24"/>
              </w:rPr>
              <w:t>～</w:t>
            </w:r>
            <w:r>
              <w:rPr>
                <w:rFonts w:hint="eastAsia" w:ascii="Times New Roman" w:hAnsi="Times New Roman"/>
                <w:b w:val="0"/>
                <w:bCs w:val="0"/>
                <w:color w:val="auto"/>
                <w:sz w:val="24"/>
                <w:lang w:val="en-US" w:eastAsia="zh-CN"/>
              </w:rPr>
              <w:t>85</w:t>
            </w:r>
            <w:r>
              <w:rPr>
                <w:rFonts w:ascii="Times New Roman" w:hAnsi="Times New Roman"/>
                <w:b w:val="0"/>
                <w:bCs w:val="0"/>
                <w:color w:val="auto"/>
                <w:sz w:val="24"/>
              </w:rPr>
              <w:t>dB</w:t>
            </w:r>
            <w:r>
              <w:rPr>
                <w:rFonts w:hint="default" w:ascii="Times New Roman" w:hAnsi="Times New Roman" w:cs="Times New Roman"/>
                <w:b w:val="0"/>
                <w:bCs w:val="0"/>
                <w:color w:val="auto"/>
                <w:sz w:val="24"/>
              </w:rPr>
              <w:t>（A）之间。</w:t>
            </w:r>
            <w:r>
              <w:rPr>
                <w:rFonts w:hint="default" w:ascii="Times New Roman" w:hAnsi="Times New Roman" w:cs="Times New Roman"/>
                <w:b w:val="0"/>
                <w:bCs w:val="0"/>
                <w:snapToGrid w:val="0"/>
                <w:color w:val="auto"/>
                <w:sz w:val="24"/>
              </w:rPr>
              <w:t>本</w:t>
            </w:r>
            <w:r>
              <w:rPr>
                <w:rFonts w:hint="default" w:ascii="Times New Roman" w:hAnsi="Times New Roman" w:cs="Times New Roman"/>
                <w:b w:val="0"/>
                <w:bCs w:val="0"/>
                <w:color w:val="auto"/>
                <w:sz w:val="24"/>
              </w:rPr>
              <w:t>项目主</w:t>
            </w:r>
            <w:r>
              <w:rPr>
                <w:rFonts w:ascii="Times New Roman" w:hAnsi="Times New Roman"/>
                <w:b w:val="0"/>
                <w:bCs w:val="0"/>
                <w:color w:val="auto"/>
                <w:sz w:val="24"/>
              </w:rPr>
              <w:t>要设备噪声源强见</w:t>
            </w:r>
            <w:r>
              <w:rPr>
                <w:rFonts w:hint="eastAsia" w:ascii="Times New Roman" w:hAnsi="Times New Roman"/>
                <w:b w:val="0"/>
                <w:bCs w:val="0"/>
                <w:color w:val="auto"/>
                <w:sz w:val="24"/>
                <w:lang w:val="en-US" w:eastAsia="zh-CN"/>
              </w:rPr>
              <w:t>下</w:t>
            </w:r>
            <w:r>
              <w:rPr>
                <w:rFonts w:ascii="Times New Roman" w:hAnsi="Times New Roman"/>
                <w:b w:val="0"/>
                <w:bCs w:val="0"/>
                <w:color w:val="auto"/>
                <w:sz w:val="24"/>
              </w:rPr>
              <w:t>表</w:t>
            </w:r>
            <w:r>
              <w:rPr>
                <w:rFonts w:hint="eastAsia"/>
                <w:b w:val="0"/>
                <w:bCs w:val="0"/>
                <w:color w:val="auto"/>
                <w:sz w:val="24"/>
                <w:lang w:eastAsia="zh-CN"/>
              </w:rPr>
              <w:t>。</w:t>
            </w:r>
          </w:p>
        </w:tc>
      </w:tr>
    </w:tbl>
    <w:p w14:paraId="7F417921">
      <w:pPr>
        <w:adjustRightInd w:val="0"/>
        <w:snapToGrid w:val="0"/>
        <w:jc w:val="center"/>
        <w:rPr>
          <w:rFonts w:ascii="宋体" w:hAnsi="宋体" w:cs="宋体"/>
          <w:bCs/>
          <w:color w:val="auto"/>
          <w:szCs w:val="21"/>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2"/>
        <w:tblW w:w="152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717"/>
      </w:tblGrid>
      <w:tr w14:paraId="2B1E2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098" w:hRule="atLeast"/>
          <w:jc w:val="center"/>
        </w:trPr>
        <w:tc>
          <w:tcPr>
            <w:tcW w:w="562" w:type="dxa"/>
            <w:noWrap w:val="0"/>
            <w:vAlign w:val="center"/>
          </w:tcPr>
          <w:p w14:paraId="561F86F4">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Cs w:val="21"/>
              </w:rPr>
            </w:pPr>
          </w:p>
        </w:tc>
        <w:tc>
          <w:tcPr>
            <w:tcW w:w="14717" w:type="dxa"/>
            <w:noWrap w:val="0"/>
            <w:vAlign w:val="top"/>
          </w:tcPr>
          <w:p w14:paraId="28E3B237">
            <w:pPr>
              <w:pStyle w:val="20"/>
              <w:keepNext w:val="0"/>
              <w:keepLines w:val="0"/>
              <w:suppressLineNumbers w:val="0"/>
              <w:spacing w:before="0" w:beforeAutospacing="0" w:after="0" w:afterAutospacing="0" w:line="240" w:lineRule="auto"/>
              <w:ind w:left="0" w:right="0"/>
              <w:jc w:val="center"/>
              <w:outlineLvl w:val="0"/>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表</w:t>
            </w:r>
            <w:r>
              <w:rPr>
                <w:rFonts w:hint="default" w:ascii="Times New Roman" w:hAnsi="Times New Roman" w:eastAsia="宋体"/>
                <w:b/>
                <w:bCs/>
                <w:color w:val="auto"/>
                <w:sz w:val="21"/>
                <w:szCs w:val="21"/>
              </w:rPr>
              <w:t>4-</w:t>
            </w:r>
            <w:r>
              <w:rPr>
                <w:rFonts w:hint="eastAsia" w:ascii="Times New Roman" w:hAnsi="Times New Roman" w:eastAsia="宋体"/>
                <w:b/>
                <w:bCs/>
                <w:color w:val="auto"/>
                <w:sz w:val="21"/>
                <w:szCs w:val="21"/>
                <w:lang w:val="en-US" w:eastAsia="zh-CN"/>
              </w:rPr>
              <w:t>1</w:t>
            </w:r>
            <w:r>
              <w:rPr>
                <w:rFonts w:hint="eastAsia" w:ascii="Times New Roman" w:hAnsi="Times New Roman"/>
                <w:b/>
                <w:bCs/>
                <w:color w:val="auto"/>
                <w:sz w:val="21"/>
                <w:szCs w:val="21"/>
                <w:lang w:val="en-US" w:eastAsia="zh-CN"/>
              </w:rPr>
              <w:t xml:space="preserve">6  </w:t>
            </w:r>
            <w:r>
              <w:rPr>
                <w:rFonts w:hint="eastAsia" w:ascii="Times New Roman" w:hAnsi="Times New Roman" w:eastAsia="宋体"/>
                <w:b/>
                <w:bCs/>
                <w:color w:val="auto"/>
                <w:sz w:val="21"/>
                <w:szCs w:val="21"/>
                <w:lang w:val="en-US" w:eastAsia="zh-CN"/>
              </w:rPr>
              <w:t>本项目主要噪声源源强调查清单（室外声源位dB（A））</w:t>
            </w:r>
          </w:p>
          <w:tbl>
            <w:tblPr>
              <w:tblStyle w:val="23"/>
              <w:tblW w:w="1450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54"/>
              <w:gridCol w:w="882"/>
              <w:gridCol w:w="982"/>
              <w:gridCol w:w="909"/>
              <w:gridCol w:w="3882"/>
              <w:gridCol w:w="2236"/>
              <w:gridCol w:w="2636"/>
              <w:gridCol w:w="1145"/>
            </w:tblGrid>
            <w:tr w14:paraId="203F26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tcBorders>
                    <w:tl2br w:val="nil"/>
                    <w:tr2bl w:val="nil"/>
                  </w:tcBorders>
                  <w:vAlign w:val="center"/>
                </w:tcPr>
                <w:p w14:paraId="305C9D7E">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序号</w:t>
                  </w:r>
                </w:p>
              </w:tc>
              <w:tc>
                <w:tcPr>
                  <w:tcW w:w="1154" w:type="dxa"/>
                  <w:vMerge w:val="restart"/>
                  <w:tcBorders>
                    <w:tl2br w:val="nil"/>
                    <w:tr2bl w:val="nil"/>
                  </w:tcBorders>
                  <w:vAlign w:val="center"/>
                </w:tcPr>
                <w:p w14:paraId="35102A80">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声源名称</w:t>
                  </w:r>
                </w:p>
              </w:tc>
              <w:tc>
                <w:tcPr>
                  <w:tcW w:w="2773" w:type="dxa"/>
                  <w:gridSpan w:val="3"/>
                  <w:tcBorders>
                    <w:tl2br w:val="nil"/>
                    <w:tr2bl w:val="nil"/>
                  </w:tcBorders>
                  <w:vAlign w:val="center"/>
                </w:tcPr>
                <w:p w14:paraId="2C89555E">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空间相对位置</w:t>
                  </w:r>
                </w:p>
              </w:tc>
              <w:tc>
                <w:tcPr>
                  <w:tcW w:w="6118" w:type="dxa"/>
                  <w:gridSpan w:val="2"/>
                  <w:tcBorders>
                    <w:tl2br w:val="nil"/>
                    <w:tr2bl w:val="nil"/>
                  </w:tcBorders>
                  <w:vAlign w:val="center"/>
                </w:tcPr>
                <w:p w14:paraId="0D5F8019">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声</w:t>
                  </w:r>
                  <w:r>
                    <w:rPr>
                      <w:rFonts w:hint="eastAsia" w:ascii="Times New Roman" w:hAnsi="Times New Roman" w:cs="Times New Roman"/>
                      <w:b w:val="0"/>
                      <w:bCs/>
                      <w:color w:val="auto"/>
                      <w:sz w:val="21"/>
                      <w:szCs w:val="21"/>
                      <w:vertAlign w:val="baseline"/>
                      <w:lang w:val="en-US" w:eastAsia="zh-CN"/>
                    </w:rPr>
                    <w:t>源</w:t>
                  </w:r>
                  <w:r>
                    <w:rPr>
                      <w:rFonts w:hint="eastAsia" w:ascii="Times New Roman" w:hAnsi="Times New Roman" w:eastAsia="宋体" w:cs="Times New Roman"/>
                      <w:b w:val="0"/>
                      <w:bCs/>
                      <w:color w:val="auto"/>
                      <w:sz w:val="21"/>
                      <w:szCs w:val="21"/>
                      <w:vertAlign w:val="baseline"/>
                      <w:lang w:val="en-US" w:eastAsia="zh-CN"/>
                    </w:rPr>
                    <w:t>强</w:t>
                  </w:r>
                </w:p>
              </w:tc>
              <w:tc>
                <w:tcPr>
                  <w:tcW w:w="2636" w:type="dxa"/>
                  <w:vMerge w:val="restart"/>
                  <w:tcBorders>
                    <w:tl2br w:val="nil"/>
                    <w:tr2bl w:val="nil"/>
                  </w:tcBorders>
                  <w:vAlign w:val="center"/>
                </w:tcPr>
                <w:p w14:paraId="2D268DA7">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声源控制措施</w:t>
                  </w:r>
                </w:p>
              </w:tc>
              <w:tc>
                <w:tcPr>
                  <w:tcW w:w="1145" w:type="dxa"/>
                  <w:vMerge w:val="restart"/>
                  <w:tcBorders>
                    <w:tl2br w:val="nil"/>
                    <w:tr2bl w:val="nil"/>
                  </w:tcBorders>
                  <w:vAlign w:val="center"/>
                </w:tcPr>
                <w:p w14:paraId="47A66C98">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运行时段</w:t>
                  </w:r>
                </w:p>
              </w:tc>
            </w:tr>
            <w:tr w14:paraId="040268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tcBorders>
                    <w:tl2br w:val="nil"/>
                    <w:tr2bl w:val="nil"/>
                  </w:tcBorders>
                  <w:vAlign w:val="center"/>
                </w:tcPr>
                <w:p w14:paraId="3129F025">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p>
              </w:tc>
              <w:tc>
                <w:tcPr>
                  <w:tcW w:w="1154" w:type="dxa"/>
                  <w:vMerge w:val="continue"/>
                  <w:tcBorders>
                    <w:tl2br w:val="nil"/>
                    <w:tr2bl w:val="nil"/>
                  </w:tcBorders>
                  <w:vAlign w:val="center"/>
                </w:tcPr>
                <w:p w14:paraId="46E351E3">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p>
              </w:tc>
              <w:tc>
                <w:tcPr>
                  <w:tcW w:w="882" w:type="dxa"/>
                  <w:tcBorders>
                    <w:tl2br w:val="nil"/>
                    <w:tr2bl w:val="nil"/>
                  </w:tcBorders>
                  <w:vAlign w:val="center"/>
                </w:tcPr>
                <w:p w14:paraId="4DEDAA7C">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X</w:t>
                  </w:r>
                </w:p>
              </w:tc>
              <w:tc>
                <w:tcPr>
                  <w:tcW w:w="982" w:type="dxa"/>
                  <w:tcBorders>
                    <w:tl2br w:val="nil"/>
                    <w:tr2bl w:val="nil"/>
                  </w:tcBorders>
                  <w:vAlign w:val="center"/>
                </w:tcPr>
                <w:p w14:paraId="02AE097A">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Y</w:t>
                  </w:r>
                </w:p>
              </w:tc>
              <w:tc>
                <w:tcPr>
                  <w:tcW w:w="909" w:type="dxa"/>
                  <w:tcBorders>
                    <w:tl2br w:val="nil"/>
                    <w:tr2bl w:val="nil"/>
                  </w:tcBorders>
                  <w:vAlign w:val="center"/>
                </w:tcPr>
                <w:p w14:paraId="22F824F3">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Z</w:t>
                  </w:r>
                </w:p>
              </w:tc>
              <w:tc>
                <w:tcPr>
                  <w:tcW w:w="3882" w:type="dxa"/>
                  <w:tcBorders>
                    <w:tl2br w:val="nil"/>
                    <w:tr2bl w:val="nil"/>
                  </w:tcBorders>
                  <w:vAlign w:val="center"/>
                </w:tcPr>
                <w:p w14:paraId="1437FA6E">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（声压级/距声源距离）/（dB(A)/m）</w:t>
                  </w:r>
                </w:p>
              </w:tc>
              <w:tc>
                <w:tcPr>
                  <w:tcW w:w="2236" w:type="dxa"/>
                  <w:tcBorders>
                    <w:tl2br w:val="nil"/>
                    <w:tr2bl w:val="nil"/>
                  </w:tcBorders>
                  <w:vAlign w:val="center"/>
                </w:tcPr>
                <w:p w14:paraId="383C3DB7">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声功率级/dB(A)</w:t>
                  </w:r>
                </w:p>
              </w:tc>
              <w:tc>
                <w:tcPr>
                  <w:tcW w:w="2636" w:type="dxa"/>
                  <w:vMerge w:val="continue"/>
                  <w:tcBorders>
                    <w:tl2br w:val="nil"/>
                    <w:tr2bl w:val="nil"/>
                  </w:tcBorders>
                  <w:vAlign w:val="center"/>
                </w:tcPr>
                <w:p w14:paraId="4D22343A">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p>
              </w:tc>
              <w:tc>
                <w:tcPr>
                  <w:tcW w:w="1145" w:type="dxa"/>
                  <w:vMerge w:val="continue"/>
                  <w:tcBorders>
                    <w:tl2br w:val="nil"/>
                    <w:tr2bl w:val="nil"/>
                  </w:tcBorders>
                  <w:vAlign w:val="center"/>
                </w:tcPr>
                <w:p w14:paraId="43A0A483">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p>
              </w:tc>
            </w:tr>
            <w:tr w14:paraId="098EEE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tcBorders>
                    <w:tl2br w:val="nil"/>
                    <w:tr2bl w:val="nil"/>
                  </w:tcBorders>
                  <w:vAlign w:val="center"/>
                </w:tcPr>
                <w:p w14:paraId="6D356AB7">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1</w:t>
                  </w:r>
                </w:p>
              </w:tc>
              <w:tc>
                <w:tcPr>
                  <w:tcW w:w="1154" w:type="dxa"/>
                  <w:tcBorders>
                    <w:tl2br w:val="nil"/>
                    <w:tr2bl w:val="nil"/>
                  </w:tcBorders>
                  <w:vAlign w:val="center"/>
                </w:tcPr>
                <w:p w14:paraId="11E2FAC5">
                  <w:pPr>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风机</w:t>
                  </w:r>
                </w:p>
              </w:tc>
              <w:tc>
                <w:tcPr>
                  <w:tcW w:w="882" w:type="dxa"/>
                  <w:tcBorders>
                    <w:tl2br w:val="nil"/>
                    <w:tr2bl w:val="nil"/>
                  </w:tcBorders>
                  <w:vAlign w:val="center"/>
                </w:tcPr>
                <w:p w14:paraId="591E63D8">
                  <w:pPr>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b w:val="0"/>
                      <w:bCs/>
                      <w:color w:val="auto"/>
                      <w:sz w:val="21"/>
                      <w:szCs w:val="21"/>
                      <w:vertAlign w:val="baseline"/>
                      <w:lang w:val="en-US" w:eastAsia="zh-CN"/>
                    </w:rPr>
                    <w:t>2.2</w:t>
                  </w:r>
                </w:p>
              </w:tc>
              <w:tc>
                <w:tcPr>
                  <w:tcW w:w="982" w:type="dxa"/>
                  <w:tcBorders>
                    <w:tl2br w:val="nil"/>
                    <w:tr2bl w:val="nil"/>
                  </w:tcBorders>
                  <w:vAlign w:val="center"/>
                </w:tcPr>
                <w:p w14:paraId="4B600B5E">
                  <w:pPr>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b w:val="0"/>
                      <w:bCs/>
                      <w:color w:val="auto"/>
                      <w:sz w:val="21"/>
                      <w:szCs w:val="21"/>
                      <w:vertAlign w:val="baseline"/>
                      <w:lang w:val="en-US" w:eastAsia="zh-CN"/>
                    </w:rPr>
                    <w:t>-27.1</w:t>
                  </w:r>
                </w:p>
              </w:tc>
              <w:tc>
                <w:tcPr>
                  <w:tcW w:w="909" w:type="dxa"/>
                  <w:tcBorders>
                    <w:tl2br w:val="nil"/>
                    <w:tr2bl w:val="nil"/>
                  </w:tcBorders>
                  <w:vAlign w:val="center"/>
                </w:tcPr>
                <w:p w14:paraId="13111851">
                  <w:pPr>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Arial" w:cs="Times New Roman"/>
                      <w:color w:val="auto"/>
                      <w:sz w:val="20"/>
                    </w:rPr>
                    <w:t>1.2</w:t>
                  </w:r>
                </w:p>
              </w:tc>
              <w:tc>
                <w:tcPr>
                  <w:tcW w:w="3882" w:type="dxa"/>
                  <w:tcBorders>
                    <w:tl2br w:val="nil"/>
                    <w:tr2bl w:val="nil"/>
                  </w:tcBorders>
                  <w:vAlign w:val="center"/>
                </w:tcPr>
                <w:p w14:paraId="070476AA">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w:t>
                  </w:r>
                </w:p>
              </w:tc>
              <w:tc>
                <w:tcPr>
                  <w:tcW w:w="2236" w:type="dxa"/>
                  <w:tcBorders>
                    <w:tl2br w:val="nil"/>
                    <w:tr2bl w:val="nil"/>
                  </w:tcBorders>
                  <w:vAlign w:val="center"/>
                </w:tcPr>
                <w:p w14:paraId="5BA2326C">
                  <w:pPr>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Arial" w:cs="Times New Roman"/>
                      <w:color w:val="auto"/>
                      <w:sz w:val="20"/>
                    </w:rPr>
                    <w:t>8</w:t>
                  </w:r>
                  <w:r>
                    <w:rPr>
                      <w:rFonts w:hint="default" w:ascii="Times New Roman" w:hAnsi="Times New Roman" w:cs="Times New Roman"/>
                      <w:color w:val="auto"/>
                      <w:sz w:val="20"/>
                      <w:lang w:val="en-US" w:eastAsia="zh-CN"/>
                    </w:rPr>
                    <w:t>5</w:t>
                  </w:r>
                </w:p>
              </w:tc>
              <w:tc>
                <w:tcPr>
                  <w:tcW w:w="2636" w:type="dxa"/>
                  <w:tcBorders>
                    <w:tl2br w:val="nil"/>
                    <w:tr2bl w:val="nil"/>
                  </w:tcBorders>
                  <w:vAlign w:val="center"/>
                </w:tcPr>
                <w:p w14:paraId="67E77684">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隔声罩，削减20dB（A）</w:t>
                  </w:r>
                </w:p>
              </w:tc>
              <w:tc>
                <w:tcPr>
                  <w:tcW w:w="1145" w:type="dxa"/>
                  <w:tcBorders>
                    <w:tl2br w:val="nil"/>
                    <w:tr2bl w:val="nil"/>
                  </w:tcBorders>
                  <w:vAlign w:val="center"/>
                </w:tcPr>
                <w:p w14:paraId="10CC9BD8">
                  <w:pPr>
                    <w:pStyle w:val="20"/>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b w:val="0"/>
                      <w:bCs/>
                      <w:color w:val="auto"/>
                      <w:kern w:val="0"/>
                      <w:sz w:val="21"/>
                      <w:szCs w:val="21"/>
                      <w:vertAlign w:val="baseline"/>
                      <w:lang w:val="en-US" w:eastAsia="zh-CN" w:bidi="ar-SA"/>
                    </w:rPr>
                  </w:pPr>
                  <w:r>
                    <w:rPr>
                      <w:rFonts w:hint="eastAsia" w:ascii="Times New Roman" w:hAnsi="Times New Roman" w:cs="Times New Roman"/>
                      <w:color w:val="auto"/>
                      <w:sz w:val="21"/>
                      <w:szCs w:val="21"/>
                      <w:lang w:val="en-US" w:eastAsia="zh-CN"/>
                    </w:rPr>
                    <w:t>7200</w:t>
                  </w:r>
                  <w:r>
                    <w:rPr>
                      <w:rFonts w:hint="eastAsia" w:ascii="Times New Roman" w:hAnsi="Times New Roman" w:eastAsia="宋体" w:cs="Times New Roman"/>
                      <w:color w:val="auto"/>
                      <w:sz w:val="21"/>
                      <w:szCs w:val="21"/>
                      <w:lang w:val="en-US" w:eastAsia="zh-CN"/>
                    </w:rPr>
                    <w:t>h</w:t>
                  </w:r>
                </w:p>
              </w:tc>
            </w:tr>
            <w:tr w14:paraId="10EF84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tcBorders>
                    <w:tl2br w:val="nil"/>
                    <w:tr2bl w:val="nil"/>
                  </w:tcBorders>
                  <w:vAlign w:val="center"/>
                </w:tcPr>
                <w:p w14:paraId="22FBF80A">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w:t>
                  </w:r>
                </w:p>
              </w:tc>
              <w:tc>
                <w:tcPr>
                  <w:tcW w:w="1154" w:type="dxa"/>
                  <w:tcBorders>
                    <w:tl2br w:val="nil"/>
                    <w:tr2bl w:val="nil"/>
                  </w:tcBorders>
                  <w:vAlign w:val="center"/>
                </w:tcPr>
                <w:p w14:paraId="286593F5">
                  <w:pPr>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cs="Times New Roman"/>
                      <w:b w:val="0"/>
                      <w:bCs/>
                      <w:color w:val="auto"/>
                      <w:sz w:val="21"/>
                      <w:szCs w:val="21"/>
                      <w:vertAlign w:val="baseline"/>
                      <w:lang w:val="en-US" w:eastAsia="zh-CN"/>
                    </w:rPr>
                    <w:t>空压机1</w:t>
                  </w:r>
                </w:p>
              </w:tc>
              <w:tc>
                <w:tcPr>
                  <w:tcW w:w="882" w:type="dxa"/>
                  <w:tcBorders>
                    <w:tl2br w:val="nil"/>
                    <w:tr2bl w:val="nil"/>
                  </w:tcBorders>
                  <w:vAlign w:val="center"/>
                </w:tcPr>
                <w:p w14:paraId="67EE1D06">
                  <w:pPr>
                    <w:jc w:val="center"/>
                    <w:rPr>
                      <w:rFonts w:hint="default" w:ascii="Times New Roman" w:hAnsi="Times New Roman" w:eastAsia="宋体" w:cs="Times New Roman"/>
                      <w:color w:val="auto"/>
                      <w:sz w:val="20"/>
                      <w:lang w:val="en-US" w:eastAsia="zh-CN"/>
                    </w:rPr>
                  </w:pPr>
                  <w:r>
                    <w:rPr>
                      <w:rFonts w:hint="default" w:ascii="Times New Roman" w:hAnsi="Times New Roman" w:cs="Times New Roman"/>
                      <w:color w:val="auto"/>
                      <w:sz w:val="20"/>
                      <w:lang w:val="en-US" w:eastAsia="zh-CN"/>
                    </w:rPr>
                    <w:t>-30.1</w:t>
                  </w:r>
                </w:p>
              </w:tc>
              <w:tc>
                <w:tcPr>
                  <w:tcW w:w="982" w:type="dxa"/>
                  <w:tcBorders>
                    <w:tl2br w:val="nil"/>
                    <w:tr2bl w:val="nil"/>
                  </w:tcBorders>
                  <w:vAlign w:val="center"/>
                </w:tcPr>
                <w:p w14:paraId="4AC3DF67">
                  <w:pPr>
                    <w:jc w:val="center"/>
                    <w:rPr>
                      <w:rFonts w:hint="default" w:ascii="Times New Roman" w:hAnsi="Times New Roman" w:eastAsia="宋体" w:cs="Times New Roman"/>
                      <w:color w:val="auto"/>
                      <w:sz w:val="20"/>
                      <w:lang w:val="en-US" w:eastAsia="zh-CN"/>
                    </w:rPr>
                  </w:pPr>
                  <w:r>
                    <w:rPr>
                      <w:rFonts w:hint="default" w:ascii="Times New Roman" w:hAnsi="Times New Roman" w:cs="Times New Roman"/>
                      <w:color w:val="auto"/>
                      <w:sz w:val="20"/>
                      <w:lang w:val="en-US" w:eastAsia="zh-CN"/>
                    </w:rPr>
                    <w:t>26.2</w:t>
                  </w:r>
                </w:p>
              </w:tc>
              <w:tc>
                <w:tcPr>
                  <w:tcW w:w="909" w:type="dxa"/>
                  <w:tcBorders>
                    <w:tl2br w:val="nil"/>
                    <w:tr2bl w:val="nil"/>
                  </w:tcBorders>
                  <w:vAlign w:val="center"/>
                </w:tcPr>
                <w:p w14:paraId="2B8833BA">
                  <w:pPr>
                    <w:jc w:val="center"/>
                    <w:rPr>
                      <w:rFonts w:hint="default" w:ascii="Times New Roman" w:hAnsi="Times New Roman" w:eastAsia="宋体" w:cs="Times New Roman"/>
                      <w:color w:val="auto"/>
                      <w:sz w:val="20"/>
                      <w:lang w:val="en-US" w:eastAsia="zh-CN"/>
                    </w:rPr>
                  </w:pPr>
                  <w:r>
                    <w:rPr>
                      <w:rFonts w:hint="default" w:ascii="Times New Roman" w:hAnsi="Times New Roman" w:eastAsia="宋体" w:cs="Times New Roman"/>
                      <w:color w:val="auto"/>
                      <w:sz w:val="20"/>
                      <w:lang w:val="en-US" w:eastAsia="zh-CN"/>
                    </w:rPr>
                    <w:t>1.2</w:t>
                  </w:r>
                </w:p>
              </w:tc>
              <w:tc>
                <w:tcPr>
                  <w:tcW w:w="3882" w:type="dxa"/>
                  <w:tcBorders>
                    <w:tl2br w:val="nil"/>
                    <w:tr2bl w:val="nil"/>
                  </w:tcBorders>
                  <w:vAlign w:val="center"/>
                </w:tcPr>
                <w:p w14:paraId="3AA023E4">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b w:val="0"/>
                      <w:bCs/>
                      <w:color w:val="auto"/>
                      <w:sz w:val="21"/>
                      <w:szCs w:val="21"/>
                      <w:vertAlign w:val="baseline"/>
                      <w:lang w:val="en-US" w:eastAsia="zh-CN"/>
                    </w:rPr>
                    <w:t>/</w:t>
                  </w:r>
                </w:p>
              </w:tc>
              <w:tc>
                <w:tcPr>
                  <w:tcW w:w="2236" w:type="dxa"/>
                  <w:tcBorders>
                    <w:tl2br w:val="nil"/>
                    <w:tr2bl w:val="nil"/>
                  </w:tcBorders>
                  <w:vAlign w:val="center"/>
                </w:tcPr>
                <w:p w14:paraId="1231C62A">
                  <w:pPr>
                    <w:jc w:val="center"/>
                    <w:rPr>
                      <w:rFonts w:hint="default" w:ascii="Times New Roman" w:hAnsi="Times New Roman" w:eastAsia="宋体" w:cs="Times New Roman"/>
                      <w:color w:val="auto"/>
                      <w:sz w:val="20"/>
                      <w:lang w:val="en-US" w:eastAsia="zh-CN"/>
                    </w:rPr>
                  </w:pPr>
                  <w:r>
                    <w:rPr>
                      <w:rFonts w:hint="default" w:ascii="Times New Roman" w:hAnsi="Times New Roman" w:eastAsia="宋体" w:cs="Times New Roman"/>
                      <w:color w:val="auto"/>
                      <w:sz w:val="20"/>
                      <w:lang w:val="en-US" w:eastAsia="zh-CN"/>
                    </w:rPr>
                    <w:t>8</w:t>
                  </w:r>
                  <w:r>
                    <w:rPr>
                      <w:rFonts w:hint="default" w:ascii="Times New Roman" w:hAnsi="Times New Roman" w:cs="Times New Roman"/>
                      <w:color w:val="auto"/>
                      <w:sz w:val="20"/>
                      <w:lang w:val="en-US" w:eastAsia="zh-CN"/>
                    </w:rPr>
                    <w:t>5</w:t>
                  </w:r>
                </w:p>
              </w:tc>
              <w:tc>
                <w:tcPr>
                  <w:tcW w:w="2636" w:type="dxa"/>
                  <w:tcBorders>
                    <w:tl2br w:val="nil"/>
                    <w:tr2bl w:val="nil"/>
                  </w:tcBorders>
                  <w:vAlign w:val="center"/>
                </w:tcPr>
                <w:p w14:paraId="4606EF0E">
                  <w:pPr>
                    <w:keepNext w:val="0"/>
                    <w:keepLines w:val="0"/>
                    <w:suppressLineNumbers w:val="0"/>
                    <w:spacing w:before="0" w:beforeAutospacing="0" w:after="0" w:afterAutospacing="0" w:line="240" w:lineRule="auto"/>
                    <w:ind w:right="0"/>
                    <w:jc w:val="center"/>
                    <w:outlineLvl w:val="0"/>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隔声罩，削减20dB（A）</w:t>
                  </w:r>
                </w:p>
              </w:tc>
              <w:tc>
                <w:tcPr>
                  <w:tcW w:w="1145" w:type="dxa"/>
                  <w:tcBorders>
                    <w:tl2br w:val="nil"/>
                    <w:tr2bl w:val="nil"/>
                  </w:tcBorders>
                  <w:vAlign w:val="center"/>
                </w:tcPr>
                <w:p w14:paraId="52EB298B">
                  <w:pPr>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72</w:t>
                  </w:r>
                  <w:r>
                    <w:rPr>
                      <w:rFonts w:hint="eastAsia" w:ascii="Times New Roman" w:hAnsi="Times New Roman" w:cs="Times New Roman"/>
                      <w:color w:val="auto"/>
                      <w:sz w:val="21"/>
                      <w:szCs w:val="21"/>
                      <w:lang w:val="en-US" w:eastAsia="zh-CN"/>
                    </w:rPr>
                    <w:t>00</w:t>
                  </w:r>
                  <w:r>
                    <w:rPr>
                      <w:rFonts w:hint="eastAsia" w:ascii="Times New Roman" w:hAnsi="Times New Roman" w:eastAsia="宋体" w:cs="Times New Roman"/>
                      <w:color w:val="auto"/>
                      <w:sz w:val="21"/>
                      <w:szCs w:val="21"/>
                      <w:lang w:val="en-US" w:eastAsia="zh-CN"/>
                    </w:rPr>
                    <w:t>h</w:t>
                  </w:r>
                </w:p>
              </w:tc>
            </w:tr>
            <w:tr w14:paraId="623FED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tcBorders>
                    <w:tl2br w:val="nil"/>
                    <w:tr2bl w:val="nil"/>
                  </w:tcBorders>
                  <w:vAlign w:val="center"/>
                </w:tcPr>
                <w:p w14:paraId="61246F7F">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3</w:t>
                  </w:r>
                </w:p>
              </w:tc>
              <w:tc>
                <w:tcPr>
                  <w:tcW w:w="1154" w:type="dxa"/>
                  <w:tcBorders>
                    <w:tl2br w:val="nil"/>
                    <w:tr2bl w:val="nil"/>
                  </w:tcBorders>
                  <w:vAlign w:val="center"/>
                </w:tcPr>
                <w:p w14:paraId="5C0BC413">
                  <w:pPr>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eastAsia" w:cs="Times New Roman"/>
                      <w:b w:val="0"/>
                      <w:bCs/>
                      <w:color w:val="auto"/>
                      <w:sz w:val="21"/>
                      <w:szCs w:val="21"/>
                      <w:vertAlign w:val="baseline"/>
                      <w:lang w:val="en-US" w:eastAsia="zh-CN"/>
                    </w:rPr>
                    <w:t>空压机2</w:t>
                  </w:r>
                </w:p>
              </w:tc>
              <w:tc>
                <w:tcPr>
                  <w:tcW w:w="882" w:type="dxa"/>
                  <w:tcBorders>
                    <w:tl2br w:val="nil"/>
                    <w:tr2bl w:val="nil"/>
                  </w:tcBorders>
                  <w:vAlign w:val="center"/>
                </w:tcPr>
                <w:p w14:paraId="36555D14">
                  <w:pPr>
                    <w:jc w:val="center"/>
                    <w:rPr>
                      <w:rFonts w:hint="default" w:ascii="Times New Roman" w:hAnsi="Times New Roman" w:eastAsia="宋体" w:cs="Times New Roman"/>
                      <w:color w:val="auto"/>
                      <w:sz w:val="20"/>
                      <w:lang w:val="en-US" w:eastAsia="zh-CN"/>
                    </w:rPr>
                  </w:pPr>
                  <w:r>
                    <w:rPr>
                      <w:rFonts w:hint="default" w:ascii="Times New Roman" w:hAnsi="Times New Roman" w:cs="Times New Roman"/>
                      <w:color w:val="auto"/>
                      <w:sz w:val="20"/>
                      <w:lang w:val="en-US" w:eastAsia="zh-CN"/>
                    </w:rPr>
                    <w:t>-25.8</w:t>
                  </w:r>
                </w:p>
              </w:tc>
              <w:tc>
                <w:tcPr>
                  <w:tcW w:w="982" w:type="dxa"/>
                  <w:tcBorders>
                    <w:tl2br w:val="nil"/>
                    <w:tr2bl w:val="nil"/>
                  </w:tcBorders>
                  <w:vAlign w:val="center"/>
                </w:tcPr>
                <w:p w14:paraId="43B24485">
                  <w:pPr>
                    <w:jc w:val="center"/>
                    <w:rPr>
                      <w:rFonts w:hint="default" w:ascii="Times New Roman" w:hAnsi="Times New Roman" w:eastAsia="宋体" w:cs="Times New Roman"/>
                      <w:color w:val="auto"/>
                      <w:sz w:val="20"/>
                      <w:lang w:val="en-US" w:eastAsia="zh-CN"/>
                    </w:rPr>
                  </w:pPr>
                  <w:r>
                    <w:rPr>
                      <w:rFonts w:hint="default" w:ascii="Times New Roman" w:hAnsi="Times New Roman" w:cs="Times New Roman"/>
                      <w:color w:val="auto"/>
                      <w:sz w:val="20"/>
                      <w:lang w:val="en-US" w:eastAsia="zh-CN"/>
                    </w:rPr>
                    <w:t>26.3</w:t>
                  </w:r>
                </w:p>
              </w:tc>
              <w:tc>
                <w:tcPr>
                  <w:tcW w:w="909" w:type="dxa"/>
                  <w:tcBorders>
                    <w:tl2br w:val="nil"/>
                    <w:tr2bl w:val="nil"/>
                  </w:tcBorders>
                  <w:vAlign w:val="center"/>
                </w:tcPr>
                <w:p w14:paraId="3CA0E1BE">
                  <w:pPr>
                    <w:jc w:val="center"/>
                    <w:rPr>
                      <w:rFonts w:hint="default" w:ascii="Times New Roman" w:hAnsi="Times New Roman" w:eastAsia="宋体" w:cs="Times New Roman"/>
                      <w:color w:val="auto"/>
                      <w:sz w:val="20"/>
                      <w:lang w:val="en-US" w:eastAsia="zh-CN"/>
                    </w:rPr>
                  </w:pPr>
                  <w:r>
                    <w:rPr>
                      <w:rFonts w:hint="default" w:ascii="Times New Roman" w:hAnsi="Times New Roman" w:eastAsia="宋体" w:cs="Times New Roman"/>
                      <w:color w:val="auto"/>
                      <w:sz w:val="20"/>
                      <w:lang w:val="en-US" w:eastAsia="zh-CN"/>
                    </w:rPr>
                    <w:t>1.2</w:t>
                  </w:r>
                </w:p>
              </w:tc>
              <w:tc>
                <w:tcPr>
                  <w:tcW w:w="3882" w:type="dxa"/>
                  <w:tcBorders>
                    <w:tl2br w:val="nil"/>
                    <w:tr2bl w:val="nil"/>
                  </w:tcBorders>
                  <w:vAlign w:val="center"/>
                </w:tcPr>
                <w:p w14:paraId="19A99E28">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cs="Times New Roman"/>
                      <w:b w:val="0"/>
                      <w:bCs/>
                      <w:color w:val="auto"/>
                      <w:sz w:val="21"/>
                      <w:szCs w:val="21"/>
                      <w:vertAlign w:val="baseline"/>
                      <w:lang w:val="en-US" w:eastAsia="zh-CN"/>
                    </w:rPr>
                    <w:t xml:space="preserve">/ </w:t>
                  </w:r>
                </w:p>
              </w:tc>
              <w:tc>
                <w:tcPr>
                  <w:tcW w:w="2236" w:type="dxa"/>
                  <w:tcBorders>
                    <w:tl2br w:val="nil"/>
                    <w:tr2bl w:val="nil"/>
                  </w:tcBorders>
                  <w:vAlign w:val="center"/>
                </w:tcPr>
                <w:p w14:paraId="53433310">
                  <w:pPr>
                    <w:jc w:val="center"/>
                    <w:rPr>
                      <w:rFonts w:hint="default" w:ascii="Times New Roman" w:hAnsi="Times New Roman" w:eastAsia="宋体" w:cs="Times New Roman"/>
                      <w:color w:val="auto"/>
                      <w:sz w:val="20"/>
                      <w:lang w:val="en-US" w:eastAsia="zh-CN"/>
                    </w:rPr>
                  </w:pPr>
                  <w:r>
                    <w:rPr>
                      <w:rFonts w:hint="default" w:ascii="Times New Roman" w:hAnsi="Times New Roman" w:eastAsia="宋体" w:cs="Times New Roman"/>
                      <w:color w:val="auto"/>
                      <w:sz w:val="20"/>
                      <w:lang w:val="en-US" w:eastAsia="zh-CN"/>
                    </w:rPr>
                    <w:t>8</w:t>
                  </w:r>
                  <w:r>
                    <w:rPr>
                      <w:rFonts w:hint="default" w:ascii="Times New Roman" w:hAnsi="Times New Roman" w:cs="Times New Roman"/>
                      <w:color w:val="auto"/>
                      <w:sz w:val="20"/>
                      <w:lang w:val="en-US" w:eastAsia="zh-CN"/>
                    </w:rPr>
                    <w:t>5</w:t>
                  </w:r>
                </w:p>
              </w:tc>
              <w:tc>
                <w:tcPr>
                  <w:tcW w:w="2636" w:type="dxa"/>
                  <w:tcBorders>
                    <w:tl2br w:val="nil"/>
                    <w:tr2bl w:val="nil"/>
                  </w:tcBorders>
                  <w:vAlign w:val="center"/>
                </w:tcPr>
                <w:p w14:paraId="028E7C1B">
                  <w:pPr>
                    <w:keepNext w:val="0"/>
                    <w:keepLines w:val="0"/>
                    <w:suppressLineNumbers w:val="0"/>
                    <w:spacing w:before="0" w:beforeAutospacing="0" w:after="0" w:afterAutospacing="0" w:line="240" w:lineRule="auto"/>
                    <w:ind w:right="0"/>
                    <w:jc w:val="center"/>
                    <w:outlineLvl w:val="0"/>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隔声罩，削减20dB（A）</w:t>
                  </w:r>
                </w:p>
              </w:tc>
              <w:tc>
                <w:tcPr>
                  <w:tcW w:w="1145" w:type="dxa"/>
                  <w:tcBorders>
                    <w:tl2br w:val="nil"/>
                    <w:tr2bl w:val="nil"/>
                  </w:tcBorders>
                  <w:vAlign w:val="center"/>
                </w:tcPr>
                <w:p w14:paraId="2FC9C7DF">
                  <w:pPr>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72</w:t>
                  </w:r>
                  <w:r>
                    <w:rPr>
                      <w:rFonts w:hint="eastAsia" w:ascii="Times New Roman" w:hAnsi="Times New Roman" w:cs="Times New Roman"/>
                      <w:color w:val="auto"/>
                      <w:sz w:val="21"/>
                      <w:szCs w:val="21"/>
                      <w:lang w:val="en-US" w:eastAsia="zh-CN"/>
                    </w:rPr>
                    <w:t>00</w:t>
                  </w:r>
                  <w:r>
                    <w:rPr>
                      <w:rFonts w:hint="eastAsia" w:ascii="Times New Roman" w:hAnsi="Times New Roman" w:eastAsia="宋体" w:cs="Times New Roman"/>
                      <w:color w:val="auto"/>
                      <w:sz w:val="21"/>
                      <w:szCs w:val="21"/>
                      <w:lang w:val="en-US" w:eastAsia="zh-CN"/>
                    </w:rPr>
                    <w:t>h</w:t>
                  </w:r>
                </w:p>
              </w:tc>
            </w:tr>
            <w:tr w14:paraId="6CDFA5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tcBorders>
                    <w:tl2br w:val="nil"/>
                    <w:tr2bl w:val="nil"/>
                  </w:tcBorders>
                  <w:vAlign w:val="center"/>
                </w:tcPr>
                <w:p w14:paraId="102E6773">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4</w:t>
                  </w:r>
                </w:p>
              </w:tc>
              <w:tc>
                <w:tcPr>
                  <w:tcW w:w="1154" w:type="dxa"/>
                  <w:tcBorders>
                    <w:tl2br w:val="nil"/>
                    <w:tr2bl w:val="nil"/>
                  </w:tcBorders>
                  <w:vAlign w:val="center"/>
                </w:tcPr>
                <w:p w14:paraId="4AD422D2">
                  <w:pPr>
                    <w:keepNext w:val="0"/>
                    <w:keepLines w:val="0"/>
                    <w:suppressLineNumbers w:val="0"/>
                    <w:spacing w:before="0" w:beforeAutospacing="0" w:after="0" w:afterAutospacing="0" w:line="240" w:lineRule="auto"/>
                    <w:ind w:right="0"/>
                    <w:jc w:val="center"/>
                    <w:outlineLvl w:val="0"/>
                    <w:rPr>
                      <w:rFonts w:hint="eastAsia" w:cs="Times New Roman"/>
                      <w:b w:val="0"/>
                      <w:bCs/>
                      <w:color w:val="auto"/>
                      <w:sz w:val="21"/>
                      <w:szCs w:val="21"/>
                      <w:vertAlign w:val="baseline"/>
                      <w:lang w:val="en-US" w:eastAsia="zh-CN"/>
                    </w:rPr>
                  </w:pPr>
                  <w:r>
                    <w:rPr>
                      <w:rFonts w:hint="eastAsia" w:cs="Times New Roman"/>
                      <w:b w:val="0"/>
                      <w:bCs/>
                      <w:color w:val="auto"/>
                      <w:sz w:val="21"/>
                      <w:szCs w:val="21"/>
                      <w:vertAlign w:val="baseline"/>
                      <w:lang w:val="en-US" w:eastAsia="zh-CN"/>
                    </w:rPr>
                    <w:t>空压机3</w:t>
                  </w:r>
                </w:p>
              </w:tc>
              <w:tc>
                <w:tcPr>
                  <w:tcW w:w="882" w:type="dxa"/>
                  <w:tcBorders>
                    <w:tl2br w:val="nil"/>
                    <w:tr2bl w:val="nil"/>
                  </w:tcBorders>
                  <w:vAlign w:val="center"/>
                </w:tcPr>
                <w:p w14:paraId="1604DC24">
                  <w:pPr>
                    <w:jc w:val="center"/>
                    <w:rPr>
                      <w:rFonts w:hint="default" w:ascii="Times New Roman" w:hAnsi="Times New Roman" w:eastAsia="宋体" w:cs="Times New Roman"/>
                      <w:color w:val="auto"/>
                      <w:sz w:val="20"/>
                      <w:lang w:val="en-US" w:eastAsia="zh-CN"/>
                    </w:rPr>
                  </w:pPr>
                  <w:r>
                    <w:rPr>
                      <w:rFonts w:hint="default" w:ascii="Times New Roman" w:hAnsi="Times New Roman" w:cs="Times New Roman"/>
                      <w:color w:val="auto"/>
                      <w:sz w:val="20"/>
                      <w:lang w:val="en-US" w:eastAsia="zh-CN"/>
                    </w:rPr>
                    <w:t>-22.6</w:t>
                  </w:r>
                </w:p>
              </w:tc>
              <w:tc>
                <w:tcPr>
                  <w:tcW w:w="982" w:type="dxa"/>
                  <w:tcBorders>
                    <w:tl2br w:val="nil"/>
                    <w:tr2bl w:val="nil"/>
                  </w:tcBorders>
                  <w:vAlign w:val="center"/>
                </w:tcPr>
                <w:p w14:paraId="4682BCFC">
                  <w:pPr>
                    <w:jc w:val="center"/>
                    <w:rPr>
                      <w:rFonts w:hint="default" w:ascii="Times New Roman" w:hAnsi="Times New Roman" w:eastAsia="宋体" w:cs="Times New Roman"/>
                      <w:color w:val="auto"/>
                      <w:sz w:val="20"/>
                      <w:lang w:val="en-US" w:eastAsia="zh-CN"/>
                    </w:rPr>
                  </w:pPr>
                  <w:r>
                    <w:rPr>
                      <w:rFonts w:hint="default" w:ascii="Times New Roman" w:hAnsi="Times New Roman" w:cs="Times New Roman"/>
                      <w:color w:val="auto"/>
                      <w:sz w:val="20"/>
                      <w:lang w:val="en-US" w:eastAsia="zh-CN"/>
                    </w:rPr>
                    <w:t>26.2</w:t>
                  </w:r>
                </w:p>
              </w:tc>
              <w:tc>
                <w:tcPr>
                  <w:tcW w:w="909" w:type="dxa"/>
                  <w:tcBorders>
                    <w:tl2br w:val="nil"/>
                    <w:tr2bl w:val="nil"/>
                  </w:tcBorders>
                  <w:vAlign w:val="center"/>
                </w:tcPr>
                <w:p w14:paraId="48747DDF">
                  <w:pPr>
                    <w:jc w:val="center"/>
                    <w:rPr>
                      <w:rFonts w:hint="default" w:ascii="Times New Roman" w:hAnsi="Times New Roman" w:eastAsia="宋体" w:cs="Times New Roman"/>
                      <w:color w:val="auto"/>
                      <w:sz w:val="20"/>
                      <w:lang w:val="en-US" w:eastAsia="zh-CN"/>
                    </w:rPr>
                  </w:pPr>
                  <w:r>
                    <w:rPr>
                      <w:rFonts w:hint="default" w:ascii="Times New Roman" w:hAnsi="Times New Roman" w:cs="Times New Roman"/>
                      <w:color w:val="auto"/>
                      <w:sz w:val="20"/>
                      <w:lang w:val="en-US" w:eastAsia="zh-CN"/>
                    </w:rPr>
                    <w:t>1.2</w:t>
                  </w:r>
                </w:p>
              </w:tc>
              <w:tc>
                <w:tcPr>
                  <w:tcW w:w="3882" w:type="dxa"/>
                  <w:tcBorders>
                    <w:tl2br w:val="nil"/>
                    <w:tr2bl w:val="nil"/>
                  </w:tcBorders>
                  <w:vAlign w:val="center"/>
                </w:tcPr>
                <w:p w14:paraId="195EAFCC">
                  <w:pPr>
                    <w:pStyle w:val="20"/>
                    <w:keepNext w:val="0"/>
                    <w:keepLines w:val="0"/>
                    <w:suppressLineNumbers w:val="0"/>
                    <w:spacing w:before="0" w:beforeAutospacing="0" w:after="0" w:afterAutospacing="0" w:line="240" w:lineRule="auto"/>
                    <w:ind w:right="0"/>
                    <w:jc w:val="center"/>
                    <w:outlineLvl w:val="0"/>
                    <w:rPr>
                      <w:rFonts w:hint="default" w:ascii="Times New Roman" w:hAnsi="Times New Roman" w:cs="Times New Roman"/>
                      <w:b w:val="0"/>
                      <w:bCs/>
                      <w:color w:val="auto"/>
                      <w:sz w:val="21"/>
                      <w:szCs w:val="21"/>
                      <w:vertAlign w:val="baseline"/>
                      <w:lang w:val="en-US" w:eastAsia="zh-CN"/>
                    </w:rPr>
                  </w:pPr>
                  <w:r>
                    <w:rPr>
                      <w:rFonts w:hint="default" w:ascii="Times New Roman" w:hAnsi="Times New Roman" w:cs="Times New Roman"/>
                      <w:b w:val="0"/>
                      <w:bCs/>
                      <w:color w:val="auto"/>
                      <w:sz w:val="21"/>
                      <w:szCs w:val="21"/>
                      <w:vertAlign w:val="baseline"/>
                      <w:lang w:val="en-US" w:eastAsia="zh-CN"/>
                    </w:rPr>
                    <w:t>/</w:t>
                  </w:r>
                </w:p>
              </w:tc>
              <w:tc>
                <w:tcPr>
                  <w:tcW w:w="2236" w:type="dxa"/>
                  <w:tcBorders>
                    <w:tl2br w:val="nil"/>
                    <w:tr2bl w:val="nil"/>
                  </w:tcBorders>
                  <w:vAlign w:val="center"/>
                </w:tcPr>
                <w:p w14:paraId="3F95C86E">
                  <w:pPr>
                    <w:jc w:val="center"/>
                    <w:rPr>
                      <w:rFonts w:hint="default" w:ascii="Times New Roman" w:hAnsi="Times New Roman" w:eastAsia="宋体" w:cs="Times New Roman"/>
                      <w:color w:val="auto"/>
                      <w:sz w:val="20"/>
                      <w:lang w:val="en-US" w:eastAsia="zh-CN"/>
                    </w:rPr>
                  </w:pPr>
                  <w:r>
                    <w:rPr>
                      <w:rFonts w:hint="default" w:ascii="Times New Roman" w:hAnsi="Times New Roman" w:cs="Times New Roman"/>
                      <w:color w:val="auto"/>
                      <w:sz w:val="20"/>
                      <w:lang w:val="en-US" w:eastAsia="zh-CN"/>
                    </w:rPr>
                    <w:t>85</w:t>
                  </w:r>
                </w:p>
              </w:tc>
              <w:tc>
                <w:tcPr>
                  <w:tcW w:w="2636" w:type="dxa"/>
                  <w:tcBorders>
                    <w:tl2br w:val="nil"/>
                    <w:tr2bl w:val="nil"/>
                  </w:tcBorders>
                  <w:vAlign w:val="center"/>
                </w:tcPr>
                <w:p w14:paraId="58E48F98">
                  <w:pPr>
                    <w:keepNext w:val="0"/>
                    <w:keepLines w:val="0"/>
                    <w:suppressLineNumbers w:val="0"/>
                    <w:spacing w:before="0" w:beforeAutospacing="0" w:after="0" w:afterAutospacing="0" w:line="240" w:lineRule="auto"/>
                    <w:ind w:right="0"/>
                    <w:jc w:val="center"/>
                    <w:outlineLvl w:val="0"/>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隔声罩，削减20dB（A）</w:t>
                  </w:r>
                </w:p>
              </w:tc>
              <w:tc>
                <w:tcPr>
                  <w:tcW w:w="1145" w:type="dxa"/>
                  <w:tcBorders>
                    <w:tl2br w:val="nil"/>
                    <w:tr2bl w:val="nil"/>
                  </w:tcBorders>
                  <w:vAlign w:val="center"/>
                </w:tcPr>
                <w:p w14:paraId="55E2407A">
                  <w:pPr>
                    <w:keepNext w:val="0"/>
                    <w:keepLines w:val="0"/>
                    <w:suppressLineNumbers w:val="0"/>
                    <w:spacing w:before="0" w:beforeAutospacing="0" w:after="0" w:afterAutospacing="0" w:line="240" w:lineRule="auto"/>
                    <w:ind w:right="0" w:rightChars="0"/>
                    <w:jc w:val="center"/>
                    <w:outlineLvl w:val="0"/>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72</w:t>
                  </w:r>
                  <w:r>
                    <w:rPr>
                      <w:rFonts w:hint="eastAsia" w:ascii="Times New Roman" w:hAnsi="Times New Roman" w:cs="Times New Roman"/>
                      <w:color w:val="auto"/>
                      <w:sz w:val="21"/>
                      <w:szCs w:val="21"/>
                      <w:lang w:val="en-US" w:eastAsia="zh-CN"/>
                    </w:rPr>
                    <w:t>00</w:t>
                  </w:r>
                  <w:r>
                    <w:rPr>
                      <w:rFonts w:hint="eastAsia" w:ascii="Times New Roman" w:hAnsi="Times New Roman" w:eastAsia="宋体" w:cs="Times New Roman"/>
                      <w:color w:val="auto"/>
                      <w:sz w:val="21"/>
                      <w:szCs w:val="21"/>
                      <w:lang w:val="en-US" w:eastAsia="zh-CN"/>
                    </w:rPr>
                    <w:t>h</w:t>
                  </w:r>
                </w:p>
              </w:tc>
            </w:tr>
          </w:tbl>
          <w:p w14:paraId="2345591C">
            <w:pPr>
              <w:pStyle w:val="20"/>
              <w:keepNext w:val="0"/>
              <w:keepLines w:val="0"/>
              <w:suppressLineNumbers w:val="0"/>
              <w:spacing w:before="0" w:beforeAutospacing="0" w:after="0" w:afterAutospacing="0" w:line="240" w:lineRule="auto"/>
              <w:ind w:left="0" w:right="0"/>
              <w:jc w:val="center"/>
              <w:outlineLvl w:val="0"/>
              <w:rPr>
                <w:rFonts w:hint="default"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表</w:t>
            </w:r>
            <w:r>
              <w:rPr>
                <w:rFonts w:hint="default" w:ascii="Times New Roman" w:hAnsi="Times New Roman" w:eastAsia="宋体"/>
                <w:b/>
                <w:bCs/>
                <w:color w:val="auto"/>
                <w:sz w:val="21"/>
                <w:szCs w:val="21"/>
              </w:rPr>
              <w:t>4-</w:t>
            </w:r>
            <w:r>
              <w:rPr>
                <w:rFonts w:hint="eastAsia" w:ascii="Times New Roman" w:hAnsi="Times New Roman" w:eastAsia="宋体"/>
                <w:b/>
                <w:bCs/>
                <w:color w:val="auto"/>
                <w:sz w:val="21"/>
                <w:szCs w:val="21"/>
                <w:lang w:val="en-US" w:eastAsia="zh-CN"/>
              </w:rPr>
              <w:t>1</w:t>
            </w:r>
            <w:r>
              <w:rPr>
                <w:rFonts w:hint="eastAsia" w:ascii="Times New Roman" w:hAnsi="Times New Roman"/>
                <w:b/>
                <w:bCs/>
                <w:color w:val="auto"/>
                <w:sz w:val="21"/>
                <w:szCs w:val="21"/>
                <w:lang w:val="en-US" w:eastAsia="zh-CN"/>
              </w:rPr>
              <w:t xml:space="preserve">7  </w:t>
            </w:r>
            <w:r>
              <w:rPr>
                <w:rFonts w:hint="eastAsia" w:ascii="Times New Roman" w:hAnsi="Times New Roman" w:eastAsia="宋体"/>
                <w:b/>
                <w:bCs/>
                <w:color w:val="auto"/>
                <w:sz w:val="21"/>
                <w:szCs w:val="21"/>
                <w:lang w:val="en-US" w:eastAsia="zh-CN"/>
              </w:rPr>
              <w:t>本项目主要噪声源源强调查清单（室内声源位dB（A））</w:t>
            </w:r>
          </w:p>
          <w:tbl>
            <w:tblPr>
              <w:tblStyle w:val="22"/>
              <w:tblW w:w="498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4"/>
              <w:gridCol w:w="660"/>
              <w:gridCol w:w="1320"/>
              <w:gridCol w:w="644"/>
              <w:gridCol w:w="1486"/>
              <w:gridCol w:w="855"/>
              <w:gridCol w:w="675"/>
              <w:gridCol w:w="705"/>
              <w:gridCol w:w="630"/>
              <w:gridCol w:w="1260"/>
              <w:gridCol w:w="1590"/>
              <w:gridCol w:w="802"/>
              <w:gridCol w:w="1215"/>
              <w:gridCol w:w="1410"/>
              <w:gridCol w:w="875"/>
            </w:tblGrid>
            <w:tr w14:paraId="2123D2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vMerge w:val="restart"/>
                  <w:tcBorders>
                    <w:tl2br w:val="nil"/>
                    <w:tr2bl w:val="nil"/>
                  </w:tcBorders>
                  <w:noWrap w:val="0"/>
                  <w:vAlign w:val="center"/>
                </w:tcPr>
                <w:p w14:paraId="1C65783F">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序号</w:t>
                  </w:r>
                </w:p>
              </w:tc>
              <w:tc>
                <w:tcPr>
                  <w:tcW w:w="228" w:type="pct"/>
                  <w:vMerge w:val="restart"/>
                  <w:tcBorders>
                    <w:tl2br w:val="nil"/>
                    <w:tr2bl w:val="nil"/>
                  </w:tcBorders>
                  <w:noWrap w:val="0"/>
                  <w:vAlign w:val="center"/>
                </w:tcPr>
                <w:p w14:paraId="6CAE6BD4">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eastAsia" w:ascii="Times New Roman" w:hAnsi="Times New Roman" w:eastAsia="宋体"/>
                      <w:b w:val="0"/>
                      <w:bCs/>
                      <w:color w:val="auto"/>
                      <w:sz w:val="21"/>
                      <w:szCs w:val="21"/>
                      <w:lang w:val="en-US" w:eastAsia="zh-CN"/>
                    </w:rPr>
                    <w:t>建筑物</w:t>
                  </w:r>
                  <w:r>
                    <w:rPr>
                      <w:rFonts w:hint="default" w:ascii="Times New Roman" w:hAnsi="Times New Roman" w:eastAsia="宋体"/>
                      <w:b w:val="0"/>
                      <w:bCs/>
                      <w:color w:val="auto"/>
                      <w:sz w:val="21"/>
                      <w:szCs w:val="21"/>
                    </w:rPr>
                    <w:t>名称</w:t>
                  </w:r>
                </w:p>
              </w:tc>
              <w:tc>
                <w:tcPr>
                  <w:tcW w:w="456" w:type="pct"/>
                  <w:vMerge w:val="restart"/>
                  <w:tcBorders>
                    <w:tl2br w:val="nil"/>
                    <w:tr2bl w:val="nil"/>
                  </w:tcBorders>
                  <w:noWrap w:val="0"/>
                  <w:vAlign w:val="center"/>
                </w:tcPr>
                <w:p w14:paraId="448CC525">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lang w:val="en-US" w:eastAsia="zh-CN"/>
                    </w:rPr>
                  </w:pPr>
                  <w:r>
                    <w:rPr>
                      <w:rFonts w:hint="eastAsia" w:ascii="Times New Roman" w:hAnsi="Times New Roman" w:eastAsia="宋体"/>
                      <w:b w:val="0"/>
                      <w:bCs/>
                      <w:color w:val="auto"/>
                      <w:sz w:val="21"/>
                      <w:szCs w:val="21"/>
                      <w:lang w:val="en-US" w:eastAsia="zh-CN"/>
                    </w:rPr>
                    <w:t>声源名称</w:t>
                  </w:r>
                </w:p>
              </w:tc>
              <w:tc>
                <w:tcPr>
                  <w:tcW w:w="222" w:type="pct"/>
                  <w:vMerge w:val="restart"/>
                  <w:tcBorders>
                    <w:tl2br w:val="nil"/>
                    <w:tr2bl w:val="nil"/>
                  </w:tcBorders>
                  <w:noWrap w:val="0"/>
                  <w:vAlign w:val="center"/>
                </w:tcPr>
                <w:p w14:paraId="617798A0">
                  <w:pPr>
                    <w:keepNext w:val="0"/>
                    <w:keepLines w:val="0"/>
                    <w:suppressLineNumbers w:val="0"/>
                    <w:spacing w:before="0" w:beforeAutospacing="0" w:after="0" w:afterAutospacing="0"/>
                    <w:ind w:left="0" w:leftChars="0" w:right="0" w:rightChars="0"/>
                    <w:jc w:val="center"/>
                    <w:rPr>
                      <w:rFonts w:hint="default" w:ascii="Times New Roman" w:hAnsi="Times New Roman" w:eastAsia="宋体"/>
                      <w:b w:val="0"/>
                      <w:bCs/>
                      <w:color w:val="auto"/>
                      <w:kern w:val="2"/>
                      <w:sz w:val="21"/>
                      <w:szCs w:val="21"/>
                      <w:lang w:val="en-US" w:eastAsia="zh-CN" w:bidi="ar-SA"/>
                    </w:rPr>
                  </w:pPr>
                  <w:r>
                    <w:rPr>
                      <w:rFonts w:hint="eastAsia" w:ascii="Times New Roman" w:hAnsi="Times New Roman" w:eastAsia="宋体"/>
                      <w:b w:val="0"/>
                      <w:bCs/>
                      <w:color w:val="auto"/>
                      <w:sz w:val="21"/>
                      <w:szCs w:val="21"/>
                      <w:lang w:val="en-US" w:eastAsia="zh-CN"/>
                    </w:rPr>
                    <w:t>数量（台/套）</w:t>
                  </w:r>
                </w:p>
              </w:tc>
              <w:tc>
                <w:tcPr>
                  <w:tcW w:w="513" w:type="pct"/>
                  <w:vMerge w:val="restart"/>
                  <w:tcBorders>
                    <w:tl2br w:val="nil"/>
                    <w:tr2bl w:val="nil"/>
                  </w:tcBorders>
                  <w:noWrap w:val="0"/>
                  <w:vAlign w:val="center"/>
                </w:tcPr>
                <w:p w14:paraId="20871D44">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eastAsia" w:ascii="Times New Roman" w:hAnsi="Times New Roman" w:eastAsia="宋体"/>
                      <w:b w:val="0"/>
                      <w:bCs/>
                      <w:color w:val="auto"/>
                      <w:sz w:val="21"/>
                      <w:szCs w:val="21"/>
                      <w:lang w:val="en-US" w:eastAsia="zh-CN"/>
                    </w:rPr>
                    <w:t>单台</w:t>
                  </w:r>
                  <w:r>
                    <w:rPr>
                      <w:rFonts w:hint="default" w:ascii="Times New Roman" w:hAnsi="Times New Roman" w:eastAsia="宋体"/>
                      <w:b w:val="0"/>
                      <w:bCs/>
                      <w:color w:val="auto"/>
                      <w:sz w:val="21"/>
                      <w:szCs w:val="21"/>
                    </w:rPr>
                    <w:t>声源源强</w:t>
                  </w:r>
                </w:p>
                <w:p w14:paraId="00F6BB30">
                  <w:pPr>
                    <w:keepNext w:val="0"/>
                    <w:keepLines w:val="0"/>
                    <w:suppressLineNumbers w:val="0"/>
                    <w:autoSpaceDE w:val="0"/>
                    <w:autoSpaceDN w:val="0"/>
                    <w:spacing w:before="0" w:beforeAutospacing="0" w:after="0" w:afterAutospacing="0"/>
                    <w:ind w:left="0" w:right="0"/>
                    <w:jc w:val="center"/>
                    <w:rPr>
                      <w:rFonts w:hint="eastAsia"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b w:val="0"/>
                      <w:bCs/>
                      <w:color w:val="auto"/>
                      <w:sz w:val="21"/>
                      <w:szCs w:val="21"/>
                    </w:rPr>
                    <w:t>（声压级/距声源距离）/（dB</w:t>
                  </w:r>
                  <w:r>
                    <w:rPr>
                      <w:rFonts w:hint="eastAsia" w:ascii="Times New Roman" w:hAnsi="Times New Roman"/>
                      <w:b w:val="0"/>
                      <w:bCs/>
                      <w:color w:val="auto"/>
                      <w:sz w:val="21"/>
                      <w:szCs w:val="21"/>
                      <w:lang w:eastAsia="zh-CN"/>
                    </w:rPr>
                    <w:t>（</w:t>
                  </w:r>
                  <w:r>
                    <w:rPr>
                      <w:rFonts w:hint="default" w:ascii="Times New Roman" w:hAnsi="Times New Roman" w:eastAsia="宋体"/>
                      <w:b w:val="0"/>
                      <w:bCs/>
                      <w:color w:val="auto"/>
                      <w:sz w:val="21"/>
                      <w:szCs w:val="21"/>
                    </w:rPr>
                    <w:t>A</w:t>
                  </w:r>
                  <w:r>
                    <w:rPr>
                      <w:rFonts w:hint="eastAsia" w:ascii="Times New Roman" w:hAnsi="Times New Roman"/>
                      <w:b w:val="0"/>
                      <w:bCs/>
                      <w:color w:val="auto"/>
                      <w:sz w:val="21"/>
                      <w:szCs w:val="21"/>
                      <w:lang w:eastAsia="zh-CN"/>
                    </w:rPr>
                    <w:t>）</w:t>
                  </w:r>
                  <w:r>
                    <w:rPr>
                      <w:rFonts w:hint="default" w:ascii="Times New Roman" w:hAnsi="Times New Roman" w:eastAsia="宋体"/>
                      <w:b w:val="0"/>
                      <w:bCs/>
                      <w:color w:val="auto"/>
                      <w:sz w:val="21"/>
                      <w:szCs w:val="21"/>
                    </w:rPr>
                    <w:t>/1m）</w:t>
                  </w:r>
                </w:p>
              </w:tc>
              <w:tc>
                <w:tcPr>
                  <w:tcW w:w="295" w:type="pct"/>
                  <w:vMerge w:val="restart"/>
                  <w:tcBorders>
                    <w:tl2br w:val="nil"/>
                    <w:tr2bl w:val="nil"/>
                  </w:tcBorders>
                  <w:noWrap w:val="0"/>
                  <w:vAlign w:val="center"/>
                </w:tcPr>
                <w:p w14:paraId="4AE456D1">
                  <w:pPr>
                    <w:keepNext w:val="0"/>
                    <w:keepLines w:val="0"/>
                    <w:suppressLineNumbers w:val="0"/>
                    <w:spacing w:before="0" w:beforeAutospacing="0" w:after="0" w:afterAutospacing="0"/>
                    <w:ind w:left="0" w:leftChars="0" w:right="0" w:rightChars="0"/>
                    <w:jc w:val="center"/>
                    <w:rPr>
                      <w:rFonts w:hint="default" w:ascii="Times New Roman" w:hAnsi="Times New Roman" w:eastAsia="宋体"/>
                      <w:b w:val="0"/>
                      <w:bCs/>
                      <w:color w:val="auto"/>
                      <w:kern w:val="2"/>
                      <w:sz w:val="21"/>
                      <w:szCs w:val="21"/>
                      <w:lang w:val="en-US" w:eastAsia="zh-CN" w:bidi="ar-SA"/>
                    </w:rPr>
                  </w:pPr>
                  <w:r>
                    <w:rPr>
                      <w:rFonts w:hint="default" w:ascii="Times New Roman" w:hAnsi="Times New Roman" w:eastAsia="宋体"/>
                      <w:b w:val="0"/>
                      <w:bCs/>
                      <w:color w:val="auto"/>
                      <w:sz w:val="21"/>
                      <w:szCs w:val="21"/>
                    </w:rPr>
                    <w:t>声源控制措施</w:t>
                  </w:r>
                </w:p>
                <w:p w14:paraId="53902FE1">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p>
              </w:tc>
              <w:tc>
                <w:tcPr>
                  <w:tcW w:w="694" w:type="pct"/>
                  <w:gridSpan w:val="3"/>
                  <w:tcBorders>
                    <w:tl2br w:val="nil"/>
                    <w:tr2bl w:val="nil"/>
                  </w:tcBorders>
                  <w:noWrap w:val="0"/>
                  <w:vAlign w:val="center"/>
                </w:tcPr>
                <w:p w14:paraId="029C2689">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空间相对位置/m</w:t>
                  </w:r>
                </w:p>
              </w:tc>
              <w:tc>
                <w:tcPr>
                  <w:tcW w:w="435" w:type="pct"/>
                  <w:vMerge w:val="restart"/>
                  <w:tcBorders>
                    <w:tl2br w:val="nil"/>
                    <w:tr2bl w:val="nil"/>
                  </w:tcBorders>
                  <w:noWrap w:val="0"/>
                  <w:vAlign w:val="center"/>
                </w:tcPr>
                <w:p w14:paraId="4868BC71">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b w:val="0"/>
                      <w:bCs/>
                      <w:color w:val="auto"/>
                      <w:sz w:val="21"/>
                      <w:szCs w:val="21"/>
                    </w:rPr>
                  </w:pPr>
                  <w:r>
                    <w:rPr>
                      <w:rFonts w:hint="eastAsia" w:ascii="Times New Roman" w:hAnsi="Times New Roman" w:eastAsia="宋体"/>
                      <w:b w:val="0"/>
                      <w:color w:val="auto"/>
                      <w:sz w:val="21"/>
                      <w:szCs w:val="21"/>
                      <w:vertAlign w:val="baseline"/>
                      <w:lang w:val="en-US" w:eastAsia="zh-CN"/>
                    </w:rPr>
                    <w:t>距室内边界距离/m</w:t>
                  </w:r>
                </w:p>
              </w:tc>
              <w:tc>
                <w:tcPr>
                  <w:tcW w:w="549" w:type="pct"/>
                  <w:vMerge w:val="restart"/>
                  <w:tcBorders>
                    <w:tl2br w:val="nil"/>
                    <w:tr2bl w:val="nil"/>
                  </w:tcBorders>
                  <w:noWrap w:val="0"/>
                  <w:vAlign w:val="center"/>
                </w:tcPr>
                <w:p w14:paraId="58CD41E3">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声</w:t>
                  </w:r>
                  <w:r>
                    <w:rPr>
                      <w:rFonts w:hint="eastAsia"/>
                      <w:b w:val="0"/>
                      <w:bCs/>
                      <w:color w:val="auto"/>
                      <w:sz w:val="21"/>
                      <w:szCs w:val="21"/>
                      <w:lang w:eastAsia="zh-CN"/>
                    </w:rPr>
                    <w:t>源</w:t>
                  </w:r>
                  <w:r>
                    <w:rPr>
                      <w:rFonts w:hint="default" w:ascii="Times New Roman" w:hAnsi="Times New Roman" w:eastAsia="宋体"/>
                      <w:b w:val="0"/>
                      <w:bCs/>
                      <w:color w:val="auto"/>
                      <w:sz w:val="21"/>
                      <w:szCs w:val="21"/>
                    </w:rPr>
                    <w:t>强</w:t>
                  </w:r>
                </w:p>
                <w:p w14:paraId="5D1DC787">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（声压级/距声源距离）/（dB</w:t>
                  </w:r>
                  <w:r>
                    <w:rPr>
                      <w:rFonts w:hint="eastAsia" w:ascii="Times New Roman" w:hAnsi="Times New Roman"/>
                      <w:b w:val="0"/>
                      <w:bCs/>
                      <w:color w:val="auto"/>
                      <w:sz w:val="21"/>
                      <w:szCs w:val="21"/>
                      <w:lang w:eastAsia="zh-CN"/>
                    </w:rPr>
                    <w:t>（</w:t>
                  </w:r>
                  <w:r>
                    <w:rPr>
                      <w:rFonts w:hint="default" w:ascii="Times New Roman" w:hAnsi="Times New Roman" w:eastAsia="宋体"/>
                      <w:b w:val="0"/>
                      <w:bCs/>
                      <w:color w:val="auto"/>
                      <w:sz w:val="21"/>
                      <w:szCs w:val="21"/>
                    </w:rPr>
                    <w:t>A</w:t>
                  </w:r>
                  <w:r>
                    <w:rPr>
                      <w:rFonts w:hint="eastAsia" w:ascii="Times New Roman" w:hAnsi="Times New Roman"/>
                      <w:b w:val="0"/>
                      <w:bCs/>
                      <w:color w:val="auto"/>
                      <w:sz w:val="21"/>
                      <w:szCs w:val="21"/>
                      <w:lang w:eastAsia="zh-CN"/>
                    </w:rPr>
                    <w:t>）</w:t>
                  </w:r>
                  <w:r>
                    <w:rPr>
                      <w:rFonts w:hint="default" w:ascii="Times New Roman" w:hAnsi="Times New Roman" w:eastAsia="宋体"/>
                      <w:b w:val="0"/>
                      <w:bCs/>
                      <w:color w:val="auto"/>
                      <w:sz w:val="21"/>
                      <w:szCs w:val="21"/>
                    </w:rPr>
                    <w:t>/1m）</w:t>
                  </w:r>
                </w:p>
              </w:tc>
              <w:tc>
                <w:tcPr>
                  <w:tcW w:w="277" w:type="pct"/>
                  <w:vMerge w:val="restart"/>
                  <w:tcBorders>
                    <w:tl2br w:val="nil"/>
                    <w:tr2bl w:val="nil"/>
                  </w:tcBorders>
                  <w:noWrap w:val="0"/>
                  <w:vAlign w:val="center"/>
                </w:tcPr>
                <w:p w14:paraId="77EB5A9B">
                  <w:pPr>
                    <w:keepNext w:val="0"/>
                    <w:keepLines w:val="0"/>
                    <w:suppressLineNumbers w:val="0"/>
                    <w:spacing w:before="0" w:beforeAutospacing="0" w:after="0" w:afterAutospacing="0"/>
                    <w:ind w:left="0" w:right="0"/>
                    <w:jc w:val="center"/>
                    <w:rPr>
                      <w:rFonts w:hint="eastAsia" w:ascii="Times New Roman" w:hAnsi="Times New Roman" w:eastAsia="宋体"/>
                      <w:b w:val="0"/>
                      <w:bCs/>
                      <w:color w:val="auto"/>
                      <w:sz w:val="21"/>
                      <w:szCs w:val="21"/>
                      <w:lang w:eastAsia="zh-CN"/>
                    </w:rPr>
                  </w:pPr>
                  <w:r>
                    <w:rPr>
                      <w:rFonts w:hint="eastAsia" w:ascii="Times New Roman" w:hAnsi="Times New Roman" w:eastAsia="宋体"/>
                      <w:b w:val="0"/>
                      <w:bCs/>
                      <w:color w:val="auto"/>
                      <w:sz w:val="21"/>
                      <w:szCs w:val="21"/>
                      <w:lang w:val="en-US" w:eastAsia="zh-CN"/>
                    </w:rPr>
                    <w:t>运行时段</w:t>
                  </w:r>
                </w:p>
              </w:tc>
              <w:tc>
                <w:tcPr>
                  <w:tcW w:w="419" w:type="pct"/>
                  <w:vMerge w:val="restart"/>
                  <w:tcBorders>
                    <w:tl2br w:val="nil"/>
                    <w:tr2bl w:val="nil"/>
                  </w:tcBorders>
                  <w:noWrap w:val="0"/>
                  <w:vAlign w:val="center"/>
                </w:tcPr>
                <w:p w14:paraId="0AFE8110">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lang w:val="en-US" w:eastAsia="zh-CN"/>
                    </w:rPr>
                  </w:pPr>
                  <w:r>
                    <w:rPr>
                      <w:rFonts w:hint="eastAsia" w:ascii="Times New Roman" w:hAnsi="Times New Roman" w:eastAsia="宋体"/>
                      <w:b w:val="0"/>
                      <w:color w:val="auto"/>
                      <w:sz w:val="21"/>
                      <w:szCs w:val="21"/>
                      <w:vertAlign w:val="baseline"/>
                      <w:lang w:val="en-US" w:eastAsia="zh-CN"/>
                    </w:rPr>
                    <w:t>建筑物插入损失/dB（A）</w:t>
                  </w:r>
                </w:p>
              </w:tc>
              <w:tc>
                <w:tcPr>
                  <w:tcW w:w="487" w:type="pct"/>
                  <w:vMerge w:val="restart"/>
                  <w:tcBorders>
                    <w:tl2br w:val="nil"/>
                    <w:tr2bl w:val="nil"/>
                  </w:tcBorders>
                  <w:noWrap w:val="0"/>
                  <w:vAlign w:val="center"/>
                </w:tcPr>
                <w:p w14:paraId="58AD57D9">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eastAsia" w:ascii="Times New Roman" w:hAnsi="Times New Roman" w:eastAsia="宋体"/>
                      <w:b w:val="0"/>
                      <w:bCs/>
                      <w:color w:val="auto"/>
                      <w:sz w:val="21"/>
                      <w:szCs w:val="21"/>
                    </w:rPr>
                    <w:t>削减后</w:t>
                  </w:r>
                  <w:r>
                    <w:rPr>
                      <w:rFonts w:hint="default" w:ascii="Times New Roman" w:hAnsi="Times New Roman" w:eastAsia="宋体"/>
                      <w:b w:val="0"/>
                      <w:bCs/>
                      <w:color w:val="auto"/>
                      <w:sz w:val="21"/>
                      <w:szCs w:val="21"/>
                    </w:rPr>
                    <w:t>声源源强（声压级/距声源距离）/（dB</w:t>
                  </w:r>
                  <w:r>
                    <w:rPr>
                      <w:rFonts w:hint="eastAsia" w:ascii="Times New Roman" w:hAnsi="Times New Roman"/>
                      <w:b w:val="0"/>
                      <w:bCs/>
                      <w:color w:val="auto"/>
                      <w:sz w:val="21"/>
                      <w:szCs w:val="21"/>
                      <w:lang w:eastAsia="zh-CN"/>
                    </w:rPr>
                    <w:t>（</w:t>
                  </w:r>
                  <w:r>
                    <w:rPr>
                      <w:rFonts w:hint="default" w:ascii="Times New Roman" w:hAnsi="Times New Roman" w:eastAsia="宋体"/>
                      <w:b w:val="0"/>
                      <w:bCs/>
                      <w:color w:val="auto"/>
                      <w:sz w:val="21"/>
                      <w:szCs w:val="21"/>
                    </w:rPr>
                    <w:t>A</w:t>
                  </w:r>
                  <w:r>
                    <w:rPr>
                      <w:rFonts w:hint="eastAsia" w:ascii="Times New Roman" w:hAnsi="Times New Roman"/>
                      <w:b w:val="0"/>
                      <w:bCs/>
                      <w:color w:val="auto"/>
                      <w:sz w:val="21"/>
                      <w:szCs w:val="21"/>
                      <w:lang w:eastAsia="zh-CN"/>
                    </w:rPr>
                    <w:t>）</w:t>
                  </w:r>
                  <w:r>
                    <w:rPr>
                      <w:rFonts w:hint="default" w:ascii="Times New Roman" w:hAnsi="Times New Roman" w:eastAsia="宋体"/>
                      <w:b w:val="0"/>
                      <w:bCs/>
                      <w:color w:val="auto"/>
                      <w:sz w:val="21"/>
                      <w:szCs w:val="21"/>
                    </w:rPr>
                    <w:t>/1m）</w:t>
                  </w:r>
                </w:p>
              </w:tc>
              <w:tc>
                <w:tcPr>
                  <w:tcW w:w="302" w:type="pct"/>
                  <w:vMerge w:val="restart"/>
                  <w:tcBorders>
                    <w:tl2br w:val="nil"/>
                    <w:tr2bl w:val="nil"/>
                  </w:tcBorders>
                  <w:noWrap w:val="0"/>
                  <w:vAlign w:val="center"/>
                </w:tcPr>
                <w:p w14:paraId="5C63DAE0">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leftChars="0" w:right="0" w:rightChars="0" w:firstLine="0" w:firstLineChars="0"/>
                    <w:jc w:val="center"/>
                    <w:textAlignment w:val="auto"/>
                    <w:rPr>
                      <w:rFonts w:hint="eastAsia" w:ascii="Times New Roman" w:hAnsi="Times New Roman" w:eastAsia="宋体" w:cs="宋体"/>
                      <w:b w:val="0"/>
                      <w:color w:val="auto"/>
                      <w:kern w:val="2"/>
                      <w:sz w:val="21"/>
                      <w:szCs w:val="21"/>
                      <w:vertAlign w:val="baseline"/>
                      <w:lang w:val="en-US" w:eastAsia="zh-CN" w:bidi="ar-SA"/>
                    </w:rPr>
                  </w:pPr>
                  <w:r>
                    <w:rPr>
                      <w:rFonts w:hint="eastAsia" w:ascii="Times New Roman" w:hAnsi="Times New Roman" w:eastAsia="宋体"/>
                      <w:b w:val="0"/>
                      <w:color w:val="auto"/>
                      <w:sz w:val="21"/>
                      <w:szCs w:val="21"/>
                      <w:vertAlign w:val="baseline"/>
                      <w:lang w:val="en-US" w:eastAsia="zh-CN"/>
                    </w:rPr>
                    <w:t>建筑物外距离/m</w:t>
                  </w:r>
                </w:p>
              </w:tc>
            </w:tr>
            <w:tr w14:paraId="155DD6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vMerge w:val="continue"/>
                  <w:tcBorders>
                    <w:tl2br w:val="nil"/>
                    <w:tr2bl w:val="nil"/>
                  </w:tcBorders>
                  <w:shd w:val="clear" w:color="auto" w:fill="FFFFFF"/>
                  <w:noWrap w:val="0"/>
                  <w:vAlign w:val="center"/>
                </w:tcPr>
                <w:p w14:paraId="29BD5215">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228" w:type="pct"/>
                  <w:vMerge w:val="continue"/>
                  <w:tcBorders>
                    <w:tl2br w:val="nil"/>
                    <w:tr2bl w:val="nil"/>
                  </w:tcBorders>
                  <w:shd w:val="clear" w:color="auto" w:fill="FFFFFF"/>
                  <w:noWrap w:val="0"/>
                  <w:vAlign w:val="center"/>
                </w:tcPr>
                <w:p w14:paraId="343AE92F">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456" w:type="pct"/>
                  <w:vMerge w:val="continue"/>
                  <w:tcBorders>
                    <w:tl2br w:val="nil"/>
                    <w:tr2bl w:val="nil"/>
                  </w:tcBorders>
                  <w:shd w:val="clear" w:color="auto" w:fill="FFFFFF"/>
                  <w:noWrap w:val="0"/>
                  <w:vAlign w:val="center"/>
                </w:tcPr>
                <w:p w14:paraId="6B1FDD6B">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222" w:type="pct"/>
                  <w:vMerge w:val="continue"/>
                  <w:tcBorders>
                    <w:tl2br w:val="nil"/>
                    <w:tr2bl w:val="nil"/>
                  </w:tcBorders>
                  <w:shd w:val="clear" w:color="auto" w:fill="FFFFFF"/>
                  <w:noWrap w:val="0"/>
                  <w:vAlign w:val="center"/>
                </w:tcPr>
                <w:p w14:paraId="23A7135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olor w:val="auto"/>
                      <w:kern w:val="2"/>
                      <w:sz w:val="21"/>
                      <w:szCs w:val="21"/>
                      <w:lang w:val="en-US" w:eastAsia="zh-CN" w:bidi="ar-SA"/>
                    </w:rPr>
                  </w:pPr>
                </w:p>
              </w:tc>
              <w:tc>
                <w:tcPr>
                  <w:tcW w:w="513" w:type="pct"/>
                  <w:vMerge w:val="continue"/>
                  <w:tcBorders>
                    <w:tl2br w:val="nil"/>
                    <w:tr2bl w:val="nil"/>
                  </w:tcBorders>
                  <w:shd w:val="clear" w:color="auto" w:fill="FFFFFF"/>
                  <w:noWrap w:val="0"/>
                  <w:vAlign w:val="center"/>
                </w:tcPr>
                <w:p w14:paraId="6A1C233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lang w:val="en-US" w:eastAsia="zh-CN" w:bidi="ar-SA"/>
                    </w:rPr>
                  </w:pPr>
                </w:p>
              </w:tc>
              <w:tc>
                <w:tcPr>
                  <w:tcW w:w="295" w:type="pct"/>
                  <w:vMerge w:val="continue"/>
                  <w:tcBorders>
                    <w:tl2br w:val="nil"/>
                    <w:tr2bl w:val="nil"/>
                  </w:tcBorders>
                  <w:shd w:val="clear" w:color="auto" w:fill="auto"/>
                  <w:noWrap w:val="0"/>
                  <w:vAlign w:val="center"/>
                </w:tcPr>
                <w:p w14:paraId="340784CA">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p>
              </w:tc>
              <w:tc>
                <w:tcPr>
                  <w:tcW w:w="233" w:type="pct"/>
                  <w:tcBorders>
                    <w:tl2br w:val="nil"/>
                    <w:tr2bl w:val="nil"/>
                  </w:tcBorders>
                  <w:shd w:val="clear" w:color="auto" w:fill="auto"/>
                  <w:noWrap w:val="0"/>
                  <w:vAlign w:val="center"/>
                </w:tcPr>
                <w:p w14:paraId="16080532">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X</w:t>
                  </w:r>
                </w:p>
              </w:tc>
              <w:tc>
                <w:tcPr>
                  <w:tcW w:w="243" w:type="pct"/>
                  <w:tcBorders>
                    <w:tl2br w:val="nil"/>
                    <w:tr2bl w:val="nil"/>
                  </w:tcBorders>
                  <w:shd w:val="clear" w:color="auto" w:fill="auto"/>
                  <w:noWrap w:val="0"/>
                  <w:vAlign w:val="center"/>
                </w:tcPr>
                <w:p w14:paraId="1BC7815E">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Y</w:t>
                  </w:r>
                </w:p>
              </w:tc>
              <w:tc>
                <w:tcPr>
                  <w:tcW w:w="217" w:type="pct"/>
                  <w:tcBorders>
                    <w:tl2br w:val="nil"/>
                    <w:tr2bl w:val="nil"/>
                  </w:tcBorders>
                  <w:shd w:val="clear" w:color="auto" w:fill="auto"/>
                  <w:noWrap w:val="0"/>
                  <w:vAlign w:val="center"/>
                </w:tcPr>
                <w:p w14:paraId="6F3E99A8">
                  <w:pPr>
                    <w:keepNext w:val="0"/>
                    <w:keepLines w:val="0"/>
                    <w:suppressLineNumbers w:val="0"/>
                    <w:spacing w:before="0" w:beforeAutospacing="0" w:after="0" w:afterAutospacing="0"/>
                    <w:ind w:left="0" w:right="0"/>
                    <w:jc w:val="center"/>
                    <w:rPr>
                      <w:rFonts w:hint="eastAsia" w:ascii="Times New Roman" w:hAnsi="Times New Roman" w:eastAsia="宋体"/>
                      <w:b w:val="0"/>
                      <w:bCs/>
                      <w:color w:val="auto"/>
                      <w:sz w:val="21"/>
                      <w:szCs w:val="21"/>
                      <w:lang w:val="en-US" w:eastAsia="zh-CN"/>
                    </w:rPr>
                  </w:pPr>
                  <w:r>
                    <w:rPr>
                      <w:rFonts w:hint="eastAsia" w:ascii="Times New Roman" w:hAnsi="Times New Roman" w:eastAsia="宋体"/>
                      <w:b w:val="0"/>
                      <w:bCs/>
                      <w:color w:val="auto"/>
                      <w:sz w:val="21"/>
                      <w:szCs w:val="21"/>
                      <w:lang w:val="en-US" w:eastAsia="zh-CN"/>
                    </w:rPr>
                    <w:t>Z</w:t>
                  </w:r>
                </w:p>
              </w:tc>
              <w:tc>
                <w:tcPr>
                  <w:tcW w:w="435" w:type="pct"/>
                  <w:vMerge w:val="continue"/>
                  <w:tcBorders>
                    <w:tl2br w:val="nil"/>
                    <w:tr2bl w:val="nil"/>
                  </w:tcBorders>
                  <w:shd w:val="clear" w:color="auto" w:fill="FFFFFF"/>
                  <w:noWrap w:val="0"/>
                  <w:vAlign w:val="center"/>
                </w:tcPr>
                <w:p w14:paraId="62571B65">
                  <w:pPr>
                    <w:keepNext w:val="0"/>
                    <w:keepLines w:val="0"/>
                    <w:suppressLineNumbers w:val="0"/>
                    <w:spacing w:before="0" w:beforeAutospacing="0" w:after="0" w:afterAutospacing="0"/>
                    <w:ind w:left="0" w:right="0"/>
                    <w:jc w:val="center"/>
                    <w:rPr>
                      <w:rFonts w:hint="default" w:ascii="Times New Roman" w:hAnsi="Times New Roman" w:eastAsia="宋体"/>
                      <w:b/>
                      <w:bCs w:val="0"/>
                      <w:color w:val="auto"/>
                      <w:sz w:val="21"/>
                      <w:szCs w:val="21"/>
                    </w:rPr>
                  </w:pPr>
                </w:p>
              </w:tc>
              <w:tc>
                <w:tcPr>
                  <w:tcW w:w="549" w:type="pct"/>
                  <w:vMerge w:val="continue"/>
                  <w:tcBorders>
                    <w:tl2br w:val="nil"/>
                    <w:tr2bl w:val="nil"/>
                  </w:tcBorders>
                  <w:shd w:val="clear" w:color="auto" w:fill="FFFFFF"/>
                  <w:noWrap w:val="0"/>
                  <w:vAlign w:val="center"/>
                </w:tcPr>
                <w:p w14:paraId="2BB7254D">
                  <w:pPr>
                    <w:keepNext w:val="0"/>
                    <w:keepLines w:val="0"/>
                    <w:suppressLineNumbers w:val="0"/>
                    <w:spacing w:before="0" w:beforeAutospacing="0" w:after="0" w:afterAutospacing="0"/>
                    <w:ind w:left="0" w:right="0"/>
                    <w:jc w:val="center"/>
                    <w:rPr>
                      <w:rFonts w:hint="default" w:ascii="Times New Roman" w:hAnsi="Times New Roman" w:eastAsia="宋体"/>
                      <w:b/>
                      <w:bCs w:val="0"/>
                      <w:color w:val="auto"/>
                      <w:sz w:val="21"/>
                      <w:szCs w:val="21"/>
                    </w:rPr>
                  </w:pPr>
                </w:p>
              </w:tc>
              <w:tc>
                <w:tcPr>
                  <w:tcW w:w="277" w:type="pct"/>
                  <w:vMerge w:val="continue"/>
                  <w:tcBorders>
                    <w:tl2br w:val="nil"/>
                    <w:tr2bl w:val="nil"/>
                  </w:tcBorders>
                  <w:shd w:val="clear" w:color="auto" w:fill="FFFFFF"/>
                  <w:noWrap w:val="0"/>
                  <w:vAlign w:val="center"/>
                </w:tcPr>
                <w:p w14:paraId="5E875342">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419" w:type="pct"/>
                  <w:vMerge w:val="continue"/>
                  <w:tcBorders>
                    <w:tl2br w:val="nil"/>
                    <w:tr2bl w:val="nil"/>
                  </w:tcBorders>
                  <w:shd w:val="clear" w:color="auto" w:fill="FFFFFF"/>
                  <w:noWrap w:val="0"/>
                  <w:vAlign w:val="center"/>
                </w:tcPr>
                <w:p w14:paraId="657145AD">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487" w:type="pct"/>
                  <w:vMerge w:val="continue"/>
                  <w:tcBorders>
                    <w:tl2br w:val="nil"/>
                    <w:tr2bl w:val="nil"/>
                  </w:tcBorders>
                  <w:shd w:val="clear" w:color="auto" w:fill="FFFFFF"/>
                  <w:noWrap w:val="0"/>
                  <w:vAlign w:val="center"/>
                </w:tcPr>
                <w:p w14:paraId="53F63262">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302" w:type="pct"/>
                  <w:vMerge w:val="continue"/>
                  <w:tcBorders>
                    <w:tl2br w:val="nil"/>
                    <w:tr2bl w:val="nil"/>
                  </w:tcBorders>
                  <w:shd w:val="clear" w:color="auto" w:fill="FFFFFF"/>
                  <w:noWrap w:val="0"/>
                  <w:vAlign w:val="center"/>
                </w:tcPr>
                <w:p w14:paraId="0AAAD703">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r>
            <w:tr w14:paraId="386106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6A3CFFDE">
                  <w:pPr>
                    <w:pStyle w:val="6"/>
                    <w:keepNext w:val="0"/>
                    <w:keepLines w:val="0"/>
                    <w:pageBreakBefore w:val="0"/>
                    <w:widowControl w:val="0"/>
                    <w:numPr>
                      <w:ilvl w:val="0"/>
                      <w:numId w:val="13"/>
                    </w:numPr>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Times New Roman" w:hAnsi="Times New Roman" w:eastAsia="宋体"/>
                      <w:color w:val="auto"/>
                      <w:sz w:val="21"/>
                      <w:szCs w:val="21"/>
                      <w:lang w:val="en-US" w:eastAsia="zh-CN"/>
                    </w:rPr>
                  </w:pPr>
                </w:p>
              </w:tc>
              <w:tc>
                <w:tcPr>
                  <w:tcW w:w="228" w:type="pct"/>
                  <w:vMerge w:val="restart"/>
                  <w:tcBorders>
                    <w:tl2br w:val="nil"/>
                    <w:tr2bl w:val="nil"/>
                  </w:tcBorders>
                  <w:noWrap w:val="0"/>
                  <w:vAlign w:val="center"/>
                </w:tcPr>
                <w:p w14:paraId="03E0B02C">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eastAsia" w:ascii="Times New Roman" w:hAnsi="Times New Roman" w:eastAsia="宋体" w:cs="Times New Roman"/>
                      <w:color w:val="auto"/>
                      <w:kern w:val="0"/>
                      <w:sz w:val="21"/>
                      <w:szCs w:val="21"/>
                      <w:vertAlign w:val="baseline"/>
                      <w:lang w:val="en-US" w:eastAsia="zh-CN" w:bidi="ar-SA"/>
                    </w:rPr>
                    <w:t>生产车间</w:t>
                  </w:r>
                </w:p>
              </w:tc>
              <w:tc>
                <w:tcPr>
                  <w:tcW w:w="456" w:type="pct"/>
                  <w:tcBorders>
                    <w:tl2br w:val="nil"/>
                    <w:tr2bl w:val="nil"/>
                  </w:tcBorders>
                  <w:noWrap w:val="0"/>
                  <w:vAlign w:val="center"/>
                </w:tcPr>
                <w:p w14:paraId="1D690908">
                  <w:pPr>
                    <w:keepNext w:val="0"/>
                    <w:keepLines w:val="0"/>
                    <w:widowControl/>
                    <w:suppressLineNumbers w:val="0"/>
                    <w:jc w:val="center"/>
                    <w:textAlignment w:val="center"/>
                    <w:rPr>
                      <w:rFonts w:hint="default" w:ascii="Times New Roman" w:hAnsi="Times New Roman" w:eastAsia="宋体" w:cs="Arial"/>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自动切片机</w:t>
                  </w:r>
                </w:p>
              </w:tc>
              <w:tc>
                <w:tcPr>
                  <w:tcW w:w="222" w:type="pct"/>
                  <w:tcBorders>
                    <w:tl2br w:val="nil"/>
                    <w:tr2bl w:val="nil"/>
                  </w:tcBorders>
                  <w:noWrap w:val="0"/>
                  <w:vAlign w:val="center"/>
                </w:tcPr>
                <w:p w14:paraId="5B4651F3">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1</w:t>
                  </w:r>
                </w:p>
              </w:tc>
              <w:tc>
                <w:tcPr>
                  <w:tcW w:w="513" w:type="pct"/>
                  <w:tcBorders>
                    <w:tl2br w:val="nil"/>
                    <w:tr2bl w:val="nil"/>
                  </w:tcBorders>
                  <w:noWrap w:val="0"/>
                  <w:vAlign w:val="center"/>
                </w:tcPr>
                <w:p w14:paraId="60097B7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80</w:t>
                  </w:r>
                </w:p>
              </w:tc>
              <w:tc>
                <w:tcPr>
                  <w:tcW w:w="295" w:type="pct"/>
                  <w:vMerge w:val="restart"/>
                  <w:tcBorders>
                    <w:tl2br w:val="nil"/>
                    <w:tr2bl w:val="nil"/>
                  </w:tcBorders>
                  <w:noWrap w:val="0"/>
                  <w:vAlign w:val="center"/>
                </w:tcPr>
                <w:p w14:paraId="4222BEB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建筑隔声、基础减震、距离衰减</w:t>
                  </w:r>
                </w:p>
              </w:tc>
              <w:tc>
                <w:tcPr>
                  <w:tcW w:w="675" w:type="dxa"/>
                  <w:tcBorders>
                    <w:tl2br w:val="nil"/>
                    <w:tr2bl w:val="nil"/>
                  </w:tcBorders>
                  <w:noWrap w:val="0"/>
                  <w:vAlign w:val="center"/>
                </w:tcPr>
                <w:p w14:paraId="159D66EF">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-30.5</w:t>
                  </w:r>
                </w:p>
              </w:tc>
              <w:tc>
                <w:tcPr>
                  <w:tcW w:w="705" w:type="dxa"/>
                  <w:tcBorders>
                    <w:tl2br w:val="nil"/>
                    <w:tr2bl w:val="nil"/>
                  </w:tcBorders>
                  <w:noWrap w:val="0"/>
                  <w:vAlign w:val="center"/>
                </w:tcPr>
                <w:p w14:paraId="11C0C354">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22.3</w:t>
                  </w:r>
                </w:p>
              </w:tc>
              <w:tc>
                <w:tcPr>
                  <w:tcW w:w="217" w:type="pct"/>
                  <w:tcBorders>
                    <w:tl2br w:val="nil"/>
                    <w:tr2bl w:val="nil"/>
                  </w:tcBorders>
                  <w:noWrap w:val="0"/>
                  <w:vAlign w:val="center"/>
                </w:tcPr>
                <w:p w14:paraId="4155926D">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1260" w:type="dxa"/>
                  <w:tcBorders>
                    <w:tl2br w:val="nil"/>
                    <w:tr2bl w:val="nil"/>
                  </w:tcBorders>
                  <w:noWrap w:val="0"/>
                  <w:vAlign w:val="center"/>
                </w:tcPr>
                <w:p w14:paraId="43341103">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6.7</w:t>
                  </w:r>
                </w:p>
              </w:tc>
              <w:tc>
                <w:tcPr>
                  <w:tcW w:w="1590" w:type="dxa"/>
                  <w:tcBorders>
                    <w:tl2br w:val="nil"/>
                    <w:tr2bl w:val="nil"/>
                  </w:tcBorders>
                  <w:noWrap w:val="0"/>
                  <w:vAlign w:val="center"/>
                </w:tcPr>
                <w:p w14:paraId="6461BC9B">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63.48</w:t>
                  </w:r>
                </w:p>
              </w:tc>
              <w:tc>
                <w:tcPr>
                  <w:tcW w:w="277" w:type="pct"/>
                  <w:vMerge w:val="restart"/>
                  <w:tcBorders>
                    <w:tl2br w:val="nil"/>
                    <w:tr2bl w:val="nil"/>
                  </w:tcBorders>
                  <w:noWrap w:val="0"/>
                  <w:vAlign w:val="center"/>
                </w:tcPr>
                <w:p w14:paraId="1A71C59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72</w:t>
                  </w:r>
                  <w:r>
                    <w:rPr>
                      <w:rFonts w:hint="eastAsia" w:ascii="Times New Roman" w:hAnsi="Times New Roman" w:cs="Times New Roman"/>
                      <w:color w:val="auto"/>
                      <w:sz w:val="21"/>
                      <w:szCs w:val="21"/>
                      <w:lang w:val="en-US" w:eastAsia="zh-CN"/>
                    </w:rPr>
                    <w:t>00</w:t>
                  </w:r>
                  <w:r>
                    <w:rPr>
                      <w:rFonts w:hint="eastAsia" w:ascii="Times New Roman" w:hAnsi="Times New Roman" w:eastAsia="宋体" w:cs="Times New Roman"/>
                      <w:color w:val="auto"/>
                      <w:sz w:val="21"/>
                      <w:szCs w:val="21"/>
                      <w:lang w:val="en-US" w:eastAsia="zh-CN"/>
                    </w:rPr>
                    <w:t>h</w:t>
                  </w:r>
                </w:p>
              </w:tc>
              <w:tc>
                <w:tcPr>
                  <w:tcW w:w="419" w:type="pct"/>
                  <w:vMerge w:val="restart"/>
                  <w:tcBorders>
                    <w:tl2br w:val="nil"/>
                    <w:tr2bl w:val="nil"/>
                  </w:tcBorders>
                  <w:noWrap w:val="0"/>
                  <w:vAlign w:val="center"/>
                </w:tcPr>
                <w:p w14:paraId="2215220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w:t>
                  </w:r>
                </w:p>
              </w:tc>
              <w:tc>
                <w:tcPr>
                  <w:tcW w:w="1410" w:type="dxa"/>
                  <w:tcBorders>
                    <w:tl2br w:val="nil"/>
                    <w:tr2bl w:val="nil"/>
                  </w:tcBorders>
                  <w:noWrap w:val="0"/>
                  <w:vAlign w:val="center"/>
                </w:tcPr>
                <w:p w14:paraId="67BA362E">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43.48</w:t>
                  </w:r>
                </w:p>
              </w:tc>
              <w:tc>
                <w:tcPr>
                  <w:tcW w:w="302" w:type="pct"/>
                  <w:tcBorders>
                    <w:tl2br w:val="nil"/>
                    <w:tr2bl w:val="nil"/>
                  </w:tcBorders>
                  <w:noWrap w:val="0"/>
                  <w:vAlign w:val="center"/>
                </w:tcPr>
                <w:p w14:paraId="65C9FA5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4992F7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2A42098D">
                  <w:pPr>
                    <w:pStyle w:val="6"/>
                    <w:keepNext w:val="0"/>
                    <w:keepLines w:val="0"/>
                    <w:pageBreakBefore w:val="0"/>
                    <w:widowControl w:val="0"/>
                    <w:numPr>
                      <w:ilvl w:val="0"/>
                      <w:numId w:val="13"/>
                    </w:numPr>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Times New Roman" w:hAnsi="Times New Roman" w:eastAsia="宋体"/>
                      <w:color w:val="auto"/>
                      <w:sz w:val="21"/>
                      <w:szCs w:val="21"/>
                      <w:lang w:val="en-US" w:eastAsia="zh-CN"/>
                    </w:rPr>
                  </w:pPr>
                </w:p>
              </w:tc>
              <w:tc>
                <w:tcPr>
                  <w:tcW w:w="228" w:type="pct"/>
                  <w:vMerge w:val="continue"/>
                  <w:tcBorders>
                    <w:tl2br w:val="nil"/>
                    <w:tr2bl w:val="nil"/>
                  </w:tcBorders>
                  <w:noWrap w:val="0"/>
                  <w:vAlign w:val="center"/>
                </w:tcPr>
                <w:p w14:paraId="7473F740">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default" w:ascii="Times New Roman" w:hAnsi="Times New Roman" w:eastAsia="宋体" w:cs="Times New Roman"/>
                      <w:color w:val="auto"/>
                      <w:kern w:val="0"/>
                      <w:sz w:val="21"/>
                      <w:szCs w:val="21"/>
                      <w:vertAlign w:val="baseline"/>
                      <w:lang w:val="en-US" w:eastAsia="zh-CN" w:bidi="ar-SA"/>
                    </w:rPr>
                  </w:pPr>
                </w:p>
              </w:tc>
              <w:tc>
                <w:tcPr>
                  <w:tcW w:w="456" w:type="pct"/>
                  <w:tcBorders>
                    <w:tl2br w:val="nil"/>
                    <w:tr2bl w:val="nil"/>
                  </w:tcBorders>
                  <w:noWrap w:val="0"/>
                  <w:vAlign w:val="center"/>
                </w:tcPr>
                <w:p w14:paraId="0C0AB882">
                  <w:pPr>
                    <w:keepNext w:val="0"/>
                    <w:keepLines w:val="0"/>
                    <w:widowControl/>
                    <w:suppressLineNumbers w:val="0"/>
                    <w:jc w:val="center"/>
                    <w:textAlignment w:val="center"/>
                    <w:rPr>
                      <w:rFonts w:hint="default" w:ascii="Times New Roman" w:hAnsi="Times New Roman" w:eastAsia="宋体" w:cs="Arial"/>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半自动切片机</w:t>
                  </w:r>
                </w:p>
              </w:tc>
              <w:tc>
                <w:tcPr>
                  <w:tcW w:w="222" w:type="pct"/>
                  <w:tcBorders>
                    <w:tl2br w:val="nil"/>
                    <w:tr2bl w:val="nil"/>
                  </w:tcBorders>
                  <w:noWrap w:val="0"/>
                  <w:vAlign w:val="center"/>
                </w:tcPr>
                <w:p w14:paraId="18E7FE7C">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1</w:t>
                  </w:r>
                </w:p>
              </w:tc>
              <w:tc>
                <w:tcPr>
                  <w:tcW w:w="513" w:type="pct"/>
                  <w:tcBorders>
                    <w:tl2br w:val="nil"/>
                    <w:tr2bl w:val="nil"/>
                  </w:tcBorders>
                  <w:noWrap w:val="0"/>
                  <w:vAlign w:val="center"/>
                </w:tcPr>
                <w:p w14:paraId="167918D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80</w:t>
                  </w:r>
                </w:p>
              </w:tc>
              <w:tc>
                <w:tcPr>
                  <w:tcW w:w="295" w:type="pct"/>
                  <w:vMerge w:val="continue"/>
                  <w:tcBorders>
                    <w:tl2br w:val="nil"/>
                    <w:tr2bl w:val="nil"/>
                  </w:tcBorders>
                  <w:noWrap w:val="0"/>
                  <w:vAlign w:val="center"/>
                </w:tcPr>
                <w:p w14:paraId="3D9D47DB">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6DE1B600">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-29.7</w:t>
                  </w:r>
                </w:p>
              </w:tc>
              <w:tc>
                <w:tcPr>
                  <w:tcW w:w="705" w:type="dxa"/>
                  <w:tcBorders>
                    <w:tl2br w:val="nil"/>
                    <w:tr2bl w:val="nil"/>
                  </w:tcBorders>
                  <w:noWrap w:val="0"/>
                  <w:vAlign w:val="center"/>
                </w:tcPr>
                <w:p w14:paraId="463F623C">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15.4</w:t>
                  </w:r>
                </w:p>
              </w:tc>
              <w:tc>
                <w:tcPr>
                  <w:tcW w:w="217" w:type="pct"/>
                  <w:tcBorders>
                    <w:tl2br w:val="nil"/>
                    <w:tr2bl w:val="nil"/>
                  </w:tcBorders>
                  <w:noWrap w:val="0"/>
                  <w:vAlign w:val="center"/>
                </w:tcPr>
                <w:p w14:paraId="46A7C37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1260" w:type="dxa"/>
                  <w:tcBorders>
                    <w:tl2br w:val="nil"/>
                    <w:tr2bl w:val="nil"/>
                  </w:tcBorders>
                  <w:noWrap w:val="0"/>
                  <w:vAlign w:val="center"/>
                </w:tcPr>
                <w:p w14:paraId="6DE257E3">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9.6</w:t>
                  </w:r>
                </w:p>
              </w:tc>
              <w:tc>
                <w:tcPr>
                  <w:tcW w:w="1590" w:type="dxa"/>
                  <w:tcBorders>
                    <w:tl2br w:val="nil"/>
                    <w:tr2bl w:val="nil"/>
                  </w:tcBorders>
                  <w:noWrap w:val="0"/>
                  <w:vAlign w:val="center"/>
                </w:tcPr>
                <w:p w14:paraId="7DA9F0C9">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60.35</w:t>
                  </w:r>
                </w:p>
              </w:tc>
              <w:tc>
                <w:tcPr>
                  <w:tcW w:w="277" w:type="pct"/>
                  <w:vMerge w:val="continue"/>
                  <w:tcBorders>
                    <w:tl2br w:val="nil"/>
                    <w:tr2bl w:val="nil"/>
                  </w:tcBorders>
                  <w:noWrap w:val="0"/>
                  <w:vAlign w:val="center"/>
                </w:tcPr>
                <w:p w14:paraId="5FED21C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257EE0B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30942850">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40.35</w:t>
                  </w:r>
                </w:p>
              </w:tc>
              <w:tc>
                <w:tcPr>
                  <w:tcW w:w="302" w:type="pct"/>
                  <w:tcBorders>
                    <w:tl2br w:val="nil"/>
                    <w:tr2bl w:val="nil"/>
                  </w:tcBorders>
                  <w:noWrap w:val="0"/>
                  <w:vAlign w:val="center"/>
                </w:tcPr>
                <w:p w14:paraId="7502560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250429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67C9D56C">
                  <w:pPr>
                    <w:numPr>
                      <w:ilvl w:val="0"/>
                      <w:numId w:val="13"/>
                    </w:numPr>
                    <w:ind w:left="0" w:leftChars="0" w:firstLine="0" w:firstLineChars="0"/>
                    <w:jc w:val="center"/>
                    <w:rPr>
                      <w:rFonts w:hint="eastAsia" w:ascii="Times New Roman" w:hAnsi="Times New Roman" w:eastAsia="宋体"/>
                      <w:color w:val="auto"/>
                      <w:sz w:val="21"/>
                      <w:szCs w:val="21"/>
                      <w:lang w:eastAsia="zh-CN"/>
                    </w:rPr>
                  </w:pPr>
                </w:p>
              </w:tc>
              <w:tc>
                <w:tcPr>
                  <w:tcW w:w="228" w:type="pct"/>
                  <w:vMerge w:val="continue"/>
                  <w:tcBorders>
                    <w:tl2br w:val="nil"/>
                    <w:tr2bl w:val="nil"/>
                  </w:tcBorders>
                  <w:noWrap w:val="0"/>
                  <w:vAlign w:val="center"/>
                </w:tcPr>
                <w:p w14:paraId="52A55C66">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Times New Roman" w:hAnsi="Times New Roman" w:eastAsia="宋体" w:cs="Times New Roman"/>
                      <w:color w:val="auto"/>
                      <w:kern w:val="0"/>
                      <w:sz w:val="21"/>
                      <w:szCs w:val="21"/>
                      <w:vertAlign w:val="baseline"/>
                      <w:lang w:val="en-US" w:eastAsia="zh-CN" w:bidi="ar-SA"/>
                    </w:rPr>
                  </w:pPr>
                </w:p>
              </w:tc>
              <w:tc>
                <w:tcPr>
                  <w:tcW w:w="456" w:type="pct"/>
                  <w:tcBorders>
                    <w:tl2br w:val="nil"/>
                    <w:tr2bl w:val="nil"/>
                  </w:tcBorders>
                  <w:noWrap w:val="0"/>
                  <w:vAlign w:val="center"/>
                </w:tcPr>
                <w:p w14:paraId="2E5FC851">
                  <w:pPr>
                    <w:keepNext w:val="0"/>
                    <w:keepLines w:val="0"/>
                    <w:widowControl/>
                    <w:suppressLineNumbers w:val="0"/>
                    <w:jc w:val="center"/>
                    <w:textAlignment w:val="center"/>
                    <w:rPr>
                      <w:rFonts w:hint="default" w:ascii="Times New Roman" w:hAnsi="Times New Roman" w:eastAsia="宋体" w:cs="Times New Roman"/>
                      <w:color w:val="auto"/>
                      <w:kern w:val="0"/>
                      <w:sz w:val="21"/>
                      <w:szCs w:val="21"/>
                      <w:vertAlign w:val="baseline"/>
                      <w:lang w:val="en-US" w:eastAsia="zh-CN" w:bidi="ar-SA"/>
                    </w:rPr>
                  </w:pPr>
                  <w:r>
                    <w:rPr>
                      <w:rFonts w:hint="eastAsia" w:ascii="Times New Roman" w:hAnsi="Times New Roman" w:eastAsia="宋体" w:cs="宋体"/>
                      <w:i w:val="0"/>
                      <w:iCs w:val="0"/>
                      <w:color w:val="auto"/>
                      <w:kern w:val="0"/>
                      <w:sz w:val="21"/>
                      <w:szCs w:val="22"/>
                      <w:u w:val="none"/>
                      <w:lang w:val="en-US" w:eastAsia="zh-CN" w:bidi="ar"/>
                    </w:rPr>
                    <w:t>双边磨边机</w:t>
                  </w:r>
                </w:p>
              </w:tc>
              <w:tc>
                <w:tcPr>
                  <w:tcW w:w="222" w:type="pct"/>
                  <w:tcBorders>
                    <w:tl2br w:val="nil"/>
                    <w:tr2bl w:val="nil"/>
                  </w:tcBorders>
                  <w:noWrap w:val="0"/>
                  <w:vAlign w:val="center"/>
                </w:tcPr>
                <w:p w14:paraId="3A92684C">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4</w:t>
                  </w:r>
                </w:p>
              </w:tc>
              <w:tc>
                <w:tcPr>
                  <w:tcW w:w="513" w:type="pct"/>
                  <w:tcBorders>
                    <w:tl2br w:val="nil"/>
                    <w:tr2bl w:val="nil"/>
                  </w:tcBorders>
                  <w:noWrap w:val="0"/>
                  <w:vAlign w:val="center"/>
                </w:tcPr>
                <w:p w14:paraId="418BBB9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75</w:t>
                  </w:r>
                </w:p>
              </w:tc>
              <w:tc>
                <w:tcPr>
                  <w:tcW w:w="295" w:type="pct"/>
                  <w:vMerge w:val="continue"/>
                  <w:tcBorders>
                    <w:tl2br w:val="nil"/>
                    <w:tr2bl w:val="nil"/>
                  </w:tcBorders>
                  <w:noWrap w:val="0"/>
                  <w:vAlign w:val="center"/>
                </w:tcPr>
                <w:p w14:paraId="20BEF3F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0B952200">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-19.3</w:t>
                  </w:r>
                </w:p>
              </w:tc>
              <w:tc>
                <w:tcPr>
                  <w:tcW w:w="705" w:type="dxa"/>
                  <w:tcBorders>
                    <w:tl2br w:val="nil"/>
                    <w:tr2bl w:val="nil"/>
                  </w:tcBorders>
                  <w:noWrap w:val="0"/>
                  <w:vAlign w:val="center"/>
                </w:tcPr>
                <w:p w14:paraId="5230DE40">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20.1</w:t>
                  </w:r>
                </w:p>
              </w:tc>
              <w:tc>
                <w:tcPr>
                  <w:tcW w:w="217" w:type="pct"/>
                  <w:tcBorders>
                    <w:tl2br w:val="nil"/>
                    <w:tr2bl w:val="nil"/>
                  </w:tcBorders>
                  <w:noWrap w:val="0"/>
                  <w:vAlign w:val="center"/>
                </w:tcPr>
                <w:p w14:paraId="71E4CCE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1260" w:type="dxa"/>
                  <w:tcBorders>
                    <w:tl2br w:val="nil"/>
                    <w:tr2bl w:val="nil"/>
                  </w:tcBorders>
                  <w:noWrap w:val="0"/>
                  <w:vAlign w:val="center"/>
                </w:tcPr>
                <w:p w14:paraId="03A3EBA7">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4.9</w:t>
                  </w:r>
                </w:p>
              </w:tc>
              <w:tc>
                <w:tcPr>
                  <w:tcW w:w="1590" w:type="dxa"/>
                  <w:tcBorders>
                    <w:tl2br w:val="nil"/>
                    <w:tr2bl w:val="nil"/>
                  </w:tcBorders>
                  <w:noWrap w:val="0"/>
                  <w:vAlign w:val="center"/>
                </w:tcPr>
                <w:p w14:paraId="0E219942">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67.22</w:t>
                  </w:r>
                </w:p>
              </w:tc>
              <w:tc>
                <w:tcPr>
                  <w:tcW w:w="277" w:type="pct"/>
                  <w:vMerge w:val="continue"/>
                  <w:tcBorders>
                    <w:tl2br w:val="nil"/>
                    <w:tr2bl w:val="nil"/>
                  </w:tcBorders>
                  <w:noWrap w:val="0"/>
                  <w:vAlign w:val="center"/>
                </w:tcPr>
                <w:p w14:paraId="79EAEB0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31D0080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0F7C9309">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47.22</w:t>
                  </w:r>
                </w:p>
              </w:tc>
              <w:tc>
                <w:tcPr>
                  <w:tcW w:w="302" w:type="pct"/>
                  <w:tcBorders>
                    <w:tl2br w:val="nil"/>
                    <w:tr2bl w:val="nil"/>
                  </w:tcBorders>
                  <w:noWrap w:val="0"/>
                  <w:vAlign w:val="center"/>
                </w:tcPr>
                <w:p w14:paraId="6BC1ABC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701E0B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50A6E165">
                  <w:pPr>
                    <w:numPr>
                      <w:ilvl w:val="0"/>
                      <w:numId w:val="13"/>
                    </w:numPr>
                    <w:ind w:left="0" w:leftChars="0" w:firstLine="0" w:firstLineChars="0"/>
                    <w:jc w:val="center"/>
                    <w:rPr>
                      <w:rFonts w:hint="eastAsia" w:ascii="Times New Roman" w:hAnsi="Times New Roman" w:eastAsia="宋体"/>
                      <w:color w:val="auto"/>
                      <w:sz w:val="21"/>
                      <w:szCs w:val="21"/>
                      <w:lang w:eastAsia="zh-CN"/>
                    </w:rPr>
                  </w:pPr>
                </w:p>
              </w:tc>
              <w:tc>
                <w:tcPr>
                  <w:tcW w:w="228" w:type="pct"/>
                  <w:vMerge w:val="continue"/>
                  <w:tcBorders>
                    <w:tl2br w:val="nil"/>
                    <w:tr2bl w:val="nil"/>
                  </w:tcBorders>
                  <w:noWrap w:val="0"/>
                  <w:vAlign w:val="center"/>
                </w:tcPr>
                <w:p w14:paraId="54E995C3">
                  <w:pPr>
                    <w:jc w:val="center"/>
                    <w:rPr>
                      <w:rFonts w:hint="eastAsia" w:ascii="Times New Roman" w:hAnsi="Times New Roman" w:eastAsia="宋体"/>
                      <w:color w:val="auto"/>
                      <w:kern w:val="2"/>
                      <w:sz w:val="21"/>
                      <w:szCs w:val="21"/>
                      <w:lang w:val="en-US" w:eastAsia="zh-CN" w:bidi="ar-SA"/>
                    </w:rPr>
                  </w:pPr>
                </w:p>
              </w:tc>
              <w:tc>
                <w:tcPr>
                  <w:tcW w:w="456" w:type="pct"/>
                  <w:tcBorders>
                    <w:tl2br w:val="nil"/>
                    <w:tr2bl w:val="nil"/>
                  </w:tcBorders>
                  <w:noWrap w:val="0"/>
                  <w:vAlign w:val="center"/>
                </w:tcPr>
                <w:p w14:paraId="3F76244F">
                  <w:pPr>
                    <w:keepNext w:val="0"/>
                    <w:keepLines w:val="0"/>
                    <w:widowControl/>
                    <w:suppressLineNumbers w:val="0"/>
                    <w:jc w:val="center"/>
                    <w:textAlignment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s="宋体"/>
                      <w:i w:val="0"/>
                      <w:iCs w:val="0"/>
                      <w:color w:val="auto"/>
                      <w:kern w:val="0"/>
                      <w:sz w:val="21"/>
                      <w:szCs w:val="22"/>
                      <w:u w:val="none"/>
                      <w:lang w:val="en-US" w:eastAsia="zh-CN" w:bidi="ar"/>
                    </w:rPr>
                    <w:t>四边磨边机</w:t>
                  </w:r>
                </w:p>
              </w:tc>
              <w:tc>
                <w:tcPr>
                  <w:tcW w:w="222" w:type="pct"/>
                  <w:tcBorders>
                    <w:tl2br w:val="nil"/>
                    <w:tr2bl w:val="nil"/>
                  </w:tcBorders>
                  <w:noWrap w:val="0"/>
                  <w:vAlign w:val="center"/>
                </w:tcPr>
                <w:p w14:paraId="51278D65">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1</w:t>
                  </w:r>
                </w:p>
              </w:tc>
              <w:tc>
                <w:tcPr>
                  <w:tcW w:w="513" w:type="pct"/>
                  <w:tcBorders>
                    <w:tl2br w:val="nil"/>
                    <w:tr2bl w:val="nil"/>
                  </w:tcBorders>
                  <w:noWrap w:val="0"/>
                  <w:vAlign w:val="center"/>
                </w:tcPr>
                <w:p w14:paraId="4E43CF2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75</w:t>
                  </w:r>
                </w:p>
              </w:tc>
              <w:tc>
                <w:tcPr>
                  <w:tcW w:w="295" w:type="pct"/>
                  <w:vMerge w:val="continue"/>
                  <w:tcBorders>
                    <w:tl2br w:val="nil"/>
                    <w:tr2bl w:val="nil"/>
                  </w:tcBorders>
                  <w:noWrap w:val="0"/>
                  <w:vAlign w:val="center"/>
                </w:tcPr>
                <w:p w14:paraId="3072563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76F68CCA">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-12.9</w:t>
                  </w:r>
                </w:p>
              </w:tc>
              <w:tc>
                <w:tcPr>
                  <w:tcW w:w="705" w:type="dxa"/>
                  <w:tcBorders>
                    <w:tl2br w:val="nil"/>
                    <w:tr2bl w:val="nil"/>
                  </w:tcBorders>
                  <w:noWrap w:val="0"/>
                  <w:vAlign w:val="center"/>
                </w:tcPr>
                <w:p w14:paraId="0F2CA118">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10.1</w:t>
                  </w:r>
                </w:p>
              </w:tc>
              <w:tc>
                <w:tcPr>
                  <w:tcW w:w="217" w:type="pct"/>
                  <w:tcBorders>
                    <w:tl2br w:val="nil"/>
                    <w:tr2bl w:val="nil"/>
                  </w:tcBorders>
                  <w:noWrap w:val="0"/>
                  <w:vAlign w:val="center"/>
                </w:tcPr>
                <w:p w14:paraId="19EAE61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1260" w:type="dxa"/>
                  <w:tcBorders>
                    <w:tl2br w:val="nil"/>
                    <w:tr2bl w:val="nil"/>
                  </w:tcBorders>
                  <w:noWrap w:val="0"/>
                  <w:vAlign w:val="center"/>
                </w:tcPr>
                <w:p w14:paraId="0C336A00">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14.9</w:t>
                  </w:r>
                </w:p>
              </w:tc>
              <w:tc>
                <w:tcPr>
                  <w:tcW w:w="1590" w:type="dxa"/>
                  <w:tcBorders>
                    <w:tl2br w:val="nil"/>
                    <w:tr2bl w:val="nil"/>
                  </w:tcBorders>
                  <w:noWrap w:val="0"/>
                  <w:vAlign w:val="center"/>
                </w:tcPr>
                <w:p w14:paraId="7DFA37AB">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51.54</w:t>
                  </w:r>
                </w:p>
              </w:tc>
              <w:tc>
                <w:tcPr>
                  <w:tcW w:w="277" w:type="pct"/>
                  <w:vMerge w:val="continue"/>
                  <w:tcBorders>
                    <w:tl2br w:val="nil"/>
                    <w:tr2bl w:val="nil"/>
                  </w:tcBorders>
                  <w:noWrap w:val="0"/>
                  <w:vAlign w:val="center"/>
                </w:tcPr>
                <w:p w14:paraId="13EBD8B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39F1EAD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07DBFDAE">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31.54</w:t>
                  </w:r>
                </w:p>
              </w:tc>
              <w:tc>
                <w:tcPr>
                  <w:tcW w:w="302" w:type="pct"/>
                  <w:tcBorders>
                    <w:tl2br w:val="nil"/>
                    <w:tr2bl w:val="nil"/>
                  </w:tcBorders>
                  <w:noWrap w:val="0"/>
                  <w:vAlign w:val="center"/>
                </w:tcPr>
                <w:p w14:paraId="5A13843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7ECE5F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79B8397C">
                  <w:pPr>
                    <w:numPr>
                      <w:ilvl w:val="0"/>
                      <w:numId w:val="13"/>
                    </w:numPr>
                    <w:ind w:left="0" w:leftChars="0" w:firstLine="0" w:firstLineChars="0"/>
                    <w:jc w:val="center"/>
                    <w:rPr>
                      <w:rFonts w:hint="eastAsia" w:ascii="Times New Roman" w:hAnsi="Times New Roman" w:eastAsia="宋体"/>
                      <w:color w:val="auto"/>
                      <w:sz w:val="21"/>
                      <w:szCs w:val="21"/>
                      <w:lang w:val="en-US" w:eastAsia="zh-CN"/>
                    </w:rPr>
                  </w:pPr>
                </w:p>
              </w:tc>
              <w:tc>
                <w:tcPr>
                  <w:tcW w:w="228" w:type="pct"/>
                  <w:vMerge w:val="continue"/>
                  <w:tcBorders>
                    <w:tl2br w:val="nil"/>
                    <w:tr2bl w:val="nil"/>
                  </w:tcBorders>
                  <w:noWrap w:val="0"/>
                  <w:vAlign w:val="center"/>
                </w:tcPr>
                <w:p w14:paraId="61AA00FB">
                  <w:pPr>
                    <w:jc w:val="center"/>
                    <w:rPr>
                      <w:rFonts w:hint="eastAsia" w:ascii="Times New Roman" w:hAnsi="Times New Roman" w:eastAsia="宋体"/>
                      <w:color w:val="auto"/>
                      <w:kern w:val="2"/>
                      <w:sz w:val="21"/>
                      <w:szCs w:val="21"/>
                      <w:lang w:val="en-US" w:eastAsia="zh-CN" w:bidi="ar-SA"/>
                    </w:rPr>
                  </w:pPr>
                </w:p>
              </w:tc>
              <w:tc>
                <w:tcPr>
                  <w:tcW w:w="456" w:type="pct"/>
                  <w:tcBorders>
                    <w:tl2br w:val="nil"/>
                    <w:tr2bl w:val="nil"/>
                  </w:tcBorders>
                  <w:noWrap w:val="0"/>
                  <w:vAlign w:val="center"/>
                </w:tcPr>
                <w:p w14:paraId="21FAA20E">
                  <w:pPr>
                    <w:keepNext w:val="0"/>
                    <w:keepLines w:val="0"/>
                    <w:widowControl/>
                    <w:suppressLineNumbers w:val="0"/>
                    <w:jc w:val="center"/>
                    <w:textAlignment w:val="center"/>
                    <w:rPr>
                      <w:rFonts w:hint="default" w:ascii="Times New Roman" w:hAnsi="Times New Roman" w:eastAsia="宋体" w:cs="Arial"/>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玻璃钻孔机</w:t>
                  </w:r>
                </w:p>
              </w:tc>
              <w:tc>
                <w:tcPr>
                  <w:tcW w:w="222" w:type="pct"/>
                  <w:tcBorders>
                    <w:tl2br w:val="nil"/>
                    <w:tr2bl w:val="nil"/>
                  </w:tcBorders>
                  <w:noWrap w:val="0"/>
                  <w:vAlign w:val="center"/>
                </w:tcPr>
                <w:p w14:paraId="4034F3EA">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1</w:t>
                  </w:r>
                </w:p>
              </w:tc>
              <w:tc>
                <w:tcPr>
                  <w:tcW w:w="513" w:type="pct"/>
                  <w:tcBorders>
                    <w:tl2br w:val="nil"/>
                    <w:tr2bl w:val="nil"/>
                  </w:tcBorders>
                  <w:noWrap w:val="0"/>
                  <w:vAlign w:val="center"/>
                </w:tcPr>
                <w:p w14:paraId="1B5A036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85</w:t>
                  </w:r>
                </w:p>
              </w:tc>
              <w:tc>
                <w:tcPr>
                  <w:tcW w:w="295" w:type="pct"/>
                  <w:vMerge w:val="continue"/>
                  <w:tcBorders>
                    <w:tl2br w:val="nil"/>
                    <w:tr2bl w:val="nil"/>
                  </w:tcBorders>
                  <w:noWrap w:val="0"/>
                  <w:vAlign w:val="center"/>
                </w:tcPr>
                <w:p w14:paraId="20C397DF">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7A05C1A0">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-3.2</w:t>
                  </w:r>
                </w:p>
              </w:tc>
              <w:tc>
                <w:tcPr>
                  <w:tcW w:w="705" w:type="dxa"/>
                  <w:tcBorders>
                    <w:tl2br w:val="nil"/>
                    <w:tr2bl w:val="nil"/>
                  </w:tcBorders>
                  <w:noWrap w:val="0"/>
                  <w:vAlign w:val="center"/>
                </w:tcPr>
                <w:p w14:paraId="7A908AD0">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12.7</w:t>
                  </w:r>
                </w:p>
              </w:tc>
              <w:tc>
                <w:tcPr>
                  <w:tcW w:w="217" w:type="pct"/>
                  <w:tcBorders>
                    <w:tl2br w:val="nil"/>
                    <w:tr2bl w:val="nil"/>
                  </w:tcBorders>
                  <w:noWrap w:val="0"/>
                  <w:vAlign w:val="center"/>
                </w:tcPr>
                <w:p w14:paraId="02B71C9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260" w:type="dxa"/>
                  <w:tcBorders>
                    <w:tl2br w:val="nil"/>
                    <w:tr2bl w:val="nil"/>
                  </w:tcBorders>
                  <w:noWrap w:val="0"/>
                  <w:vAlign w:val="center"/>
                </w:tcPr>
                <w:p w14:paraId="53AA217F">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12.3</w:t>
                  </w:r>
                </w:p>
              </w:tc>
              <w:tc>
                <w:tcPr>
                  <w:tcW w:w="1590" w:type="dxa"/>
                  <w:tcBorders>
                    <w:tl2br w:val="nil"/>
                    <w:tr2bl w:val="nil"/>
                  </w:tcBorders>
                  <w:noWrap w:val="0"/>
                  <w:vAlign w:val="center"/>
                </w:tcPr>
                <w:p w14:paraId="3E1406E6">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63.2</w:t>
                  </w:r>
                </w:p>
              </w:tc>
              <w:tc>
                <w:tcPr>
                  <w:tcW w:w="277" w:type="pct"/>
                  <w:vMerge w:val="continue"/>
                  <w:tcBorders>
                    <w:tl2br w:val="nil"/>
                    <w:tr2bl w:val="nil"/>
                  </w:tcBorders>
                  <w:noWrap w:val="0"/>
                  <w:vAlign w:val="center"/>
                </w:tcPr>
                <w:p w14:paraId="3C6153D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4339246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4CECEAC7">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43.2</w:t>
                  </w:r>
                </w:p>
              </w:tc>
              <w:tc>
                <w:tcPr>
                  <w:tcW w:w="302" w:type="pct"/>
                  <w:tcBorders>
                    <w:tl2br w:val="nil"/>
                    <w:tr2bl w:val="nil"/>
                  </w:tcBorders>
                  <w:noWrap w:val="0"/>
                  <w:vAlign w:val="center"/>
                </w:tcPr>
                <w:p w14:paraId="50C10A0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r>
            <w:tr w14:paraId="6EF9D1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36B3BF35">
                  <w:pPr>
                    <w:numPr>
                      <w:ilvl w:val="0"/>
                      <w:numId w:val="13"/>
                    </w:numPr>
                    <w:ind w:left="0" w:leftChars="0" w:firstLine="0" w:firstLineChars="0"/>
                    <w:jc w:val="center"/>
                    <w:rPr>
                      <w:rFonts w:hint="eastAsia" w:ascii="Times New Roman" w:hAnsi="Times New Roman" w:eastAsia="宋体"/>
                      <w:color w:val="auto"/>
                      <w:sz w:val="21"/>
                      <w:szCs w:val="21"/>
                      <w:lang w:val="en-US" w:eastAsia="zh-CN"/>
                    </w:rPr>
                  </w:pPr>
                </w:p>
              </w:tc>
              <w:tc>
                <w:tcPr>
                  <w:tcW w:w="228" w:type="pct"/>
                  <w:vMerge w:val="continue"/>
                  <w:tcBorders>
                    <w:tl2br w:val="nil"/>
                    <w:tr2bl w:val="nil"/>
                  </w:tcBorders>
                  <w:noWrap w:val="0"/>
                  <w:vAlign w:val="center"/>
                </w:tcPr>
                <w:p w14:paraId="50BFE40E">
                  <w:pPr>
                    <w:jc w:val="center"/>
                    <w:rPr>
                      <w:rFonts w:hint="eastAsia" w:ascii="Times New Roman" w:hAnsi="Times New Roman" w:eastAsia="宋体"/>
                      <w:color w:val="auto"/>
                      <w:kern w:val="2"/>
                      <w:sz w:val="21"/>
                      <w:szCs w:val="21"/>
                      <w:lang w:val="en-US" w:eastAsia="zh-CN" w:bidi="ar-SA"/>
                    </w:rPr>
                  </w:pPr>
                </w:p>
              </w:tc>
              <w:tc>
                <w:tcPr>
                  <w:tcW w:w="456" w:type="pct"/>
                  <w:tcBorders>
                    <w:tl2br w:val="nil"/>
                    <w:tr2bl w:val="nil"/>
                  </w:tcBorders>
                  <w:noWrap w:val="0"/>
                  <w:vAlign w:val="center"/>
                </w:tcPr>
                <w:p w14:paraId="3F699918">
                  <w:pPr>
                    <w:keepNext w:val="0"/>
                    <w:keepLines w:val="0"/>
                    <w:widowControl/>
                    <w:suppressLineNumbers w:val="0"/>
                    <w:jc w:val="center"/>
                    <w:textAlignment w:val="center"/>
                    <w:rPr>
                      <w:rFonts w:hint="default" w:ascii="Times New Roman" w:hAnsi="Times New Roman" w:eastAsia="宋体" w:cs="Arial"/>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清洗机</w:t>
                  </w:r>
                </w:p>
              </w:tc>
              <w:tc>
                <w:tcPr>
                  <w:tcW w:w="222" w:type="pct"/>
                  <w:tcBorders>
                    <w:tl2br w:val="nil"/>
                    <w:tr2bl w:val="nil"/>
                  </w:tcBorders>
                  <w:noWrap w:val="0"/>
                  <w:vAlign w:val="center"/>
                </w:tcPr>
                <w:p w14:paraId="7AABCE03">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4</w:t>
                  </w:r>
                </w:p>
              </w:tc>
              <w:tc>
                <w:tcPr>
                  <w:tcW w:w="513" w:type="pct"/>
                  <w:tcBorders>
                    <w:tl2br w:val="nil"/>
                    <w:tr2bl w:val="nil"/>
                  </w:tcBorders>
                  <w:noWrap w:val="0"/>
                  <w:vAlign w:val="center"/>
                </w:tcPr>
                <w:p w14:paraId="5DC95A4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75</w:t>
                  </w:r>
                </w:p>
              </w:tc>
              <w:tc>
                <w:tcPr>
                  <w:tcW w:w="295" w:type="pct"/>
                  <w:vMerge w:val="continue"/>
                  <w:tcBorders>
                    <w:tl2br w:val="nil"/>
                    <w:tr2bl w:val="nil"/>
                  </w:tcBorders>
                  <w:noWrap w:val="0"/>
                  <w:vAlign w:val="center"/>
                </w:tcPr>
                <w:p w14:paraId="13FF330C">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21A8DAEB">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2.4</w:t>
                  </w:r>
                </w:p>
              </w:tc>
              <w:tc>
                <w:tcPr>
                  <w:tcW w:w="705" w:type="dxa"/>
                  <w:tcBorders>
                    <w:tl2br w:val="nil"/>
                    <w:tr2bl w:val="nil"/>
                  </w:tcBorders>
                  <w:noWrap w:val="0"/>
                  <w:vAlign w:val="center"/>
                </w:tcPr>
                <w:p w14:paraId="21D57B28">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11.4</w:t>
                  </w:r>
                </w:p>
              </w:tc>
              <w:tc>
                <w:tcPr>
                  <w:tcW w:w="217" w:type="pct"/>
                  <w:tcBorders>
                    <w:tl2br w:val="nil"/>
                    <w:tr2bl w:val="nil"/>
                  </w:tcBorders>
                  <w:noWrap w:val="0"/>
                  <w:vAlign w:val="center"/>
                </w:tcPr>
                <w:p w14:paraId="6C9F7B3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260" w:type="dxa"/>
                  <w:tcBorders>
                    <w:tl2br w:val="nil"/>
                    <w:tr2bl w:val="nil"/>
                  </w:tcBorders>
                  <w:noWrap w:val="0"/>
                  <w:vAlign w:val="center"/>
                </w:tcPr>
                <w:p w14:paraId="30E9A5CB">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13.6</w:t>
                  </w:r>
                </w:p>
              </w:tc>
              <w:tc>
                <w:tcPr>
                  <w:tcW w:w="1590" w:type="dxa"/>
                  <w:tcBorders>
                    <w:tl2br w:val="nil"/>
                    <w:tr2bl w:val="nil"/>
                  </w:tcBorders>
                  <w:noWrap w:val="0"/>
                  <w:vAlign w:val="center"/>
                </w:tcPr>
                <w:p w14:paraId="68674ED8">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58.35</w:t>
                  </w:r>
                </w:p>
              </w:tc>
              <w:tc>
                <w:tcPr>
                  <w:tcW w:w="277" w:type="pct"/>
                  <w:vMerge w:val="continue"/>
                  <w:tcBorders>
                    <w:tl2br w:val="nil"/>
                    <w:tr2bl w:val="nil"/>
                  </w:tcBorders>
                  <w:noWrap w:val="0"/>
                  <w:vAlign w:val="center"/>
                </w:tcPr>
                <w:p w14:paraId="6749BBC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144CB5B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308EAAC2">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38.35</w:t>
                  </w:r>
                </w:p>
              </w:tc>
              <w:tc>
                <w:tcPr>
                  <w:tcW w:w="302" w:type="pct"/>
                  <w:tcBorders>
                    <w:tl2br w:val="nil"/>
                    <w:tr2bl w:val="nil"/>
                  </w:tcBorders>
                  <w:noWrap w:val="0"/>
                  <w:vAlign w:val="center"/>
                </w:tcPr>
                <w:p w14:paraId="0C9C468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r>
            <w:tr w14:paraId="301C33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1ADB2004">
                  <w:pPr>
                    <w:numPr>
                      <w:ilvl w:val="0"/>
                      <w:numId w:val="13"/>
                    </w:numPr>
                    <w:ind w:left="0" w:leftChars="0" w:firstLine="0" w:firstLineChars="0"/>
                    <w:jc w:val="center"/>
                    <w:rPr>
                      <w:rFonts w:hint="eastAsia" w:ascii="Times New Roman" w:hAnsi="Times New Roman" w:eastAsia="宋体"/>
                      <w:color w:val="auto"/>
                      <w:sz w:val="21"/>
                      <w:szCs w:val="21"/>
                      <w:lang w:val="en-US" w:eastAsia="zh-CN"/>
                    </w:rPr>
                  </w:pPr>
                </w:p>
              </w:tc>
              <w:tc>
                <w:tcPr>
                  <w:tcW w:w="228" w:type="pct"/>
                  <w:vMerge w:val="continue"/>
                  <w:tcBorders>
                    <w:tl2br w:val="nil"/>
                    <w:tr2bl w:val="nil"/>
                  </w:tcBorders>
                  <w:noWrap w:val="0"/>
                  <w:vAlign w:val="center"/>
                </w:tcPr>
                <w:p w14:paraId="3CF9DBD9">
                  <w:pPr>
                    <w:jc w:val="center"/>
                    <w:rPr>
                      <w:rFonts w:hint="eastAsia" w:ascii="Times New Roman" w:hAnsi="Times New Roman" w:eastAsia="宋体"/>
                      <w:color w:val="auto"/>
                      <w:kern w:val="2"/>
                      <w:sz w:val="21"/>
                      <w:szCs w:val="21"/>
                      <w:lang w:val="en-US" w:eastAsia="zh-CN" w:bidi="ar-SA"/>
                    </w:rPr>
                  </w:pPr>
                </w:p>
              </w:tc>
              <w:tc>
                <w:tcPr>
                  <w:tcW w:w="456" w:type="pct"/>
                  <w:tcBorders>
                    <w:tl2br w:val="nil"/>
                    <w:tr2bl w:val="nil"/>
                  </w:tcBorders>
                  <w:noWrap w:val="0"/>
                  <w:vAlign w:val="center"/>
                </w:tcPr>
                <w:p w14:paraId="07B44C8D">
                  <w:pPr>
                    <w:keepNext w:val="0"/>
                    <w:keepLines w:val="0"/>
                    <w:widowControl/>
                    <w:suppressLineNumbers w:val="0"/>
                    <w:jc w:val="center"/>
                    <w:textAlignment w:val="center"/>
                    <w:rPr>
                      <w:rFonts w:hint="default" w:ascii="Times New Roman" w:hAnsi="Times New Roman" w:eastAsia="宋体" w:cs="Arial"/>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物理钢化炉</w:t>
                  </w:r>
                </w:p>
              </w:tc>
              <w:tc>
                <w:tcPr>
                  <w:tcW w:w="222" w:type="pct"/>
                  <w:tcBorders>
                    <w:tl2br w:val="nil"/>
                    <w:tr2bl w:val="nil"/>
                  </w:tcBorders>
                  <w:noWrap w:val="0"/>
                  <w:vAlign w:val="center"/>
                </w:tcPr>
                <w:p w14:paraId="1F6EDD34">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1</w:t>
                  </w:r>
                </w:p>
              </w:tc>
              <w:tc>
                <w:tcPr>
                  <w:tcW w:w="513" w:type="pct"/>
                  <w:tcBorders>
                    <w:tl2br w:val="nil"/>
                    <w:tr2bl w:val="nil"/>
                  </w:tcBorders>
                  <w:noWrap w:val="0"/>
                  <w:vAlign w:val="center"/>
                </w:tcPr>
                <w:p w14:paraId="2F94C8E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80</w:t>
                  </w:r>
                </w:p>
              </w:tc>
              <w:tc>
                <w:tcPr>
                  <w:tcW w:w="295" w:type="pct"/>
                  <w:vMerge w:val="continue"/>
                  <w:tcBorders>
                    <w:tl2br w:val="nil"/>
                    <w:tr2bl w:val="nil"/>
                  </w:tcBorders>
                  <w:noWrap w:val="0"/>
                  <w:vAlign w:val="center"/>
                </w:tcPr>
                <w:p w14:paraId="55E53093">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6DB2C73B">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8.8</w:t>
                  </w:r>
                </w:p>
              </w:tc>
              <w:tc>
                <w:tcPr>
                  <w:tcW w:w="705" w:type="dxa"/>
                  <w:tcBorders>
                    <w:tl2br w:val="nil"/>
                    <w:tr2bl w:val="nil"/>
                  </w:tcBorders>
                  <w:noWrap w:val="0"/>
                  <w:vAlign w:val="center"/>
                </w:tcPr>
                <w:p w14:paraId="3773B60A">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11.1</w:t>
                  </w:r>
                </w:p>
              </w:tc>
              <w:tc>
                <w:tcPr>
                  <w:tcW w:w="217" w:type="pct"/>
                  <w:tcBorders>
                    <w:tl2br w:val="nil"/>
                    <w:tr2bl w:val="nil"/>
                  </w:tcBorders>
                  <w:noWrap w:val="0"/>
                  <w:vAlign w:val="center"/>
                </w:tcPr>
                <w:p w14:paraId="64A9C9C1">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1260" w:type="dxa"/>
                  <w:tcBorders>
                    <w:tl2br w:val="nil"/>
                    <w:tr2bl w:val="nil"/>
                  </w:tcBorders>
                  <w:noWrap w:val="0"/>
                  <w:vAlign w:val="center"/>
                </w:tcPr>
                <w:p w14:paraId="70127437">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13.4</w:t>
                  </w:r>
                </w:p>
              </w:tc>
              <w:tc>
                <w:tcPr>
                  <w:tcW w:w="1590" w:type="dxa"/>
                  <w:tcBorders>
                    <w:tl2br w:val="nil"/>
                    <w:tr2bl w:val="nil"/>
                  </w:tcBorders>
                  <w:noWrap w:val="0"/>
                  <w:vAlign w:val="center"/>
                </w:tcPr>
                <w:p w14:paraId="7C470987">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57.46</w:t>
                  </w:r>
                </w:p>
              </w:tc>
              <w:tc>
                <w:tcPr>
                  <w:tcW w:w="277" w:type="pct"/>
                  <w:vMerge w:val="continue"/>
                  <w:tcBorders>
                    <w:tl2br w:val="nil"/>
                    <w:tr2bl w:val="nil"/>
                  </w:tcBorders>
                  <w:noWrap w:val="0"/>
                  <w:vAlign w:val="center"/>
                </w:tcPr>
                <w:p w14:paraId="5222727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23C5309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38DC27DA">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37.46</w:t>
                  </w:r>
                </w:p>
              </w:tc>
              <w:tc>
                <w:tcPr>
                  <w:tcW w:w="302" w:type="pct"/>
                  <w:tcBorders>
                    <w:tl2br w:val="nil"/>
                    <w:tr2bl w:val="nil"/>
                  </w:tcBorders>
                  <w:noWrap w:val="0"/>
                  <w:vAlign w:val="center"/>
                </w:tcPr>
                <w:p w14:paraId="05488E2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r>
            <w:tr w14:paraId="5F072D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65CFC349">
                  <w:pPr>
                    <w:numPr>
                      <w:ilvl w:val="0"/>
                      <w:numId w:val="13"/>
                    </w:numPr>
                    <w:ind w:left="0" w:leftChars="0" w:firstLine="0" w:firstLineChars="0"/>
                    <w:jc w:val="center"/>
                    <w:rPr>
                      <w:rFonts w:hint="eastAsia" w:ascii="Times New Roman" w:hAnsi="Times New Roman" w:eastAsia="宋体"/>
                      <w:color w:val="auto"/>
                      <w:sz w:val="21"/>
                      <w:szCs w:val="21"/>
                      <w:lang w:val="en-US" w:eastAsia="zh-CN"/>
                    </w:rPr>
                  </w:pPr>
                </w:p>
              </w:tc>
              <w:tc>
                <w:tcPr>
                  <w:tcW w:w="228" w:type="pct"/>
                  <w:vMerge w:val="continue"/>
                  <w:tcBorders>
                    <w:tl2br w:val="nil"/>
                    <w:tr2bl w:val="nil"/>
                  </w:tcBorders>
                  <w:noWrap w:val="0"/>
                  <w:vAlign w:val="center"/>
                </w:tcPr>
                <w:p w14:paraId="74333050">
                  <w:pPr>
                    <w:jc w:val="center"/>
                    <w:rPr>
                      <w:rFonts w:hint="eastAsia" w:ascii="Times New Roman" w:hAnsi="Times New Roman" w:eastAsia="宋体"/>
                      <w:color w:val="auto"/>
                      <w:kern w:val="2"/>
                      <w:sz w:val="21"/>
                      <w:szCs w:val="21"/>
                      <w:lang w:val="en-US" w:eastAsia="zh-CN" w:bidi="ar-SA"/>
                    </w:rPr>
                  </w:pPr>
                </w:p>
              </w:tc>
              <w:tc>
                <w:tcPr>
                  <w:tcW w:w="456" w:type="pct"/>
                  <w:tcBorders>
                    <w:tl2br w:val="nil"/>
                    <w:tr2bl w:val="nil"/>
                  </w:tcBorders>
                  <w:noWrap w:val="0"/>
                  <w:vAlign w:val="center"/>
                </w:tcPr>
                <w:p w14:paraId="1514F4D8">
                  <w:pPr>
                    <w:keepNext w:val="0"/>
                    <w:keepLines w:val="0"/>
                    <w:widowControl/>
                    <w:suppressLineNumbers w:val="0"/>
                    <w:jc w:val="center"/>
                    <w:textAlignment w:val="center"/>
                    <w:rPr>
                      <w:rFonts w:hint="default" w:ascii="Times New Roman" w:hAnsi="Times New Roman" w:eastAsia="宋体" w:cs="Arial"/>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铝条折弯机</w:t>
                  </w:r>
                </w:p>
              </w:tc>
              <w:tc>
                <w:tcPr>
                  <w:tcW w:w="222" w:type="pct"/>
                  <w:tcBorders>
                    <w:tl2br w:val="nil"/>
                    <w:tr2bl w:val="nil"/>
                  </w:tcBorders>
                  <w:noWrap w:val="0"/>
                  <w:vAlign w:val="center"/>
                </w:tcPr>
                <w:p w14:paraId="0BA5CA2D">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1</w:t>
                  </w:r>
                </w:p>
              </w:tc>
              <w:tc>
                <w:tcPr>
                  <w:tcW w:w="513" w:type="pct"/>
                  <w:tcBorders>
                    <w:tl2br w:val="nil"/>
                    <w:tr2bl w:val="nil"/>
                  </w:tcBorders>
                  <w:noWrap w:val="0"/>
                  <w:vAlign w:val="center"/>
                </w:tcPr>
                <w:p w14:paraId="5B9030F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75</w:t>
                  </w:r>
                </w:p>
              </w:tc>
              <w:tc>
                <w:tcPr>
                  <w:tcW w:w="295" w:type="pct"/>
                  <w:vMerge w:val="continue"/>
                  <w:tcBorders>
                    <w:tl2br w:val="nil"/>
                    <w:tr2bl w:val="nil"/>
                  </w:tcBorders>
                  <w:noWrap w:val="0"/>
                  <w:vAlign w:val="center"/>
                </w:tcPr>
                <w:p w14:paraId="7F028344">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3EA4218B">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14.2</w:t>
                  </w:r>
                </w:p>
              </w:tc>
              <w:tc>
                <w:tcPr>
                  <w:tcW w:w="705" w:type="dxa"/>
                  <w:tcBorders>
                    <w:tl2br w:val="nil"/>
                    <w:tr2bl w:val="nil"/>
                  </w:tcBorders>
                  <w:noWrap w:val="0"/>
                  <w:vAlign w:val="center"/>
                </w:tcPr>
                <w:p w14:paraId="19731940">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13.5</w:t>
                  </w:r>
                </w:p>
              </w:tc>
              <w:tc>
                <w:tcPr>
                  <w:tcW w:w="217" w:type="pct"/>
                  <w:tcBorders>
                    <w:tl2br w:val="nil"/>
                    <w:tr2bl w:val="nil"/>
                  </w:tcBorders>
                  <w:noWrap w:val="0"/>
                  <w:vAlign w:val="center"/>
                </w:tcPr>
                <w:p w14:paraId="0415869D">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260" w:type="dxa"/>
                  <w:tcBorders>
                    <w:tl2br w:val="nil"/>
                    <w:tr2bl w:val="nil"/>
                  </w:tcBorders>
                  <w:noWrap w:val="0"/>
                  <w:vAlign w:val="center"/>
                </w:tcPr>
                <w:p w14:paraId="0F5E9B89">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11.5</w:t>
                  </w:r>
                </w:p>
              </w:tc>
              <w:tc>
                <w:tcPr>
                  <w:tcW w:w="1590" w:type="dxa"/>
                  <w:tcBorders>
                    <w:tl2br w:val="nil"/>
                    <w:tr2bl w:val="nil"/>
                  </w:tcBorders>
                  <w:noWrap w:val="0"/>
                  <w:vAlign w:val="center"/>
                </w:tcPr>
                <w:p w14:paraId="6644B1A4">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53.79</w:t>
                  </w:r>
                </w:p>
              </w:tc>
              <w:tc>
                <w:tcPr>
                  <w:tcW w:w="277" w:type="pct"/>
                  <w:vMerge w:val="continue"/>
                  <w:tcBorders>
                    <w:tl2br w:val="nil"/>
                    <w:tr2bl w:val="nil"/>
                  </w:tcBorders>
                  <w:noWrap w:val="0"/>
                  <w:vAlign w:val="center"/>
                </w:tcPr>
                <w:p w14:paraId="58C7817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769F6EA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1268D77A">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33.79</w:t>
                  </w:r>
                </w:p>
              </w:tc>
              <w:tc>
                <w:tcPr>
                  <w:tcW w:w="302" w:type="pct"/>
                  <w:tcBorders>
                    <w:tl2br w:val="nil"/>
                    <w:tr2bl w:val="nil"/>
                  </w:tcBorders>
                  <w:noWrap w:val="0"/>
                  <w:vAlign w:val="center"/>
                </w:tcPr>
                <w:p w14:paraId="0115BAE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r>
            <w:tr w14:paraId="2CF4EF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136BFEE6">
                  <w:pPr>
                    <w:numPr>
                      <w:ilvl w:val="0"/>
                      <w:numId w:val="13"/>
                    </w:numPr>
                    <w:ind w:left="0" w:leftChars="0" w:firstLine="0" w:firstLineChars="0"/>
                    <w:jc w:val="center"/>
                    <w:rPr>
                      <w:rFonts w:hint="eastAsia" w:ascii="Times New Roman" w:hAnsi="Times New Roman" w:eastAsia="宋体"/>
                      <w:color w:val="auto"/>
                      <w:sz w:val="21"/>
                      <w:szCs w:val="21"/>
                      <w:lang w:val="en-US" w:eastAsia="zh-CN"/>
                    </w:rPr>
                  </w:pPr>
                </w:p>
              </w:tc>
              <w:tc>
                <w:tcPr>
                  <w:tcW w:w="228" w:type="pct"/>
                  <w:vMerge w:val="continue"/>
                  <w:tcBorders>
                    <w:tl2br w:val="nil"/>
                    <w:tr2bl w:val="nil"/>
                  </w:tcBorders>
                  <w:noWrap w:val="0"/>
                  <w:vAlign w:val="center"/>
                </w:tcPr>
                <w:p w14:paraId="0F530133">
                  <w:pPr>
                    <w:jc w:val="center"/>
                    <w:rPr>
                      <w:rFonts w:hint="eastAsia" w:ascii="Times New Roman" w:hAnsi="Times New Roman" w:eastAsia="宋体"/>
                      <w:color w:val="auto"/>
                      <w:kern w:val="2"/>
                      <w:sz w:val="21"/>
                      <w:szCs w:val="21"/>
                      <w:lang w:val="en-US" w:eastAsia="zh-CN" w:bidi="ar-SA"/>
                    </w:rPr>
                  </w:pPr>
                </w:p>
              </w:tc>
              <w:tc>
                <w:tcPr>
                  <w:tcW w:w="456" w:type="pct"/>
                  <w:tcBorders>
                    <w:tl2br w:val="nil"/>
                    <w:tr2bl w:val="nil"/>
                  </w:tcBorders>
                  <w:noWrap w:val="0"/>
                  <w:vAlign w:val="center"/>
                </w:tcPr>
                <w:p w14:paraId="36D232FC">
                  <w:pPr>
                    <w:keepNext w:val="0"/>
                    <w:keepLines w:val="0"/>
                    <w:widowControl/>
                    <w:suppressLineNumbers w:val="0"/>
                    <w:jc w:val="center"/>
                    <w:textAlignment w:val="center"/>
                    <w:rPr>
                      <w:rFonts w:hint="default" w:ascii="Times New Roman" w:hAnsi="Times New Roman" w:eastAsia="宋体" w:cs="Arial"/>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合片台</w:t>
                  </w:r>
                </w:p>
              </w:tc>
              <w:tc>
                <w:tcPr>
                  <w:tcW w:w="222" w:type="pct"/>
                  <w:tcBorders>
                    <w:tl2br w:val="nil"/>
                    <w:tr2bl w:val="nil"/>
                  </w:tcBorders>
                  <w:noWrap w:val="0"/>
                  <w:vAlign w:val="center"/>
                </w:tcPr>
                <w:p w14:paraId="0F25ADE8">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2</w:t>
                  </w:r>
                </w:p>
              </w:tc>
              <w:tc>
                <w:tcPr>
                  <w:tcW w:w="513" w:type="pct"/>
                  <w:tcBorders>
                    <w:tl2br w:val="nil"/>
                    <w:tr2bl w:val="nil"/>
                  </w:tcBorders>
                  <w:noWrap w:val="0"/>
                  <w:vAlign w:val="center"/>
                </w:tcPr>
                <w:p w14:paraId="51237FA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75</w:t>
                  </w:r>
                </w:p>
              </w:tc>
              <w:tc>
                <w:tcPr>
                  <w:tcW w:w="295" w:type="pct"/>
                  <w:vMerge w:val="continue"/>
                  <w:tcBorders>
                    <w:tl2br w:val="nil"/>
                    <w:tr2bl w:val="nil"/>
                  </w:tcBorders>
                  <w:noWrap w:val="0"/>
                  <w:vAlign w:val="center"/>
                </w:tcPr>
                <w:p w14:paraId="09C0CB87">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1560DD2F">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-24.3</w:t>
                  </w:r>
                </w:p>
              </w:tc>
              <w:tc>
                <w:tcPr>
                  <w:tcW w:w="705" w:type="dxa"/>
                  <w:tcBorders>
                    <w:tl2br w:val="nil"/>
                    <w:tr2bl w:val="nil"/>
                  </w:tcBorders>
                  <w:noWrap w:val="0"/>
                  <w:vAlign w:val="center"/>
                </w:tcPr>
                <w:p w14:paraId="5ECE10C0">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-10.5</w:t>
                  </w:r>
                </w:p>
              </w:tc>
              <w:tc>
                <w:tcPr>
                  <w:tcW w:w="217" w:type="pct"/>
                  <w:tcBorders>
                    <w:tl2br w:val="nil"/>
                    <w:tr2bl w:val="nil"/>
                  </w:tcBorders>
                  <w:noWrap w:val="0"/>
                  <w:vAlign w:val="center"/>
                </w:tcPr>
                <w:p w14:paraId="639D3109">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260" w:type="dxa"/>
                  <w:tcBorders>
                    <w:tl2br w:val="nil"/>
                    <w:tr2bl w:val="nil"/>
                  </w:tcBorders>
                  <w:noWrap w:val="0"/>
                  <w:vAlign w:val="center"/>
                </w:tcPr>
                <w:p w14:paraId="39172510">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35.5</w:t>
                  </w:r>
                </w:p>
              </w:tc>
              <w:tc>
                <w:tcPr>
                  <w:tcW w:w="1590" w:type="dxa"/>
                  <w:tcBorders>
                    <w:tl2br w:val="nil"/>
                    <w:tr2bl w:val="nil"/>
                  </w:tcBorders>
                  <w:noWrap w:val="0"/>
                  <w:vAlign w:val="center"/>
                </w:tcPr>
                <w:p w14:paraId="27EE2FF4">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47.01</w:t>
                  </w:r>
                </w:p>
              </w:tc>
              <w:tc>
                <w:tcPr>
                  <w:tcW w:w="277" w:type="pct"/>
                  <w:vMerge w:val="continue"/>
                  <w:tcBorders>
                    <w:tl2br w:val="nil"/>
                    <w:tr2bl w:val="nil"/>
                  </w:tcBorders>
                  <w:noWrap w:val="0"/>
                  <w:vAlign w:val="center"/>
                </w:tcPr>
                <w:p w14:paraId="535F791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1D9A249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4ECCA21E">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27.01</w:t>
                  </w:r>
                </w:p>
              </w:tc>
              <w:tc>
                <w:tcPr>
                  <w:tcW w:w="875" w:type="dxa"/>
                  <w:tcBorders>
                    <w:tl2br w:val="nil"/>
                    <w:tr2bl w:val="nil"/>
                  </w:tcBorders>
                  <w:noWrap w:val="0"/>
                  <w:vAlign w:val="center"/>
                </w:tcPr>
                <w:p w14:paraId="66B124E1">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78CBDD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5B8453C3">
                  <w:pPr>
                    <w:numPr>
                      <w:ilvl w:val="0"/>
                      <w:numId w:val="13"/>
                    </w:numPr>
                    <w:ind w:left="0" w:leftChars="0" w:firstLine="0" w:firstLineChars="0"/>
                    <w:jc w:val="center"/>
                    <w:rPr>
                      <w:rFonts w:hint="eastAsia" w:ascii="Times New Roman" w:hAnsi="Times New Roman" w:eastAsia="宋体"/>
                      <w:color w:val="auto"/>
                      <w:sz w:val="21"/>
                      <w:szCs w:val="21"/>
                      <w:lang w:val="en-US" w:eastAsia="zh-CN"/>
                    </w:rPr>
                  </w:pPr>
                </w:p>
              </w:tc>
              <w:tc>
                <w:tcPr>
                  <w:tcW w:w="228" w:type="pct"/>
                  <w:vMerge w:val="continue"/>
                  <w:tcBorders>
                    <w:tl2br w:val="nil"/>
                    <w:tr2bl w:val="nil"/>
                  </w:tcBorders>
                  <w:noWrap w:val="0"/>
                  <w:vAlign w:val="center"/>
                </w:tcPr>
                <w:p w14:paraId="7506666A">
                  <w:pPr>
                    <w:jc w:val="center"/>
                    <w:rPr>
                      <w:rFonts w:hint="eastAsia" w:ascii="Times New Roman" w:hAnsi="Times New Roman" w:eastAsia="宋体"/>
                      <w:color w:val="auto"/>
                      <w:kern w:val="2"/>
                      <w:sz w:val="21"/>
                      <w:szCs w:val="21"/>
                      <w:lang w:val="en-US" w:eastAsia="zh-CN" w:bidi="ar-SA"/>
                    </w:rPr>
                  </w:pPr>
                </w:p>
              </w:tc>
              <w:tc>
                <w:tcPr>
                  <w:tcW w:w="456" w:type="pct"/>
                  <w:tcBorders>
                    <w:tl2br w:val="nil"/>
                    <w:tr2bl w:val="nil"/>
                  </w:tcBorders>
                  <w:noWrap w:val="0"/>
                  <w:vAlign w:val="center"/>
                </w:tcPr>
                <w:p w14:paraId="1B0EA254">
                  <w:pPr>
                    <w:keepNext w:val="0"/>
                    <w:keepLines w:val="0"/>
                    <w:widowControl/>
                    <w:suppressLineNumbers w:val="0"/>
                    <w:jc w:val="center"/>
                    <w:textAlignment w:val="center"/>
                    <w:rPr>
                      <w:rFonts w:hint="default" w:ascii="Times New Roman" w:hAnsi="Times New Roman" w:eastAsia="宋体" w:cs="Arial"/>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压片台</w:t>
                  </w:r>
                </w:p>
              </w:tc>
              <w:tc>
                <w:tcPr>
                  <w:tcW w:w="222" w:type="pct"/>
                  <w:tcBorders>
                    <w:tl2br w:val="nil"/>
                    <w:tr2bl w:val="nil"/>
                  </w:tcBorders>
                  <w:noWrap w:val="0"/>
                  <w:vAlign w:val="center"/>
                </w:tcPr>
                <w:p w14:paraId="6221B479">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2</w:t>
                  </w:r>
                </w:p>
              </w:tc>
              <w:tc>
                <w:tcPr>
                  <w:tcW w:w="513" w:type="pct"/>
                  <w:tcBorders>
                    <w:tl2br w:val="nil"/>
                    <w:tr2bl w:val="nil"/>
                  </w:tcBorders>
                  <w:noWrap w:val="0"/>
                  <w:vAlign w:val="center"/>
                </w:tcPr>
                <w:p w14:paraId="0AF7B93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75</w:t>
                  </w:r>
                </w:p>
              </w:tc>
              <w:tc>
                <w:tcPr>
                  <w:tcW w:w="295" w:type="pct"/>
                  <w:vMerge w:val="continue"/>
                  <w:tcBorders>
                    <w:tl2br w:val="nil"/>
                    <w:tr2bl w:val="nil"/>
                  </w:tcBorders>
                  <w:noWrap w:val="0"/>
                  <w:vAlign w:val="center"/>
                </w:tcPr>
                <w:p w14:paraId="33A95279">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33B882B1">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-15.3</w:t>
                  </w:r>
                </w:p>
              </w:tc>
              <w:tc>
                <w:tcPr>
                  <w:tcW w:w="705" w:type="dxa"/>
                  <w:tcBorders>
                    <w:tl2br w:val="nil"/>
                    <w:tr2bl w:val="nil"/>
                  </w:tcBorders>
                  <w:noWrap w:val="0"/>
                  <w:vAlign w:val="center"/>
                </w:tcPr>
                <w:p w14:paraId="14B3BAE8">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-11.1</w:t>
                  </w:r>
                </w:p>
              </w:tc>
              <w:tc>
                <w:tcPr>
                  <w:tcW w:w="217" w:type="pct"/>
                  <w:tcBorders>
                    <w:tl2br w:val="nil"/>
                    <w:tr2bl w:val="nil"/>
                  </w:tcBorders>
                  <w:noWrap w:val="0"/>
                  <w:vAlign w:val="center"/>
                </w:tcPr>
                <w:p w14:paraId="24E2351B">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1260" w:type="dxa"/>
                  <w:tcBorders>
                    <w:tl2br w:val="nil"/>
                    <w:tr2bl w:val="nil"/>
                  </w:tcBorders>
                  <w:noWrap w:val="0"/>
                  <w:vAlign w:val="center"/>
                </w:tcPr>
                <w:p w14:paraId="3CEA336B">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36.1</w:t>
                  </w:r>
                </w:p>
              </w:tc>
              <w:tc>
                <w:tcPr>
                  <w:tcW w:w="1590" w:type="dxa"/>
                  <w:tcBorders>
                    <w:tl2br w:val="nil"/>
                    <w:tr2bl w:val="nil"/>
                  </w:tcBorders>
                  <w:noWrap w:val="0"/>
                  <w:vAlign w:val="center"/>
                </w:tcPr>
                <w:p w14:paraId="62FF81FD">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46.86</w:t>
                  </w:r>
                </w:p>
              </w:tc>
              <w:tc>
                <w:tcPr>
                  <w:tcW w:w="277" w:type="pct"/>
                  <w:vMerge w:val="continue"/>
                  <w:tcBorders>
                    <w:tl2br w:val="nil"/>
                    <w:tr2bl w:val="nil"/>
                  </w:tcBorders>
                  <w:noWrap w:val="0"/>
                  <w:vAlign w:val="center"/>
                </w:tcPr>
                <w:p w14:paraId="22BC00F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0BCC568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3B91C7B1">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26.86</w:t>
                  </w:r>
                </w:p>
              </w:tc>
              <w:tc>
                <w:tcPr>
                  <w:tcW w:w="875" w:type="dxa"/>
                  <w:tcBorders>
                    <w:tl2br w:val="nil"/>
                    <w:tr2bl w:val="nil"/>
                  </w:tcBorders>
                  <w:noWrap w:val="0"/>
                  <w:vAlign w:val="center"/>
                </w:tcPr>
                <w:p w14:paraId="37C8993D">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2BD7C6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114AF80A">
                  <w:pPr>
                    <w:numPr>
                      <w:ilvl w:val="0"/>
                      <w:numId w:val="13"/>
                    </w:numPr>
                    <w:ind w:left="0" w:leftChars="0" w:firstLine="0" w:firstLineChars="0"/>
                    <w:jc w:val="center"/>
                    <w:rPr>
                      <w:rFonts w:hint="eastAsia" w:ascii="Times New Roman" w:hAnsi="Times New Roman" w:eastAsia="宋体"/>
                      <w:color w:val="auto"/>
                      <w:sz w:val="21"/>
                      <w:szCs w:val="21"/>
                      <w:lang w:val="en-US" w:eastAsia="zh-CN"/>
                    </w:rPr>
                  </w:pPr>
                </w:p>
              </w:tc>
              <w:tc>
                <w:tcPr>
                  <w:tcW w:w="228" w:type="pct"/>
                  <w:vMerge w:val="continue"/>
                  <w:tcBorders>
                    <w:tl2br w:val="nil"/>
                    <w:tr2bl w:val="nil"/>
                  </w:tcBorders>
                  <w:noWrap w:val="0"/>
                  <w:vAlign w:val="center"/>
                </w:tcPr>
                <w:p w14:paraId="51E47691">
                  <w:pPr>
                    <w:jc w:val="center"/>
                    <w:rPr>
                      <w:rFonts w:hint="eastAsia" w:ascii="Times New Roman" w:hAnsi="Times New Roman" w:eastAsia="宋体"/>
                      <w:color w:val="auto"/>
                      <w:kern w:val="2"/>
                      <w:sz w:val="21"/>
                      <w:szCs w:val="21"/>
                      <w:lang w:val="en-US" w:eastAsia="zh-CN" w:bidi="ar-SA"/>
                    </w:rPr>
                  </w:pPr>
                </w:p>
              </w:tc>
              <w:tc>
                <w:tcPr>
                  <w:tcW w:w="456" w:type="pct"/>
                  <w:tcBorders>
                    <w:tl2br w:val="nil"/>
                    <w:tr2bl w:val="nil"/>
                  </w:tcBorders>
                  <w:noWrap w:val="0"/>
                  <w:vAlign w:val="center"/>
                </w:tcPr>
                <w:p w14:paraId="2BA65493">
                  <w:pPr>
                    <w:keepNext w:val="0"/>
                    <w:keepLines w:val="0"/>
                    <w:widowControl/>
                    <w:suppressLineNumbers w:val="0"/>
                    <w:jc w:val="center"/>
                    <w:textAlignment w:val="center"/>
                    <w:rPr>
                      <w:rFonts w:hint="default" w:ascii="Times New Roman" w:hAnsi="Times New Roman" w:eastAsia="宋体" w:cs="Arial"/>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打胶机</w:t>
                  </w:r>
                </w:p>
              </w:tc>
              <w:tc>
                <w:tcPr>
                  <w:tcW w:w="222" w:type="pct"/>
                  <w:tcBorders>
                    <w:tl2br w:val="nil"/>
                    <w:tr2bl w:val="nil"/>
                  </w:tcBorders>
                  <w:noWrap w:val="0"/>
                  <w:vAlign w:val="center"/>
                </w:tcPr>
                <w:p w14:paraId="54F3A3A4">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2</w:t>
                  </w:r>
                </w:p>
              </w:tc>
              <w:tc>
                <w:tcPr>
                  <w:tcW w:w="513" w:type="pct"/>
                  <w:tcBorders>
                    <w:tl2br w:val="nil"/>
                    <w:tr2bl w:val="nil"/>
                  </w:tcBorders>
                  <w:noWrap w:val="0"/>
                  <w:vAlign w:val="center"/>
                </w:tcPr>
                <w:p w14:paraId="2C43482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75</w:t>
                  </w:r>
                </w:p>
              </w:tc>
              <w:tc>
                <w:tcPr>
                  <w:tcW w:w="295" w:type="pct"/>
                  <w:vMerge w:val="continue"/>
                  <w:tcBorders>
                    <w:tl2br w:val="nil"/>
                    <w:tr2bl w:val="nil"/>
                  </w:tcBorders>
                  <w:noWrap w:val="0"/>
                  <w:vAlign w:val="center"/>
                </w:tcPr>
                <w:p w14:paraId="41DFB147">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6EC00517">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-7.5</w:t>
                  </w:r>
                </w:p>
              </w:tc>
              <w:tc>
                <w:tcPr>
                  <w:tcW w:w="705" w:type="dxa"/>
                  <w:tcBorders>
                    <w:tl2br w:val="nil"/>
                    <w:tr2bl w:val="nil"/>
                  </w:tcBorders>
                  <w:noWrap w:val="0"/>
                  <w:vAlign w:val="center"/>
                </w:tcPr>
                <w:p w14:paraId="1FED9589">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-11.8</w:t>
                  </w:r>
                </w:p>
              </w:tc>
              <w:tc>
                <w:tcPr>
                  <w:tcW w:w="217" w:type="pct"/>
                  <w:tcBorders>
                    <w:tl2br w:val="nil"/>
                    <w:tr2bl w:val="nil"/>
                  </w:tcBorders>
                  <w:noWrap w:val="0"/>
                  <w:vAlign w:val="center"/>
                </w:tcPr>
                <w:p w14:paraId="79FD6B97">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260" w:type="dxa"/>
                  <w:tcBorders>
                    <w:tl2br w:val="nil"/>
                    <w:tr2bl w:val="nil"/>
                  </w:tcBorders>
                  <w:noWrap w:val="0"/>
                  <w:vAlign w:val="center"/>
                </w:tcPr>
                <w:p w14:paraId="68110953">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36.8</w:t>
                  </w:r>
                </w:p>
              </w:tc>
              <w:tc>
                <w:tcPr>
                  <w:tcW w:w="1590" w:type="dxa"/>
                  <w:tcBorders>
                    <w:tl2br w:val="nil"/>
                    <w:tr2bl w:val="nil"/>
                  </w:tcBorders>
                  <w:noWrap w:val="0"/>
                  <w:vAlign w:val="center"/>
                </w:tcPr>
                <w:p w14:paraId="05A392E3">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46.69</w:t>
                  </w:r>
                </w:p>
              </w:tc>
              <w:tc>
                <w:tcPr>
                  <w:tcW w:w="277" w:type="pct"/>
                  <w:vMerge w:val="continue"/>
                  <w:tcBorders>
                    <w:tl2br w:val="nil"/>
                    <w:tr2bl w:val="nil"/>
                  </w:tcBorders>
                  <w:noWrap w:val="0"/>
                  <w:vAlign w:val="center"/>
                </w:tcPr>
                <w:p w14:paraId="5FB2BFD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0ADFCFA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11ABD844">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26.69</w:t>
                  </w:r>
                </w:p>
              </w:tc>
              <w:tc>
                <w:tcPr>
                  <w:tcW w:w="875" w:type="dxa"/>
                  <w:tcBorders>
                    <w:tl2br w:val="nil"/>
                    <w:tr2bl w:val="nil"/>
                  </w:tcBorders>
                  <w:noWrap w:val="0"/>
                  <w:vAlign w:val="center"/>
                </w:tcPr>
                <w:p w14:paraId="0ADA5C97">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48D127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2930902D">
                  <w:pPr>
                    <w:numPr>
                      <w:ilvl w:val="0"/>
                      <w:numId w:val="13"/>
                    </w:numPr>
                    <w:ind w:left="0" w:leftChars="0" w:firstLine="0" w:firstLineChars="0"/>
                    <w:jc w:val="center"/>
                    <w:rPr>
                      <w:rFonts w:hint="eastAsia" w:ascii="Times New Roman" w:hAnsi="Times New Roman" w:eastAsia="宋体"/>
                      <w:color w:val="auto"/>
                      <w:sz w:val="21"/>
                      <w:szCs w:val="21"/>
                      <w:lang w:val="en-US" w:eastAsia="zh-CN"/>
                    </w:rPr>
                  </w:pPr>
                </w:p>
              </w:tc>
              <w:tc>
                <w:tcPr>
                  <w:tcW w:w="228" w:type="pct"/>
                  <w:vMerge w:val="continue"/>
                  <w:tcBorders>
                    <w:tl2br w:val="nil"/>
                    <w:tr2bl w:val="nil"/>
                  </w:tcBorders>
                  <w:noWrap w:val="0"/>
                  <w:vAlign w:val="center"/>
                </w:tcPr>
                <w:p w14:paraId="6EAE49BF">
                  <w:pPr>
                    <w:jc w:val="center"/>
                    <w:rPr>
                      <w:rFonts w:hint="eastAsia" w:ascii="Times New Roman" w:hAnsi="Times New Roman" w:eastAsia="宋体"/>
                      <w:color w:val="auto"/>
                      <w:kern w:val="2"/>
                      <w:sz w:val="21"/>
                      <w:szCs w:val="21"/>
                      <w:lang w:val="en-US" w:eastAsia="zh-CN" w:bidi="ar-SA"/>
                    </w:rPr>
                  </w:pPr>
                </w:p>
              </w:tc>
              <w:tc>
                <w:tcPr>
                  <w:tcW w:w="456" w:type="pct"/>
                  <w:tcBorders>
                    <w:tl2br w:val="nil"/>
                    <w:tr2bl w:val="nil"/>
                  </w:tcBorders>
                  <w:noWrap w:val="0"/>
                  <w:vAlign w:val="center"/>
                </w:tcPr>
                <w:p w14:paraId="5C768230">
                  <w:pPr>
                    <w:keepNext w:val="0"/>
                    <w:keepLines w:val="0"/>
                    <w:widowControl/>
                    <w:suppressLineNumbers w:val="0"/>
                    <w:jc w:val="center"/>
                    <w:textAlignment w:val="center"/>
                    <w:rPr>
                      <w:rFonts w:hint="default" w:ascii="Times New Roman" w:hAnsi="Times New Roman" w:eastAsia="宋体" w:cs="Arial"/>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辊压机</w:t>
                  </w:r>
                </w:p>
              </w:tc>
              <w:tc>
                <w:tcPr>
                  <w:tcW w:w="222" w:type="pct"/>
                  <w:tcBorders>
                    <w:tl2br w:val="nil"/>
                    <w:tr2bl w:val="nil"/>
                  </w:tcBorders>
                  <w:noWrap w:val="0"/>
                  <w:vAlign w:val="center"/>
                </w:tcPr>
                <w:p w14:paraId="53F92BEB">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1</w:t>
                  </w:r>
                </w:p>
              </w:tc>
              <w:tc>
                <w:tcPr>
                  <w:tcW w:w="513" w:type="pct"/>
                  <w:tcBorders>
                    <w:tl2br w:val="nil"/>
                    <w:tr2bl w:val="nil"/>
                  </w:tcBorders>
                  <w:noWrap w:val="0"/>
                  <w:vAlign w:val="center"/>
                </w:tcPr>
                <w:p w14:paraId="7A2C13A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85</w:t>
                  </w:r>
                </w:p>
              </w:tc>
              <w:tc>
                <w:tcPr>
                  <w:tcW w:w="295" w:type="pct"/>
                  <w:vMerge w:val="continue"/>
                  <w:tcBorders>
                    <w:tl2br w:val="nil"/>
                    <w:tr2bl w:val="nil"/>
                  </w:tcBorders>
                  <w:noWrap w:val="0"/>
                  <w:vAlign w:val="center"/>
                </w:tcPr>
                <w:p w14:paraId="1E08BA2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2AD09724">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2.8</w:t>
                  </w:r>
                </w:p>
              </w:tc>
              <w:tc>
                <w:tcPr>
                  <w:tcW w:w="705" w:type="dxa"/>
                  <w:tcBorders>
                    <w:tl2br w:val="nil"/>
                    <w:tr2bl w:val="nil"/>
                  </w:tcBorders>
                  <w:noWrap w:val="0"/>
                  <w:vAlign w:val="center"/>
                </w:tcPr>
                <w:p w14:paraId="0838751B">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-10.7</w:t>
                  </w:r>
                </w:p>
              </w:tc>
              <w:tc>
                <w:tcPr>
                  <w:tcW w:w="217" w:type="pct"/>
                  <w:tcBorders>
                    <w:tl2br w:val="nil"/>
                    <w:tr2bl w:val="nil"/>
                  </w:tcBorders>
                  <w:noWrap w:val="0"/>
                  <w:vAlign w:val="center"/>
                </w:tcPr>
                <w:p w14:paraId="78D9B079">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260" w:type="dxa"/>
                  <w:tcBorders>
                    <w:tl2br w:val="nil"/>
                    <w:tr2bl w:val="nil"/>
                  </w:tcBorders>
                  <w:noWrap w:val="0"/>
                  <w:vAlign w:val="center"/>
                </w:tcPr>
                <w:p w14:paraId="74CE72FF">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35.7</w:t>
                  </w:r>
                </w:p>
              </w:tc>
              <w:tc>
                <w:tcPr>
                  <w:tcW w:w="1590" w:type="dxa"/>
                  <w:tcBorders>
                    <w:tl2br w:val="nil"/>
                    <w:tr2bl w:val="nil"/>
                  </w:tcBorders>
                  <w:noWrap w:val="0"/>
                  <w:vAlign w:val="center"/>
                </w:tcPr>
                <w:p w14:paraId="1E28AD85">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53.95</w:t>
                  </w:r>
                </w:p>
              </w:tc>
              <w:tc>
                <w:tcPr>
                  <w:tcW w:w="277" w:type="pct"/>
                  <w:vMerge w:val="continue"/>
                  <w:tcBorders>
                    <w:tl2br w:val="nil"/>
                    <w:tr2bl w:val="nil"/>
                  </w:tcBorders>
                  <w:noWrap w:val="0"/>
                  <w:vAlign w:val="center"/>
                </w:tcPr>
                <w:p w14:paraId="33A9479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4CA87F7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454BCBA2">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33.95</w:t>
                  </w:r>
                </w:p>
              </w:tc>
              <w:tc>
                <w:tcPr>
                  <w:tcW w:w="875" w:type="dxa"/>
                  <w:tcBorders>
                    <w:tl2br w:val="nil"/>
                    <w:tr2bl w:val="nil"/>
                  </w:tcBorders>
                  <w:noWrap w:val="0"/>
                  <w:vAlign w:val="center"/>
                </w:tcPr>
                <w:p w14:paraId="08951C64">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22B1D0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 w:type="pct"/>
                  <w:tcBorders>
                    <w:tl2br w:val="nil"/>
                    <w:tr2bl w:val="nil"/>
                  </w:tcBorders>
                  <w:noWrap w:val="0"/>
                  <w:vAlign w:val="center"/>
                </w:tcPr>
                <w:p w14:paraId="7FDF4985">
                  <w:pPr>
                    <w:numPr>
                      <w:ilvl w:val="0"/>
                      <w:numId w:val="13"/>
                    </w:numPr>
                    <w:ind w:left="0" w:leftChars="0" w:firstLine="0" w:firstLineChars="0"/>
                    <w:jc w:val="center"/>
                    <w:rPr>
                      <w:rFonts w:hint="eastAsia" w:ascii="Times New Roman" w:hAnsi="Times New Roman" w:eastAsia="宋体"/>
                      <w:color w:val="auto"/>
                      <w:sz w:val="21"/>
                      <w:szCs w:val="21"/>
                      <w:lang w:val="en-US" w:eastAsia="zh-CN"/>
                    </w:rPr>
                  </w:pPr>
                </w:p>
              </w:tc>
              <w:tc>
                <w:tcPr>
                  <w:tcW w:w="228" w:type="pct"/>
                  <w:vMerge w:val="continue"/>
                  <w:tcBorders>
                    <w:tl2br w:val="nil"/>
                    <w:tr2bl w:val="nil"/>
                  </w:tcBorders>
                  <w:noWrap w:val="0"/>
                  <w:vAlign w:val="center"/>
                </w:tcPr>
                <w:p w14:paraId="07BCA76B">
                  <w:pPr>
                    <w:jc w:val="center"/>
                    <w:rPr>
                      <w:rFonts w:hint="eastAsia" w:ascii="Times New Roman" w:hAnsi="Times New Roman" w:eastAsia="宋体"/>
                      <w:color w:val="auto"/>
                      <w:kern w:val="2"/>
                      <w:sz w:val="21"/>
                      <w:szCs w:val="21"/>
                      <w:lang w:val="en-US" w:eastAsia="zh-CN" w:bidi="ar-SA"/>
                    </w:rPr>
                  </w:pPr>
                </w:p>
              </w:tc>
              <w:tc>
                <w:tcPr>
                  <w:tcW w:w="456" w:type="pct"/>
                  <w:tcBorders>
                    <w:tl2br w:val="nil"/>
                    <w:tr2bl w:val="nil"/>
                  </w:tcBorders>
                  <w:noWrap w:val="0"/>
                  <w:vAlign w:val="center"/>
                </w:tcPr>
                <w:p w14:paraId="28DF8334">
                  <w:pPr>
                    <w:keepNext w:val="0"/>
                    <w:keepLines w:val="0"/>
                    <w:widowControl/>
                    <w:suppressLineNumbers w:val="0"/>
                    <w:jc w:val="center"/>
                    <w:textAlignment w:val="center"/>
                    <w:rPr>
                      <w:rFonts w:hint="default" w:ascii="Times New Roman" w:hAnsi="Times New Roman" w:eastAsia="宋体" w:cs="Arial"/>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高压釜</w:t>
                  </w:r>
                </w:p>
              </w:tc>
              <w:tc>
                <w:tcPr>
                  <w:tcW w:w="222" w:type="pct"/>
                  <w:tcBorders>
                    <w:tl2br w:val="nil"/>
                    <w:tr2bl w:val="nil"/>
                  </w:tcBorders>
                  <w:noWrap w:val="0"/>
                  <w:vAlign w:val="center"/>
                </w:tcPr>
                <w:p w14:paraId="46B32275">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1"/>
                      <w:szCs w:val="22"/>
                      <w:u w:val="none"/>
                      <w:lang w:val="en-US" w:eastAsia="zh-CN" w:bidi="ar"/>
                    </w:rPr>
                    <w:t>1</w:t>
                  </w:r>
                </w:p>
              </w:tc>
              <w:tc>
                <w:tcPr>
                  <w:tcW w:w="513" w:type="pct"/>
                  <w:tcBorders>
                    <w:tl2br w:val="nil"/>
                    <w:tr2bl w:val="nil"/>
                  </w:tcBorders>
                  <w:noWrap w:val="0"/>
                  <w:vAlign w:val="center"/>
                </w:tcPr>
                <w:p w14:paraId="78C4C35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80</w:t>
                  </w:r>
                </w:p>
              </w:tc>
              <w:tc>
                <w:tcPr>
                  <w:tcW w:w="295" w:type="pct"/>
                  <w:vMerge w:val="continue"/>
                  <w:tcBorders>
                    <w:tl2br w:val="nil"/>
                    <w:tr2bl w:val="nil"/>
                  </w:tcBorders>
                  <w:noWrap w:val="0"/>
                  <w:vAlign w:val="center"/>
                </w:tcPr>
                <w:p w14:paraId="65E92CA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675" w:type="dxa"/>
                  <w:tcBorders>
                    <w:tl2br w:val="nil"/>
                    <w:tr2bl w:val="nil"/>
                  </w:tcBorders>
                  <w:noWrap w:val="0"/>
                  <w:vAlign w:val="center"/>
                </w:tcPr>
                <w:p w14:paraId="64074B49">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10.7</w:t>
                  </w:r>
                </w:p>
              </w:tc>
              <w:tc>
                <w:tcPr>
                  <w:tcW w:w="705" w:type="dxa"/>
                  <w:tcBorders>
                    <w:tl2br w:val="nil"/>
                    <w:tr2bl w:val="nil"/>
                  </w:tcBorders>
                  <w:noWrap w:val="0"/>
                  <w:vAlign w:val="center"/>
                </w:tcPr>
                <w:p w14:paraId="0E135C3F">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-11.8</w:t>
                  </w:r>
                </w:p>
              </w:tc>
              <w:tc>
                <w:tcPr>
                  <w:tcW w:w="217" w:type="pct"/>
                  <w:tcBorders>
                    <w:tl2br w:val="nil"/>
                    <w:tr2bl w:val="nil"/>
                  </w:tcBorders>
                  <w:noWrap w:val="0"/>
                  <w:vAlign w:val="center"/>
                </w:tcPr>
                <w:p w14:paraId="6FF0743A">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1260" w:type="dxa"/>
                  <w:tcBorders>
                    <w:tl2br w:val="nil"/>
                    <w:tr2bl w:val="nil"/>
                  </w:tcBorders>
                  <w:noWrap w:val="0"/>
                  <w:vAlign w:val="center"/>
                </w:tcPr>
                <w:p w14:paraId="032D5C79">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olor w:val="auto"/>
                      <w:lang w:val="en-US" w:eastAsia="zh-CN"/>
                    </w:rPr>
                    <w:t>36.8</w:t>
                  </w:r>
                </w:p>
              </w:tc>
              <w:tc>
                <w:tcPr>
                  <w:tcW w:w="1590" w:type="dxa"/>
                  <w:tcBorders>
                    <w:tl2br w:val="nil"/>
                    <w:tr2bl w:val="nil"/>
                  </w:tcBorders>
                  <w:noWrap w:val="0"/>
                  <w:vAlign w:val="center"/>
                </w:tcPr>
                <w:p w14:paraId="4AAD936F">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48.68</w:t>
                  </w:r>
                </w:p>
              </w:tc>
              <w:tc>
                <w:tcPr>
                  <w:tcW w:w="277" w:type="pct"/>
                  <w:vMerge w:val="continue"/>
                  <w:tcBorders>
                    <w:tl2br w:val="nil"/>
                    <w:tr2bl w:val="nil"/>
                  </w:tcBorders>
                  <w:noWrap w:val="0"/>
                  <w:vAlign w:val="center"/>
                </w:tcPr>
                <w:p w14:paraId="1FB15F3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419" w:type="pct"/>
                  <w:vMerge w:val="continue"/>
                  <w:tcBorders>
                    <w:tl2br w:val="nil"/>
                    <w:tr2bl w:val="nil"/>
                  </w:tcBorders>
                  <w:noWrap w:val="0"/>
                  <w:vAlign w:val="center"/>
                </w:tcPr>
                <w:p w14:paraId="0C04C07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410" w:type="dxa"/>
                  <w:tcBorders>
                    <w:tl2br w:val="nil"/>
                    <w:tr2bl w:val="nil"/>
                  </w:tcBorders>
                  <w:noWrap w:val="0"/>
                  <w:vAlign w:val="center"/>
                </w:tcPr>
                <w:p w14:paraId="085FEA70">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i w:val="0"/>
                      <w:iCs w:val="0"/>
                      <w:color w:val="auto"/>
                      <w:kern w:val="0"/>
                      <w:sz w:val="22"/>
                      <w:szCs w:val="22"/>
                      <w:u w:val="none"/>
                      <w:lang w:val="en-US" w:eastAsia="zh-CN" w:bidi="ar"/>
                    </w:rPr>
                    <w:t>28.68</w:t>
                  </w:r>
                </w:p>
              </w:tc>
              <w:tc>
                <w:tcPr>
                  <w:tcW w:w="875" w:type="dxa"/>
                  <w:tcBorders>
                    <w:tl2br w:val="nil"/>
                    <w:tr2bl w:val="nil"/>
                  </w:tcBorders>
                  <w:noWrap w:val="0"/>
                  <w:vAlign w:val="center"/>
                </w:tcPr>
                <w:p w14:paraId="335A214E">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r>
          </w:tbl>
          <w:p w14:paraId="3CFD2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361" w:firstLineChars="200"/>
              <w:textAlignment w:val="auto"/>
              <w:rPr>
                <w:rFonts w:hint="default"/>
                <w:color w:val="auto"/>
              </w:rPr>
            </w:pPr>
            <w:r>
              <w:rPr>
                <w:rFonts w:hint="eastAsia"/>
                <w:b/>
                <w:bCs w:val="0"/>
                <w:color w:val="auto"/>
                <w:sz w:val="18"/>
                <w:szCs w:val="18"/>
                <w:lang w:val="en-US" w:eastAsia="zh-CN"/>
              </w:rPr>
              <w:t>注：表中坐标以生产厂房中心（119.248561126，33.8082808）为坐标原点，正东向为X轴正方向，正北向为Y轴正方向，上方为Z轴正方向。</w:t>
            </w:r>
          </w:p>
        </w:tc>
      </w:tr>
    </w:tbl>
    <w:p w14:paraId="3A0711DB">
      <w:pPr>
        <w:pStyle w:val="2"/>
        <w:rPr>
          <w:color w:val="auto"/>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22"/>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7B9BB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92" w:hRule="atLeast"/>
          <w:jc w:val="center"/>
        </w:trPr>
        <w:tc>
          <w:tcPr>
            <w:tcW w:w="746" w:type="dxa"/>
            <w:noWrap w:val="0"/>
            <w:tcMar>
              <w:left w:w="28" w:type="dxa"/>
              <w:right w:w="28" w:type="dxa"/>
            </w:tcMar>
            <w:vAlign w:val="center"/>
          </w:tcPr>
          <w:p w14:paraId="0A599CCB">
            <w:pPr>
              <w:pStyle w:val="6"/>
              <w:rPr>
                <w:color w:val="auto"/>
              </w:rPr>
            </w:pPr>
          </w:p>
        </w:tc>
        <w:tc>
          <w:tcPr>
            <w:tcW w:w="8162" w:type="dxa"/>
            <w:noWrap w:val="0"/>
            <w:vAlign w:val="center"/>
          </w:tcPr>
          <w:p w14:paraId="6E6D73A2">
            <w:pPr>
              <w:keepNext w:val="0"/>
              <w:keepLines w:val="0"/>
              <w:suppressLineNumbers w:val="0"/>
              <w:spacing w:before="0" w:beforeAutospacing="0" w:after="0" w:afterAutospacing="0" w:line="500" w:lineRule="exact"/>
              <w:ind w:left="0" w:right="0" w:firstLine="480" w:firstLineChars="200"/>
              <w:rPr>
                <w:rFonts w:hint="eastAsia" w:ascii="宋体" w:hAnsi="宋体" w:cs="FangSong_GB2312-Identity-H"/>
                <w:color w:val="auto"/>
                <w:sz w:val="24"/>
              </w:rPr>
            </w:pPr>
            <w:r>
              <w:rPr>
                <w:rFonts w:hint="eastAsia" w:ascii="宋体" w:hAnsi="宋体" w:cs="FangSong_GB2312-Identity-H"/>
                <w:color w:val="auto"/>
                <w:sz w:val="24"/>
              </w:rPr>
              <w:t>声环境保护具体措施和对策如下：</w:t>
            </w:r>
          </w:p>
          <w:p w14:paraId="4F98BC75">
            <w:pPr>
              <w:keepNext w:val="0"/>
              <w:keepLines w:val="0"/>
              <w:suppressLineNumbers w:val="0"/>
              <w:spacing w:before="0" w:beforeAutospacing="0" w:after="0" w:afterAutospacing="0" w:line="500" w:lineRule="exact"/>
              <w:ind w:left="0" w:right="0" w:firstLine="480" w:firstLineChars="200"/>
              <w:rPr>
                <w:rFonts w:hint="eastAsia" w:ascii="Times New Roman" w:hAnsi="Times New Roman" w:cs="FangSong_GB2312-Identity-H"/>
                <w:color w:val="auto"/>
                <w:sz w:val="24"/>
              </w:rPr>
            </w:pPr>
            <w:r>
              <w:rPr>
                <w:rFonts w:hint="eastAsia" w:ascii="Times New Roman" w:hAnsi="Times New Roman" w:cs="FangSong_GB2312-Identity-H"/>
                <w:color w:val="auto"/>
                <w:sz w:val="24"/>
              </w:rPr>
              <w:t>（1）从声源上降噪</w:t>
            </w:r>
          </w:p>
          <w:p w14:paraId="475E5A97">
            <w:pPr>
              <w:keepNext w:val="0"/>
              <w:keepLines w:val="0"/>
              <w:suppressLineNumbers w:val="0"/>
              <w:spacing w:before="0" w:beforeAutospacing="0" w:after="0" w:afterAutospacing="0" w:line="500" w:lineRule="exact"/>
              <w:ind w:right="0" w:firstLine="480" w:firstLineChars="200"/>
              <w:rPr>
                <w:rFonts w:hint="eastAsia" w:ascii="Times New Roman" w:hAnsi="Times New Roman" w:eastAsia="宋体" w:cs="FangSong_GB2312-Identity-H"/>
                <w:color w:val="auto"/>
                <w:kern w:val="2"/>
                <w:sz w:val="24"/>
                <w:szCs w:val="24"/>
                <w:lang w:val="en-US" w:eastAsia="zh-CN" w:bidi="ar-SA"/>
              </w:rPr>
            </w:pPr>
            <w:r>
              <w:rPr>
                <w:rFonts w:hint="eastAsia" w:ascii="Times New Roman" w:hAnsi="Times New Roman" w:cs="FangSong_GB2312-Identity-H"/>
                <w:color w:val="auto"/>
                <w:sz w:val="24"/>
              </w:rPr>
              <w:t>重视设备选型，选择自动化程度高、噪声低的生产设备。项目</w:t>
            </w:r>
            <w:r>
              <w:rPr>
                <w:rFonts w:hint="eastAsia" w:ascii="Times New Roman" w:hAnsi="Times New Roman" w:cs="FangSong_GB2312-Identity-H"/>
                <w:color w:val="auto"/>
                <w:sz w:val="24"/>
                <w:lang w:val="en-US" w:eastAsia="zh-CN"/>
              </w:rPr>
              <w:t>设</w:t>
            </w:r>
            <w:r>
              <w:rPr>
                <w:rFonts w:hint="eastAsia" w:ascii="Times New Roman" w:hAnsi="Times New Roman" w:cs="FangSong_GB2312-Identity-H"/>
                <w:color w:val="auto"/>
                <w:sz w:val="24"/>
              </w:rPr>
              <w:t>备选用满足国标标准的低噪声、低振动设备；加强</w:t>
            </w:r>
            <w:r>
              <w:rPr>
                <w:rFonts w:hint="eastAsia" w:ascii="Times New Roman" w:hAnsi="Times New Roman" w:eastAsia="宋体" w:cs="FangSong_GB2312-Identity-H"/>
                <w:color w:val="auto"/>
                <w:kern w:val="2"/>
                <w:sz w:val="24"/>
                <w:szCs w:val="24"/>
                <w:lang w:val="en-US" w:eastAsia="zh-CN" w:bidi="ar-SA"/>
              </w:rPr>
              <w:t>设备的维护、检修与润滑，确保设备处于良好的运转状态。从而从声源上降低设备本身的噪声。</w:t>
            </w:r>
          </w:p>
          <w:p w14:paraId="342ADF60">
            <w:pPr>
              <w:keepNext w:val="0"/>
              <w:keepLines w:val="0"/>
              <w:numPr>
                <w:ilvl w:val="0"/>
                <w:numId w:val="0"/>
              </w:numPr>
              <w:suppressLineNumbers w:val="0"/>
              <w:spacing w:before="0" w:beforeAutospacing="0" w:after="0" w:afterAutospacing="0" w:line="500" w:lineRule="exact"/>
              <w:ind w:left="420" w:leftChars="0" w:right="0" w:rightChars="0"/>
              <w:rPr>
                <w:rFonts w:hint="default" w:ascii="Times New Roman" w:hAnsi="Times New Roman" w:eastAsia="宋体" w:cs="FangSong_GB2312-Identity-H"/>
                <w:color w:val="auto"/>
                <w:kern w:val="2"/>
                <w:sz w:val="24"/>
                <w:szCs w:val="24"/>
                <w:lang w:val="en-US" w:eastAsia="zh-CN" w:bidi="ar-SA"/>
              </w:rPr>
            </w:pPr>
            <w:r>
              <w:rPr>
                <w:rFonts w:hint="eastAsia" w:ascii="Times New Roman" w:hAnsi="Times New Roman" w:eastAsia="宋体" w:cs="FangSong_GB2312-Identity-H"/>
                <w:color w:val="auto"/>
                <w:kern w:val="2"/>
                <w:sz w:val="24"/>
                <w:szCs w:val="24"/>
                <w:lang w:val="en-US" w:eastAsia="zh-CN" w:bidi="ar-SA"/>
              </w:rPr>
              <w:t>（2）从传播途径上降噪</w:t>
            </w:r>
          </w:p>
          <w:p w14:paraId="52F2CF97">
            <w:pPr>
              <w:spacing w:line="500" w:lineRule="exact"/>
              <w:ind w:firstLine="480" w:firstLineChars="200"/>
              <w:rPr>
                <w:rFonts w:hint="eastAsia" w:ascii="Times New Roman" w:hAnsi="Times New Roman" w:eastAsia="宋体" w:cs="FangSong_GB2312-Identity-H"/>
                <w:color w:val="auto"/>
                <w:kern w:val="2"/>
                <w:sz w:val="24"/>
                <w:szCs w:val="24"/>
                <w:lang w:val="en-US" w:eastAsia="zh-CN" w:bidi="ar-SA"/>
              </w:rPr>
            </w:pPr>
            <w:r>
              <w:rPr>
                <w:rFonts w:hint="eastAsia" w:ascii="Times New Roman" w:hAnsi="Times New Roman" w:eastAsia="宋体" w:cs="FangSong_GB2312-Identity-H"/>
                <w:color w:val="auto"/>
                <w:kern w:val="2"/>
                <w:sz w:val="24"/>
                <w:szCs w:val="24"/>
                <w:lang w:val="en-US" w:eastAsia="zh-CN" w:bidi="ar-SA"/>
              </w:rPr>
              <w:t>采用“闹静分开”和“合理布局”的设计原则，在平面布置上，尽量将厂房内的高噪声设备尽量布置在厂区中间，远离噪声敏感区域或厂界，将高噪声设备通过距离衰减减轻噪声对周围环境的影响；</w:t>
            </w:r>
          </w:p>
          <w:p w14:paraId="48BB2743">
            <w:pPr>
              <w:spacing w:line="500" w:lineRule="exact"/>
              <w:ind w:firstLine="480" w:firstLineChars="200"/>
              <w:rPr>
                <w:rFonts w:hint="eastAsia" w:ascii="宋体" w:hAnsi="宋体" w:cs="FangSong_GB2312-Identity-H"/>
                <w:color w:val="auto"/>
                <w:sz w:val="24"/>
              </w:rPr>
            </w:pPr>
            <w:r>
              <w:rPr>
                <w:rFonts w:hint="eastAsia" w:ascii="Times New Roman" w:hAnsi="Times New Roman" w:cs="FangSong_GB2312-Identity-H"/>
                <w:color w:val="auto"/>
                <w:sz w:val="24"/>
              </w:rPr>
              <w:t>各生产设备按照规范安装，主要生产设备安装在</w:t>
            </w:r>
            <w:r>
              <w:rPr>
                <w:rFonts w:hint="eastAsia" w:ascii="Times New Roman" w:hAnsi="Times New Roman" w:cs="FangSong_GB2312-Identity-H"/>
                <w:color w:val="auto"/>
                <w:sz w:val="24"/>
                <w:lang w:val="en-US" w:eastAsia="zh-CN"/>
              </w:rPr>
              <w:t>厂房</w:t>
            </w:r>
            <w:r>
              <w:rPr>
                <w:rFonts w:hint="eastAsia" w:ascii="Times New Roman" w:hAnsi="Times New Roman" w:cs="FangSong_GB2312-Identity-H"/>
                <w:color w:val="auto"/>
                <w:sz w:val="24"/>
              </w:rPr>
              <w:t>内，</w:t>
            </w:r>
            <w:r>
              <w:rPr>
                <w:rFonts w:hint="eastAsia" w:ascii="Times New Roman" w:hAnsi="Times New Roman" w:cs="FangSong_GB2312-Identity-H"/>
                <w:color w:val="auto"/>
                <w:sz w:val="24"/>
                <w:lang w:val="en-US" w:eastAsia="zh-CN"/>
              </w:rPr>
              <w:t>厂房</w:t>
            </w:r>
            <w:r>
              <w:rPr>
                <w:rFonts w:hint="eastAsia" w:ascii="Times New Roman" w:hAnsi="Times New Roman" w:cs="FangSong_GB2312-Identity-H"/>
                <w:color w:val="auto"/>
                <w:sz w:val="24"/>
              </w:rPr>
              <w:t>墙壁采用具有较高隔声、吸声功能的建筑材料，通过建筑物封闭隔声降低噪声向外环境的辐射量；并对高噪声设备设置隔声罩、安装消声器、底座采用减震基座等措施，可减轻设备噪声对周围环境的影响。其中，隔音消声设计等方面严格按照《工业企业噪声控制设计规范》</w:t>
            </w:r>
            <w:r>
              <w:rPr>
                <w:rFonts w:hint="default" w:ascii="Times New Roman" w:hAnsi="Times New Roman" w:cs="Times New Roman"/>
                <w:color w:val="auto"/>
                <w:sz w:val="24"/>
              </w:rPr>
              <w:t>（GB/T50087-2013）</w:t>
            </w:r>
            <w:r>
              <w:rPr>
                <w:rFonts w:hint="eastAsia" w:ascii="Times New Roman" w:hAnsi="Times New Roman" w:cs="FangSong_GB2312-Identity-H"/>
                <w:color w:val="auto"/>
                <w:sz w:val="24"/>
              </w:rPr>
              <w:t>的要求进行</w:t>
            </w:r>
            <w:r>
              <w:rPr>
                <w:rFonts w:hint="eastAsia" w:ascii="宋体" w:hAnsi="宋体" w:cs="FangSong_GB2312-Identity-H"/>
                <w:color w:val="auto"/>
                <w:sz w:val="24"/>
              </w:rPr>
              <w:t>。</w:t>
            </w:r>
          </w:p>
          <w:p w14:paraId="4D6C1267">
            <w:pPr>
              <w:spacing w:line="500" w:lineRule="exact"/>
              <w:ind w:firstLine="480" w:firstLineChars="200"/>
              <w:rPr>
                <w:rFonts w:hint="eastAsia" w:ascii="宋体" w:hAnsi="宋体" w:cs="FangSong_GB2312-Identity-H"/>
                <w:color w:val="auto"/>
                <w:sz w:val="24"/>
              </w:rPr>
            </w:pPr>
            <w:r>
              <w:rPr>
                <w:rFonts w:hint="eastAsia" w:ascii="宋体" w:hAnsi="宋体" w:cs="FangSong_GB2312-Identity-H"/>
                <w:color w:val="auto"/>
                <w:sz w:val="24"/>
              </w:rPr>
              <w:t>管道采用隔震避震喉，以减少噪声的传播；合理安排装卸作业，避免噪声设备同时运转。</w:t>
            </w:r>
          </w:p>
          <w:p w14:paraId="7586E33F">
            <w:pPr>
              <w:spacing w:line="500" w:lineRule="exact"/>
              <w:ind w:firstLine="480" w:firstLineChars="200"/>
              <w:rPr>
                <w:rFonts w:hint="eastAsia" w:ascii="Times New Roman" w:hAnsi="Times New Roman" w:cs="FangSong_GB2312-Identity-H"/>
                <w:color w:val="auto"/>
                <w:sz w:val="24"/>
              </w:rPr>
            </w:pPr>
            <w:r>
              <w:rPr>
                <w:rFonts w:hint="eastAsia" w:ascii="Times New Roman" w:hAnsi="Times New Roman" w:cs="FangSong_GB2312-Identity-H"/>
                <w:color w:val="auto"/>
                <w:sz w:val="24"/>
              </w:rPr>
              <w:t>对各类噪声源采取以上降噪措施后，建设项目厂界噪声可达标，能满足环境保护的要求。</w:t>
            </w:r>
          </w:p>
          <w:p w14:paraId="41059A85">
            <w:pPr>
              <w:keepNext w:val="0"/>
              <w:keepLines w:val="0"/>
              <w:numPr>
                <w:ilvl w:val="0"/>
                <w:numId w:val="0"/>
              </w:numPr>
              <w:suppressLineNumbers w:val="0"/>
              <w:adjustRightInd w:val="0"/>
              <w:spacing w:before="0" w:beforeAutospacing="0" w:after="0" w:afterAutospacing="0" w:line="500" w:lineRule="exact"/>
              <w:ind w:left="0" w:leftChars="0" w:right="0" w:rightChars="0" w:firstLine="480" w:firstLineChars="200"/>
              <w:rPr>
                <w:rFonts w:hint="eastAsia" w:ascii="Times New Roman" w:hAnsi="Times New Roman" w:cs="Times New Roman"/>
                <w:b w:val="0"/>
                <w:bCs/>
                <w:color w:val="auto"/>
                <w:sz w:val="24"/>
                <w:lang w:val="en-US" w:eastAsia="zh-CN"/>
              </w:rPr>
            </w:pPr>
            <w:r>
              <w:rPr>
                <w:rFonts w:hint="eastAsia" w:cs="Times New Roman"/>
                <w:b w:val="0"/>
                <w:bCs/>
                <w:color w:val="auto"/>
                <w:kern w:val="2"/>
                <w:sz w:val="24"/>
                <w:szCs w:val="24"/>
                <w:lang w:val="en-US" w:eastAsia="zh-CN" w:bidi="ar-SA"/>
              </w:rPr>
              <w:t>2</w:t>
            </w:r>
            <w:r>
              <w:rPr>
                <w:rFonts w:hint="eastAsia" w:ascii="Times New Roman" w:hAnsi="Times New Roman" w:eastAsia="宋体" w:cs="Times New Roman"/>
                <w:b w:val="0"/>
                <w:bCs/>
                <w:color w:val="auto"/>
                <w:kern w:val="2"/>
                <w:sz w:val="24"/>
                <w:szCs w:val="24"/>
                <w:lang w:val="en-US" w:eastAsia="zh-CN" w:bidi="ar-SA"/>
              </w:rPr>
              <w:t>、</w:t>
            </w:r>
            <w:r>
              <w:rPr>
                <w:rFonts w:hint="eastAsia" w:ascii="Times New Roman" w:hAnsi="Times New Roman" w:cs="Times New Roman"/>
                <w:b w:val="0"/>
                <w:bCs/>
                <w:color w:val="auto"/>
                <w:sz w:val="24"/>
                <w:lang w:val="en-US" w:eastAsia="zh-CN"/>
              </w:rPr>
              <w:t>噪声预测</w:t>
            </w:r>
          </w:p>
          <w:p w14:paraId="705704CF">
            <w:pPr>
              <w:keepNext w:val="0"/>
              <w:keepLines w:val="0"/>
              <w:numPr>
                <w:ilvl w:val="0"/>
                <w:numId w:val="0"/>
              </w:numPr>
              <w:suppressLineNumbers w:val="0"/>
              <w:adjustRightInd w:val="0"/>
              <w:spacing w:before="0" w:beforeAutospacing="0" w:after="0" w:afterAutospacing="0" w:line="500" w:lineRule="exact"/>
              <w:ind w:left="0" w:right="0" w:rightChars="0" w:firstLine="480" w:firstLineChars="200"/>
              <w:rPr>
                <w:rFonts w:hint="default" w:ascii="Times New Roman" w:hAnsi="Times New Roman" w:cs="Times New Roman"/>
                <w:color w:val="auto"/>
                <w:sz w:val="24"/>
              </w:rPr>
            </w:pPr>
            <w:r>
              <w:rPr>
                <w:rFonts w:hint="default" w:ascii="宋体" w:hAnsi="宋体" w:cs="Times New Roman"/>
                <w:color w:val="auto"/>
                <w:sz w:val="24"/>
              </w:rPr>
              <w:t>本</w:t>
            </w:r>
            <w:r>
              <w:rPr>
                <w:rFonts w:hint="default" w:ascii="Times New Roman" w:hAnsi="Times New Roman" w:cs="Times New Roman"/>
                <w:color w:val="auto"/>
                <w:sz w:val="24"/>
              </w:rPr>
              <w:t>项目位于</w:t>
            </w:r>
            <w:r>
              <w:rPr>
                <w:rFonts w:hint="eastAsia" w:ascii="Times New Roman" w:hAnsi="Times New Roman" w:cs="Times New Roman"/>
                <w:color w:val="auto"/>
                <w:sz w:val="24"/>
                <w:lang w:val="en-US" w:eastAsia="zh-CN"/>
              </w:rPr>
              <w:t>涟水县经济开发区</w:t>
            </w:r>
            <w:r>
              <w:rPr>
                <w:rFonts w:hint="eastAsia" w:cs="Times New Roman"/>
                <w:color w:val="auto"/>
                <w:sz w:val="24"/>
                <w:lang w:val="en-US" w:eastAsia="zh-CN"/>
              </w:rPr>
              <w:t>淮浦北路东侧、兴隆路南侧</w:t>
            </w:r>
            <w:r>
              <w:rPr>
                <w:rFonts w:hint="default" w:ascii="Times New Roman" w:hAnsi="Times New Roman" w:cs="Times New Roman"/>
                <w:color w:val="auto"/>
                <w:sz w:val="24"/>
              </w:rPr>
              <w:t>，其声环境功能为</w:t>
            </w:r>
            <w:r>
              <w:rPr>
                <w:rFonts w:hint="eastAsia" w:ascii="Times New Roman" w:hAnsi="Times New Roman" w:cs="Times New Roman"/>
                <w:color w:val="auto"/>
                <w:sz w:val="24"/>
                <w:lang w:val="en-US" w:eastAsia="zh-CN"/>
              </w:rPr>
              <w:t>3</w:t>
            </w:r>
            <w:r>
              <w:rPr>
                <w:rFonts w:hint="default" w:ascii="Times New Roman" w:hAnsi="Times New Roman" w:cs="Times New Roman"/>
                <w:color w:val="auto"/>
                <w:sz w:val="24"/>
              </w:rPr>
              <w:t>类区，本项目夜间生产，营运期项目四周厂界昼</w:t>
            </w:r>
            <w:r>
              <w:rPr>
                <w:rFonts w:hint="eastAsia" w:cs="Times New Roman"/>
                <w:color w:val="auto"/>
                <w:sz w:val="24"/>
                <w:lang w:val="en-US" w:eastAsia="zh-CN"/>
              </w:rPr>
              <w:t>夜</w:t>
            </w:r>
            <w:r>
              <w:rPr>
                <w:rFonts w:hint="default" w:ascii="Times New Roman" w:hAnsi="Times New Roman" w:cs="Times New Roman"/>
                <w:color w:val="auto"/>
                <w:sz w:val="24"/>
              </w:rPr>
              <w:t>间噪声执行《工业企业厂界环境噪声排放标准》（GB12348-2008）中的</w:t>
            </w:r>
            <w:r>
              <w:rPr>
                <w:rFonts w:hint="eastAsia" w:ascii="Times New Roman" w:hAnsi="Times New Roman" w:cs="Times New Roman"/>
                <w:color w:val="auto"/>
                <w:sz w:val="24"/>
                <w:lang w:val="en-US" w:eastAsia="zh-CN"/>
              </w:rPr>
              <w:t>3</w:t>
            </w:r>
            <w:r>
              <w:rPr>
                <w:rFonts w:hint="default" w:ascii="Times New Roman" w:hAnsi="Times New Roman" w:cs="Times New Roman"/>
                <w:color w:val="auto"/>
                <w:sz w:val="24"/>
              </w:rPr>
              <w:t>类标准（昼间≤6</w:t>
            </w:r>
            <w:r>
              <w:rPr>
                <w:rFonts w:hint="eastAsia" w:ascii="Times New Roman" w:hAnsi="Times New Roman" w:cs="Times New Roman"/>
                <w:color w:val="auto"/>
                <w:sz w:val="24"/>
                <w:lang w:val="en-US" w:eastAsia="zh-CN"/>
              </w:rPr>
              <w:t>5</w:t>
            </w:r>
            <w:r>
              <w:rPr>
                <w:rFonts w:hint="default" w:ascii="Times New Roman" w:hAnsi="Times New Roman" w:cs="Times New Roman"/>
                <w:color w:val="auto"/>
                <w:sz w:val="24"/>
              </w:rPr>
              <w:t>dB（A）</w:t>
            </w:r>
            <w:r>
              <w:rPr>
                <w:rFonts w:hint="eastAsia" w:cs="Times New Roman"/>
                <w:color w:val="auto"/>
                <w:sz w:val="24"/>
                <w:lang w:val="en-US" w:eastAsia="zh-CN"/>
              </w:rPr>
              <w:t>夜间≤55dB（A）</w:t>
            </w:r>
            <w:r>
              <w:rPr>
                <w:rFonts w:hint="default" w:ascii="Times New Roman" w:hAnsi="Times New Roman" w:cs="Times New Roman"/>
                <w:color w:val="auto"/>
                <w:sz w:val="24"/>
              </w:rPr>
              <w:t>）。</w:t>
            </w:r>
          </w:p>
          <w:p w14:paraId="37ED281A">
            <w:pPr>
              <w:keepNext w:val="0"/>
              <w:keepLines w:val="0"/>
              <w:suppressLineNumbers w:val="0"/>
              <w:autoSpaceDE w:val="0"/>
              <w:autoSpaceDN w:val="0"/>
              <w:spacing w:before="0" w:beforeAutospacing="0" w:after="0" w:afterAutospacing="0" w:line="500" w:lineRule="exact"/>
              <w:ind w:left="0" w:right="0" w:firstLine="480" w:firstLineChars="200"/>
              <w:rPr>
                <w:rFonts w:hint="default"/>
                <w:color w:val="auto"/>
              </w:rPr>
            </w:pPr>
            <w:r>
              <w:rPr>
                <w:rFonts w:hint="eastAsia" w:ascii="Times New Roman" w:hAnsi="Times New Roman"/>
                <w:color w:val="auto"/>
                <w:sz w:val="24"/>
              </w:rPr>
              <w:t>参照</w:t>
            </w:r>
            <w:r>
              <w:rPr>
                <w:rFonts w:hint="default" w:ascii="Times New Roman" w:hAnsi="Times New Roman"/>
                <w:color w:val="auto"/>
                <w:sz w:val="24"/>
              </w:rPr>
              <w:t>《环境影响评价技术导则声环境》（HJ2.4-20</w:t>
            </w:r>
            <w:r>
              <w:rPr>
                <w:rFonts w:hint="eastAsia" w:ascii="Times New Roman" w:hAnsi="Times New Roman"/>
                <w:color w:val="auto"/>
                <w:sz w:val="24"/>
              </w:rPr>
              <w:t>21</w:t>
            </w:r>
            <w:r>
              <w:rPr>
                <w:rFonts w:hint="default" w:ascii="Times New Roman" w:hAnsi="Times New Roman"/>
                <w:color w:val="auto"/>
                <w:sz w:val="24"/>
              </w:rPr>
              <w:t>），</w:t>
            </w:r>
            <w:r>
              <w:rPr>
                <w:rFonts w:hint="eastAsia" w:ascii="Times New Roman" w:hAnsi="Times New Roman"/>
                <w:color w:val="auto"/>
                <w:kern w:val="0"/>
                <w:sz w:val="24"/>
                <w:lang w:bidi="ar"/>
              </w:rPr>
              <w:t>噪声在传播过程中受到多种因素的干扰，使其产生衰减，根据建设项目噪声源</w:t>
            </w:r>
            <w:r>
              <w:rPr>
                <w:rFonts w:hint="eastAsia"/>
                <w:color w:val="auto"/>
                <w:kern w:val="0"/>
                <w:sz w:val="24"/>
                <w:lang w:bidi="ar"/>
              </w:rPr>
              <w:t>和环境特征，预测过程中考虑了隔声罩等的屏障作用、空气吸收。预测模式采用点声源处于半自由空间的几何发散模式。</w:t>
            </w:r>
          </w:p>
          <w:p w14:paraId="197A5F55">
            <w:pPr>
              <w:keepNext w:val="0"/>
              <w:keepLines w:val="0"/>
              <w:suppressLineNumbers w:val="0"/>
              <w:autoSpaceDE w:val="0"/>
              <w:autoSpaceDN w:val="0"/>
              <w:spacing w:before="0" w:beforeAutospacing="0" w:after="0" w:afterAutospacing="0" w:line="500" w:lineRule="exact"/>
              <w:ind w:left="0" w:right="0"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①</w:t>
            </w:r>
            <w:r>
              <w:rPr>
                <w:rFonts w:hint="eastAsia" w:ascii="Times New Roman" w:hAnsi="Times New Roman" w:eastAsia="宋体" w:cs="Times New Roman"/>
                <w:color w:val="auto"/>
                <w:sz w:val="24"/>
              </w:rPr>
              <w:t>室内声源等效室外声源声功率级计算方法</w:t>
            </w:r>
          </w:p>
          <w:p w14:paraId="3F40751C">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auto"/>
                <w:kern w:val="0"/>
                <w:sz w:val="24"/>
                <w:lang w:bidi="ar"/>
              </w:rPr>
            </w:pPr>
            <w:r>
              <w:rPr>
                <w:rFonts w:hint="eastAsia"/>
                <w:color w:val="auto"/>
                <w:kern w:val="0"/>
                <w:sz w:val="24"/>
                <w:lang w:bidi="ar"/>
              </w:rPr>
              <w:t>设靠近开口处（或窗户）室内、室外某倍频带的声压级或</w:t>
            </w:r>
            <w:r>
              <w:rPr>
                <w:rFonts w:hint="default"/>
                <w:color w:val="auto"/>
                <w:kern w:val="0"/>
                <w:sz w:val="24"/>
                <w:lang w:bidi="ar"/>
              </w:rPr>
              <w:t>A</w:t>
            </w:r>
            <w:r>
              <w:rPr>
                <w:rFonts w:hint="eastAsia"/>
                <w:color w:val="auto"/>
                <w:kern w:val="0"/>
                <w:sz w:val="24"/>
                <w:lang w:bidi="ar"/>
              </w:rPr>
              <w:t>声级分别为</w:t>
            </w:r>
            <w:r>
              <w:rPr>
                <w:rFonts w:hint="default"/>
                <w:color w:val="auto"/>
                <w:kern w:val="0"/>
                <w:sz w:val="24"/>
                <w:lang w:bidi="ar"/>
              </w:rPr>
              <w:t>L</w:t>
            </w:r>
            <w:r>
              <w:rPr>
                <w:rFonts w:hint="default"/>
                <w:color w:val="auto"/>
                <w:kern w:val="0"/>
                <w:sz w:val="24"/>
                <w:vertAlign w:val="subscript"/>
                <w:lang w:bidi="ar"/>
              </w:rPr>
              <w:t>p1</w:t>
            </w:r>
            <w:r>
              <w:rPr>
                <w:rFonts w:hint="eastAsia"/>
                <w:color w:val="auto"/>
                <w:kern w:val="0"/>
                <w:sz w:val="24"/>
                <w:lang w:bidi="ar"/>
              </w:rPr>
              <w:t>和</w:t>
            </w:r>
            <w:r>
              <w:rPr>
                <w:rFonts w:hint="default"/>
                <w:color w:val="auto"/>
                <w:kern w:val="0"/>
                <w:sz w:val="24"/>
                <w:lang w:bidi="ar"/>
              </w:rPr>
              <w:t>L</w:t>
            </w:r>
            <w:r>
              <w:rPr>
                <w:rFonts w:hint="default"/>
                <w:color w:val="auto"/>
                <w:kern w:val="0"/>
                <w:sz w:val="24"/>
                <w:vertAlign w:val="subscript"/>
                <w:lang w:bidi="ar"/>
              </w:rPr>
              <w:t>p2</w:t>
            </w:r>
            <w:r>
              <w:rPr>
                <w:rFonts w:hint="eastAsia"/>
                <w:color w:val="auto"/>
                <w:kern w:val="0"/>
                <w:sz w:val="24"/>
                <w:lang w:bidi="ar"/>
              </w:rPr>
              <w:t>。若声源所在室内声场为近似扩散声场，则室外的倍频带声压级可按式</w:t>
            </w:r>
            <w:r>
              <w:rPr>
                <w:rFonts w:hint="eastAsia" w:ascii="宋体" w:hAnsi="宋体" w:cs="宋体"/>
                <w:color w:val="auto"/>
                <w:kern w:val="0"/>
                <w:sz w:val="24"/>
                <w:lang w:val="en-US" w:eastAsia="zh-CN" w:bidi="ar"/>
              </w:rPr>
              <w:t>①</w:t>
            </w:r>
            <w:r>
              <w:rPr>
                <w:rFonts w:hint="eastAsia"/>
                <w:color w:val="auto"/>
                <w:kern w:val="0"/>
                <w:sz w:val="24"/>
                <w:lang w:bidi="ar"/>
              </w:rPr>
              <w:t>近似求出：</w:t>
            </w:r>
          </w:p>
          <w:p w14:paraId="20A61F3D">
            <w:pPr>
              <w:keepNext w:val="0"/>
              <w:keepLines w:val="0"/>
              <w:widowControl/>
              <w:suppressLineNumbers w:val="0"/>
              <w:autoSpaceDN w:val="0"/>
              <w:adjustRightInd w:val="0"/>
              <w:snapToGrid w:val="0"/>
              <w:spacing w:before="0" w:beforeAutospacing="0" w:after="0" w:afterAutospacing="0" w:line="500" w:lineRule="exact"/>
              <w:ind w:left="0" w:right="0" w:firstLine="480"/>
              <w:jc w:val="center"/>
              <w:rPr>
                <w:rFonts w:hint="default"/>
                <w:color w:val="auto"/>
                <w:sz w:val="24"/>
              </w:rPr>
            </w:pPr>
            <w:r>
              <w:rPr>
                <w:rFonts w:hint="default"/>
                <w:color w:val="auto"/>
                <w:kern w:val="0"/>
                <w:position w:val="-14"/>
                <w:sz w:val="24"/>
                <w:lang w:bidi="ar"/>
              </w:rPr>
              <w:object>
                <v:shape id="_x0000_i1026" o:spt="75" type="#_x0000_t75" style="height:20.25pt;width:99pt;" o:ole="t" filled="f" o:preferrelative="t" stroked="f" coordsize="21600,21600">
                  <v:path/>
                  <v:fill on="f" focussize="0,0"/>
                  <v:stroke on="f"/>
                  <v:imagedata r:id="rId25" o:title=""/>
                  <o:lock v:ext="edit" aspectratio="t"/>
                  <w10:wrap type="none"/>
                  <w10:anchorlock/>
                </v:shape>
                <o:OLEObject Type="Embed" ProgID="Equation.3" ShapeID="_x0000_i1026" DrawAspect="Content" ObjectID="_1468075733" r:id="rId24">
                  <o:LockedField>false</o:LockedField>
                </o:OLEObject>
              </w:object>
            </w:r>
            <w:r>
              <w:rPr>
                <w:rFonts w:hint="eastAsia" w:ascii="宋体" w:hAnsi="宋体" w:cs="宋体"/>
                <w:color w:val="auto"/>
                <w:kern w:val="0"/>
                <w:sz w:val="24"/>
                <w:lang w:val="en-US" w:eastAsia="zh-CN" w:bidi="ar"/>
              </w:rPr>
              <w:t>①</w:t>
            </w:r>
          </w:p>
          <w:p w14:paraId="4EEBD233">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eastAsia" w:eastAsia="宋体"/>
                <w:color w:val="auto"/>
                <w:kern w:val="0"/>
                <w:sz w:val="24"/>
                <w:lang w:eastAsia="zh-CN" w:bidi="ar"/>
              </w:rPr>
            </w:pPr>
            <w:r>
              <w:rPr>
                <w:rFonts w:hint="eastAsia"/>
                <w:color w:val="auto"/>
                <w:kern w:val="0"/>
                <w:sz w:val="24"/>
                <w:lang w:bidi="ar"/>
              </w:rPr>
              <w:t>式中：</w:t>
            </w:r>
            <w:r>
              <w:rPr>
                <w:rFonts w:hint="default"/>
                <w:color w:val="auto"/>
                <w:kern w:val="0"/>
                <w:sz w:val="24"/>
                <w:lang w:bidi="ar"/>
              </w:rPr>
              <w:t>L</w:t>
            </w:r>
            <w:r>
              <w:rPr>
                <w:rFonts w:hint="default"/>
                <w:color w:val="auto"/>
                <w:kern w:val="0"/>
                <w:sz w:val="24"/>
                <w:vertAlign w:val="subscript"/>
                <w:lang w:bidi="ar"/>
              </w:rPr>
              <w:t>p1</w:t>
            </w:r>
            <w:r>
              <w:rPr>
                <w:rFonts w:hint="default"/>
                <w:color w:val="auto"/>
                <w:kern w:val="0"/>
                <w:sz w:val="24"/>
                <w:lang w:bidi="ar"/>
              </w:rPr>
              <w:t>—</w:t>
            </w:r>
            <w:r>
              <w:rPr>
                <w:rFonts w:hint="eastAsia"/>
                <w:color w:val="auto"/>
                <w:kern w:val="0"/>
                <w:sz w:val="24"/>
                <w:lang w:bidi="ar"/>
              </w:rPr>
              <w:t>靠近开口处（或窗户）室内某倍频带的声压级或</w:t>
            </w:r>
            <w:r>
              <w:rPr>
                <w:rFonts w:hint="default"/>
                <w:color w:val="auto"/>
                <w:kern w:val="0"/>
                <w:sz w:val="24"/>
                <w:lang w:bidi="ar"/>
              </w:rPr>
              <w:t>A</w:t>
            </w:r>
            <w:r>
              <w:rPr>
                <w:rFonts w:hint="eastAsia"/>
                <w:color w:val="auto"/>
                <w:kern w:val="0"/>
                <w:sz w:val="24"/>
                <w:lang w:bidi="ar"/>
              </w:rPr>
              <w:t>声级，</w:t>
            </w:r>
            <w:r>
              <w:rPr>
                <w:rFonts w:hint="default"/>
                <w:color w:val="auto"/>
                <w:kern w:val="0"/>
                <w:sz w:val="24"/>
                <w:lang w:bidi="ar"/>
              </w:rPr>
              <w:t>dB</w:t>
            </w:r>
            <w:r>
              <w:rPr>
                <w:rFonts w:hint="eastAsia"/>
                <w:color w:val="auto"/>
                <w:kern w:val="0"/>
                <w:sz w:val="24"/>
                <w:lang w:bidi="ar"/>
              </w:rPr>
              <w:t>；</w:t>
            </w:r>
          </w:p>
          <w:p w14:paraId="22FF35DD">
            <w:pPr>
              <w:keepNext w:val="0"/>
              <w:keepLines w:val="0"/>
              <w:widowControl/>
              <w:suppressLineNumbers w:val="0"/>
              <w:autoSpaceDN w:val="0"/>
              <w:adjustRightInd w:val="0"/>
              <w:snapToGrid w:val="0"/>
              <w:spacing w:before="0" w:beforeAutospacing="0" w:after="0" w:afterAutospacing="0" w:line="500" w:lineRule="exact"/>
              <w:ind w:right="0" w:firstLine="1200" w:firstLineChars="500"/>
              <w:jc w:val="left"/>
              <w:rPr>
                <w:rFonts w:hint="eastAsia" w:eastAsia="宋体"/>
                <w:color w:val="auto"/>
                <w:kern w:val="0"/>
                <w:sz w:val="24"/>
                <w:lang w:eastAsia="zh-CN" w:bidi="ar"/>
              </w:rPr>
            </w:pPr>
            <w:r>
              <w:rPr>
                <w:rFonts w:hint="default"/>
                <w:color w:val="auto"/>
                <w:kern w:val="0"/>
                <w:sz w:val="24"/>
                <w:lang w:bidi="ar"/>
              </w:rPr>
              <w:t>L</w:t>
            </w:r>
            <w:r>
              <w:rPr>
                <w:rFonts w:hint="default"/>
                <w:color w:val="auto"/>
                <w:kern w:val="0"/>
                <w:sz w:val="24"/>
                <w:vertAlign w:val="subscript"/>
                <w:lang w:bidi="ar"/>
              </w:rPr>
              <w:t>p2</w:t>
            </w:r>
            <w:r>
              <w:rPr>
                <w:rFonts w:hint="default"/>
                <w:color w:val="auto"/>
                <w:kern w:val="0"/>
                <w:sz w:val="24"/>
                <w:lang w:bidi="ar"/>
              </w:rPr>
              <w:t>—</w:t>
            </w:r>
            <w:r>
              <w:rPr>
                <w:rFonts w:hint="eastAsia"/>
                <w:color w:val="auto"/>
                <w:kern w:val="0"/>
                <w:sz w:val="24"/>
                <w:lang w:bidi="ar"/>
              </w:rPr>
              <w:t>靠近开口处（或窗户）室外某倍频带的声压级或</w:t>
            </w:r>
            <w:r>
              <w:rPr>
                <w:rFonts w:hint="default"/>
                <w:color w:val="auto"/>
                <w:kern w:val="0"/>
                <w:sz w:val="24"/>
                <w:lang w:bidi="ar"/>
              </w:rPr>
              <w:t>A</w:t>
            </w:r>
            <w:r>
              <w:rPr>
                <w:rFonts w:hint="eastAsia"/>
                <w:color w:val="auto"/>
                <w:kern w:val="0"/>
                <w:sz w:val="24"/>
                <w:lang w:bidi="ar"/>
              </w:rPr>
              <w:t>声级，</w:t>
            </w:r>
            <w:r>
              <w:rPr>
                <w:rFonts w:hint="default"/>
                <w:color w:val="auto"/>
                <w:kern w:val="0"/>
                <w:sz w:val="24"/>
                <w:lang w:bidi="ar"/>
              </w:rPr>
              <w:t>dB</w:t>
            </w:r>
            <w:r>
              <w:rPr>
                <w:rFonts w:hint="eastAsia"/>
                <w:color w:val="auto"/>
                <w:kern w:val="0"/>
                <w:sz w:val="24"/>
                <w:lang w:bidi="ar"/>
              </w:rPr>
              <w:t>；</w:t>
            </w:r>
          </w:p>
          <w:p w14:paraId="720D8377">
            <w:pPr>
              <w:keepNext w:val="0"/>
              <w:keepLines w:val="0"/>
              <w:widowControl/>
              <w:suppressLineNumbers w:val="0"/>
              <w:autoSpaceDN w:val="0"/>
              <w:adjustRightInd w:val="0"/>
              <w:snapToGrid w:val="0"/>
              <w:spacing w:before="0" w:beforeAutospacing="0" w:after="0" w:afterAutospacing="0" w:line="500" w:lineRule="exact"/>
              <w:ind w:right="0" w:firstLine="1200" w:firstLineChars="500"/>
              <w:jc w:val="left"/>
              <w:rPr>
                <w:rFonts w:hint="eastAsia" w:eastAsia="宋体"/>
                <w:color w:val="auto"/>
                <w:kern w:val="0"/>
                <w:sz w:val="24"/>
                <w:lang w:eastAsia="zh-CN" w:bidi="ar"/>
              </w:rPr>
            </w:pPr>
            <w:r>
              <w:rPr>
                <w:rFonts w:hint="default"/>
                <w:color w:val="auto"/>
                <w:kern w:val="0"/>
                <w:sz w:val="24"/>
                <w:lang w:bidi="ar"/>
              </w:rPr>
              <w:t>TL—</w:t>
            </w:r>
            <w:r>
              <w:rPr>
                <w:rFonts w:hint="eastAsia"/>
                <w:color w:val="auto"/>
                <w:kern w:val="0"/>
                <w:sz w:val="24"/>
                <w:lang w:bidi="ar"/>
              </w:rPr>
              <w:t>隔墙（或窗户）倍频带或</w:t>
            </w:r>
            <w:r>
              <w:rPr>
                <w:rFonts w:hint="default"/>
                <w:color w:val="auto"/>
                <w:kern w:val="0"/>
                <w:sz w:val="24"/>
                <w:lang w:bidi="ar"/>
              </w:rPr>
              <w:t>A</w:t>
            </w:r>
            <w:r>
              <w:rPr>
                <w:rFonts w:hint="eastAsia"/>
                <w:color w:val="auto"/>
                <w:kern w:val="0"/>
                <w:sz w:val="24"/>
                <w:lang w:bidi="ar"/>
              </w:rPr>
              <w:t>声级的隔声量，</w:t>
            </w:r>
            <w:r>
              <w:rPr>
                <w:rFonts w:hint="default"/>
                <w:color w:val="auto"/>
                <w:kern w:val="0"/>
                <w:sz w:val="24"/>
                <w:lang w:bidi="ar"/>
              </w:rPr>
              <w:t>dB</w:t>
            </w:r>
            <w:r>
              <w:rPr>
                <w:rFonts w:hint="eastAsia"/>
                <w:color w:val="auto"/>
                <w:kern w:val="0"/>
                <w:sz w:val="24"/>
                <w:lang w:bidi="ar"/>
              </w:rPr>
              <w:t>。</w:t>
            </w:r>
          </w:p>
          <w:p w14:paraId="2F7547F0">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auto"/>
                <w:sz w:val="24"/>
              </w:rPr>
            </w:pPr>
            <w:r>
              <w:rPr>
                <w:rFonts w:hint="eastAsia"/>
                <w:color w:val="auto"/>
                <w:kern w:val="0"/>
                <w:sz w:val="24"/>
                <w:lang w:bidi="ar"/>
              </w:rPr>
              <w:t>也可按式</w:t>
            </w:r>
            <w:r>
              <w:rPr>
                <w:rFonts w:hint="eastAsia" w:ascii="宋体" w:hAnsi="宋体" w:cs="宋体"/>
                <w:color w:val="auto"/>
                <w:kern w:val="0"/>
                <w:sz w:val="24"/>
                <w:lang w:val="en-US" w:eastAsia="zh-CN" w:bidi="ar"/>
              </w:rPr>
              <w:t>②</w:t>
            </w:r>
            <w:r>
              <w:rPr>
                <w:rFonts w:hint="eastAsia"/>
                <w:color w:val="auto"/>
                <w:kern w:val="0"/>
                <w:sz w:val="24"/>
                <w:lang w:bidi="ar"/>
              </w:rPr>
              <w:t>计算某一室内声源靠近围护结构处产生的倍频带声压级或</w:t>
            </w:r>
            <w:r>
              <w:rPr>
                <w:rFonts w:hint="default"/>
                <w:color w:val="auto"/>
                <w:kern w:val="0"/>
                <w:sz w:val="24"/>
                <w:lang w:bidi="ar"/>
              </w:rPr>
              <w:t>A</w:t>
            </w:r>
            <w:r>
              <w:rPr>
                <w:rFonts w:hint="eastAsia"/>
                <w:color w:val="auto"/>
                <w:kern w:val="0"/>
                <w:sz w:val="24"/>
                <w:lang w:bidi="ar"/>
              </w:rPr>
              <w:t>声级：</w:t>
            </w:r>
          </w:p>
          <w:p w14:paraId="22B93030">
            <w:pPr>
              <w:keepNext w:val="0"/>
              <w:keepLines w:val="0"/>
              <w:widowControl/>
              <w:suppressLineNumbers w:val="0"/>
              <w:autoSpaceDN w:val="0"/>
              <w:adjustRightInd w:val="0"/>
              <w:snapToGrid w:val="0"/>
              <w:spacing w:before="0" w:beforeAutospacing="0" w:after="120" w:afterLines="50" w:afterAutospacing="0" w:line="700" w:lineRule="exact"/>
              <w:ind w:left="0" w:right="0"/>
              <w:jc w:val="center"/>
              <w:rPr>
                <w:rFonts w:hint="default"/>
                <w:color w:val="auto"/>
                <w:sz w:val="24"/>
              </w:rPr>
            </w:pPr>
            <w:r>
              <w:rPr>
                <w:rFonts w:hint="default"/>
                <w:color w:val="auto"/>
                <w:kern w:val="0"/>
                <w:position w:val="-24"/>
                <w:sz w:val="24"/>
                <w:lang w:bidi="ar"/>
              </w:rPr>
              <w:object>
                <v:shape id="_x0000_i1027" o:spt="75" type="#_x0000_t75" style="height:32.25pt;width:134.25pt;" o:ole="t" filled="f" o:preferrelative="t" stroked="f" coordsize="21600,21600">
                  <v:path/>
                  <v:fill on="f" focussize="0,0"/>
                  <v:stroke on="f"/>
                  <v:imagedata r:id="rId27" o:title=""/>
                  <o:lock v:ext="edit" aspectratio="t"/>
                  <w10:wrap type="none"/>
                  <w10:anchorlock/>
                </v:shape>
                <o:OLEObject Type="Embed" ProgID="Equation.3" ShapeID="_x0000_i1027" DrawAspect="Content" ObjectID="_1468075734" r:id="rId26">
                  <o:LockedField>false</o:LockedField>
                </o:OLEObject>
              </w:object>
            </w:r>
            <w:r>
              <w:rPr>
                <w:rFonts w:hint="eastAsia" w:ascii="宋体" w:hAnsi="宋体" w:cs="宋体"/>
                <w:color w:val="auto"/>
                <w:kern w:val="0"/>
                <w:sz w:val="24"/>
                <w:lang w:val="en-US" w:eastAsia="zh-CN" w:bidi="ar"/>
              </w:rPr>
              <w:t>②</w:t>
            </w:r>
          </w:p>
          <w:p w14:paraId="7EFC3A4B">
            <w:pPr>
              <w:keepNext w:val="0"/>
              <w:keepLines w:val="0"/>
              <w:widowControl/>
              <w:suppressLineNumbers w:val="0"/>
              <w:autoSpaceDN w:val="0"/>
              <w:spacing w:before="0" w:beforeAutospacing="0" w:after="0" w:afterAutospacing="0" w:line="500" w:lineRule="exact"/>
              <w:ind w:left="0" w:right="0" w:firstLine="480" w:firstLineChars="200"/>
              <w:rPr>
                <w:rFonts w:hint="eastAsia" w:eastAsia="宋体"/>
                <w:color w:val="auto"/>
                <w:kern w:val="0"/>
                <w:sz w:val="24"/>
                <w:lang w:eastAsia="zh-CN" w:bidi="ar"/>
              </w:rPr>
            </w:pPr>
            <w:r>
              <w:rPr>
                <w:rFonts w:hint="eastAsia"/>
                <w:color w:val="auto"/>
                <w:kern w:val="0"/>
                <w:sz w:val="24"/>
                <w:lang w:bidi="ar"/>
              </w:rPr>
              <w:t>式中：</w:t>
            </w:r>
            <w:r>
              <w:rPr>
                <w:rFonts w:hint="default"/>
                <w:color w:val="auto"/>
                <w:kern w:val="0"/>
                <w:sz w:val="24"/>
                <w:lang w:bidi="ar"/>
              </w:rPr>
              <w:t>Q—</w:t>
            </w:r>
            <w:r>
              <w:rPr>
                <w:rFonts w:hint="eastAsia"/>
                <w:color w:val="auto"/>
                <w:kern w:val="0"/>
                <w:sz w:val="24"/>
                <w:lang w:bidi="ar"/>
              </w:rPr>
              <w:t>指向性因数；通常对无指向性声源，当声源放在房间中心时，</w:t>
            </w:r>
            <w:r>
              <w:rPr>
                <w:rFonts w:hint="default"/>
                <w:color w:val="auto"/>
                <w:kern w:val="0"/>
                <w:sz w:val="24"/>
                <w:lang w:bidi="ar"/>
              </w:rPr>
              <w:t>Q=1</w:t>
            </w:r>
            <w:r>
              <w:rPr>
                <w:rFonts w:hint="eastAsia"/>
                <w:color w:val="auto"/>
                <w:kern w:val="0"/>
                <w:sz w:val="24"/>
                <w:lang w:bidi="ar"/>
              </w:rPr>
              <w:t>；当放在一面墙的中心时，</w:t>
            </w:r>
            <w:r>
              <w:rPr>
                <w:rFonts w:hint="default"/>
                <w:color w:val="auto"/>
                <w:kern w:val="0"/>
                <w:sz w:val="24"/>
                <w:lang w:bidi="ar"/>
              </w:rPr>
              <w:t>Q=2</w:t>
            </w:r>
            <w:r>
              <w:rPr>
                <w:rFonts w:hint="eastAsia"/>
                <w:color w:val="auto"/>
                <w:kern w:val="0"/>
                <w:sz w:val="24"/>
                <w:lang w:bidi="ar"/>
              </w:rPr>
              <w:t>；当放在两面墙夹角处时，</w:t>
            </w:r>
            <w:r>
              <w:rPr>
                <w:rFonts w:hint="default"/>
                <w:color w:val="auto"/>
                <w:kern w:val="0"/>
                <w:sz w:val="24"/>
                <w:lang w:bidi="ar"/>
              </w:rPr>
              <w:t>Q=4</w:t>
            </w:r>
            <w:r>
              <w:rPr>
                <w:rFonts w:hint="eastAsia"/>
                <w:color w:val="auto"/>
                <w:kern w:val="0"/>
                <w:sz w:val="24"/>
                <w:lang w:bidi="ar"/>
              </w:rPr>
              <w:t>；当放在三面墙夹角处时，</w:t>
            </w:r>
            <w:r>
              <w:rPr>
                <w:rFonts w:hint="default"/>
                <w:color w:val="auto"/>
                <w:kern w:val="0"/>
                <w:sz w:val="24"/>
                <w:lang w:bidi="ar"/>
              </w:rPr>
              <w:t>Q=8</w:t>
            </w:r>
            <w:r>
              <w:rPr>
                <w:rFonts w:hint="eastAsia"/>
                <w:color w:val="auto"/>
                <w:kern w:val="0"/>
                <w:sz w:val="24"/>
                <w:lang w:bidi="ar"/>
              </w:rPr>
              <w:t>；</w:t>
            </w:r>
          </w:p>
          <w:p w14:paraId="2426861E">
            <w:pPr>
              <w:keepNext w:val="0"/>
              <w:keepLines w:val="0"/>
              <w:widowControl/>
              <w:suppressLineNumbers w:val="0"/>
              <w:autoSpaceDN w:val="0"/>
              <w:spacing w:before="0" w:beforeAutospacing="0" w:after="0" w:afterAutospacing="0" w:line="500" w:lineRule="exact"/>
              <w:ind w:left="0" w:right="0" w:firstLine="1200" w:firstLineChars="500"/>
              <w:rPr>
                <w:rFonts w:hint="eastAsia" w:eastAsia="宋体"/>
                <w:color w:val="auto"/>
                <w:kern w:val="0"/>
                <w:sz w:val="24"/>
                <w:lang w:eastAsia="zh-CN" w:bidi="ar"/>
              </w:rPr>
            </w:pPr>
            <w:r>
              <w:rPr>
                <w:rFonts w:hint="default"/>
                <w:color w:val="auto"/>
                <w:kern w:val="0"/>
                <w:sz w:val="24"/>
                <w:lang w:bidi="ar"/>
              </w:rPr>
              <w:t>R—</w:t>
            </w:r>
            <w:r>
              <w:rPr>
                <w:rFonts w:hint="eastAsia"/>
                <w:color w:val="auto"/>
                <w:kern w:val="0"/>
                <w:sz w:val="24"/>
                <w:lang w:bidi="ar"/>
              </w:rPr>
              <w:t>房间常数；</w:t>
            </w:r>
            <w:r>
              <w:rPr>
                <w:rFonts w:hint="default"/>
                <w:color w:val="auto"/>
                <w:kern w:val="0"/>
                <w:sz w:val="24"/>
                <w:lang w:bidi="ar"/>
              </w:rPr>
              <w:t>R</w:t>
            </w:r>
            <w:r>
              <w:rPr>
                <w:rFonts w:hint="eastAsia"/>
                <w:color w:val="auto"/>
                <w:kern w:val="0"/>
                <w:sz w:val="24"/>
                <w:lang w:bidi="ar"/>
              </w:rPr>
              <w:t>=</w:t>
            </w:r>
            <w:r>
              <w:rPr>
                <w:rFonts w:hint="default"/>
                <w:color w:val="auto"/>
                <w:kern w:val="0"/>
                <w:sz w:val="24"/>
                <w:lang w:bidi="ar"/>
              </w:rPr>
              <w:t>Sα</w:t>
            </w:r>
            <w:r>
              <w:rPr>
                <w:rFonts w:hint="eastAsia" w:ascii="宋体" w:hAnsi="宋体" w:cs="宋体"/>
                <w:color w:val="auto"/>
                <w:kern w:val="0"/>
                <w:sz w:val="24"/>
                <w:lang w:bidi="ar"/>
              </w:rPr>
              <w:t>/</w:t>
            </w:r>
            <w:r>
              <w:rPr>
                <w:rFonts w:hint="eastAsia"/>
                <w:color w:val="auto"/>
                <w:kern w:val="0"/>
                <w:sz w:val="24"/>
                <w:lang w:eastAsia="zh-CN" w:bidi="ar"/>
              </w:rPr>
              <w:t>（</w:t>
            </w:r>
            <w:r>
              <w:rPr>
                <w:rFonts w:hint="default"/>
                <w:color w:val="auto"/>
                <w:kern w:val="0"/>
                <w:sz w:val="24"/>
                <w:lang w:bidi="ar"/>
              </w:rPr>
              <w:t>1</w:t>
            </w:r>
            <w:r>
              <w:rPr>
                <w:rFonts w:hint="eastAsia"/>
                <w:color w:val="auto"/>
                <w:kern w:val="0"/>
                <w:sz w:val="24"/>
                <w:lang w:bidi="ar"/>
              </w:rPr>
              <w:t>-</w:t>
            </w:r>
            <w:r>
              <w:rPr>
                <w:rFonts w:hint="default"/>
                <w:color w:val="auto"/>
                <w:kern w:val="0"/>
                <w:sz w:val="24"/>
                <w:lang w:bidi="ar"/>
              </w:rPr>
              <w:t>α</w:t>
            </w:r>
            <w:r>
              <w:rPr>
                <w:rFonts w:hint="eastAsia"/>
                <w:color w:val="auto"/>
                <w:kern w:val="0"/>
                <w:sz w:val="24"/>
                <w:lang w:eastAsia="zh-CN" w:bidi="ar"/>
              </w:rPr>
              <w:t>）</w:t>
            </w:r>
            <w:r>
              <w:rPr>
                <w:rFonts w:hint="eastAsia"/>
                <w:color w:val="auto"/>
                <w:kern w:val="0"/>
                <w:sz w:val="24"/>
                <w:lang w:bidi="ar"/>
              </w:rPr>
              <w:t>，</w:t>
            </w:r>
            <w:r>
              <w:rPr>
                <w:rFonts w:hint="default"/>
                <w:color w:val="auto"/>
                <w:kern w:val="0"/>
                <w:sz w:val="24"/>
                <w:lang w:bidi="ar"/>
              </w:rPr>
              <w:t>S</w:t>
            </w:r>
            <w:r>
              <w:rPr>
                <w:rFonts w:hint="eastAsia"/>
                <w:color w:val="auto"/>
                <w:kern w:val="0"/>
                <w:sz w:val="24"/>
                <w:lang w:bidi="ar"/>
              </w:rPr>
              <w:t>为房间内表面面积，</w:t>
            </w:r>
            <w:r>
              <w:rPr>
                <w:rFonts w:hint="default"/>
                <w:color w:val="auto"/>
                <w:kern w:val="0"/>
                <w:sz w:val="24"/>
                <w:lang w:bidi="ar"/>
              </w:rPr>
              <w:t>m</w:t>
            </w:r>
            <w:r>
              <w:rPr>
                <w:rFonts w:hint="default"/>
                <w:color w:val="auto"/>
                <w:kern w:val="0"/>
                <w:sz w:val="24"/>
                <w:vertAlign w:val="superscript"/>
                <w:lang w:bidi="ar"/>
              </w:rPr>
              <w:t>2</w:t>
            </w:r>
            <w:r>
              <w:rPr>
                <w:rFonts w:hint="eastAsia"/>
                <w:color w:val="auto"/>
                <w:kern w:val="0"/>
                <w:sz w:val="24"/>
                <w:lang w:bidi="ar"/>
              </w:rPr>
              <w:t>；</w:t>
            </w:r>
            <w:r>
              <w:rPr>
                <w:rFonts w:hint="default"/>
                <w:color w:val="auto"/>
                <w:kern w:val="0"/>
                <w:sz w:val="24"/>
                <w:lang w:bidi="ar"/>
              </w:rPr>
              <w:t>α</w:t>
            </w:r>
            <w:r>
              <w:rPr>
                <w:rFonts w:hint="eastAsia"/>
                <w:color w:val="auto"/>
                <w:kern w:val="0"/>
                <w:sz w:val="24"/>
                <w:lang w:bidi="ar"/>
              </w:rPr>
              <w:t>为平均吸声系数；</w:t>
            </w:r>
          </w:p>
          <w:p w14:paraId="75AC16A5">
            <w:pPr>
              <w:keepNext w:val="0"/>
              <w:keepLines w:val="0"/>
              <w:widowControl/>
              <w:suppressLineNumbers w:val="0"/>
              <w:autoSpaceDN w:val="0"/>
              <w:spacing w:before="0" w:beforeAutospacing="0" w:after="0" w:afterAutospacing="0" w:line="500" w:lineRule="exact"/>
              <w:ind w:left="0" w:right="0" w:firstLine="1200" w:firstLineChars="500"/>
              <w:rPr>
                <w:rFonts w:hint="eastAsia"/>
                <w:color w:val="auto"/>
                <w:kern w:val="0"/>
                <w:sz w:val="24"/>
                <w:lang w:bidi="ar"/>
              </w:rPr>
            </w:pPr>
            <w:r>
              <w:rPr>
                <w:rFonts w:hint="default"/>
                <w:color w:val="auto"/>
                <w:kern w:val="0"/>
                <w:sz w:val="24"/>
                <w:lang w:bidi="ar"/>
              </w:rPr>
              <w:t>r—</w:t>
            </w:r>
            <w:r>
              <w:rPr>
                <w:rFonts w:hint="eastAsia"/>
                <w:color w:val="auto"/>
                <w:kern w:val="0"/>
                <w:sz w:val="24"/>
                <w:lang w:bidi="ar"/>
              </w:rPr>
              <w:t>声源到靠近围护结构某点处的距离，</w:t>
            </w:r>
            <w:r>
              <w:rPr>
                <w:rFonts w:hint="default"/>
                <w:color w:val="auto"/>
                <w:kern w:val="0"/>
                <w:sz w:val="24"/>
                <w:lang w:bidi="ar"/>
              </w:rPr>
              <w:t>m</w:t>
            </w:r>
            <w:r>
              <w:rPr>
                <w:rFonts w:hint="eastAsia"/>
                <w:color w:val="auto"/>
                <w:kern w:val="0"/>
                <w:sz w:val="24"/>
                <w:lang w:bidi="ar"/>
              </w:rPr>
              <w:t>。</w:t>
            </w:r>
          </w:p>
          <w:p w14:paraId="5EC03B00">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auto"/>
                <w:sz w:val="24"/>
              </w:rPr>
            </w:pPr>
            <w:r>
              <w:rPr>
                <w:rFonts w:hint="eastAsia"/>
                <w:color w:val="auto"/>
                <w:kern w:val="0"/>
                <w:sz w:val="24"/>
                <w:lang w:bidi="ar"/>
              </w:rPr>
              <w:t>然后，按公式</w:t>
            </w:r>
            <w:r>
              <w:rPr>
                <w:rFonts w:hint="eastAsia" w:ascii="宋体" w:hAnsi="宋体" w:cs="宋体"/>
                <w:color w:val="auto"/>
                <w:kern w:val="0"/>
                <w:sz w:val="24"/>
                <w:lang w:val="en-US" w:eastAsia="zh-CN" w:bidi="ar"/>
              </w:rPr>
              <w:t>③</w:t>
            </w:r>
            <w:r>
              <w:rPr>
                <w:rFonts w:hint="eastAsia"/>
                <w:color w:val="auto"/>
                <w:kern w:val="0"/>
                <w:sz w:val="24"/>
                <w:lang w:bidi="ar"/>
              </w:rPr>
              <w:t>计算出所有室内声源在围护结构处产生的</w:t>
            </w:r>
            <w:r>
              <w:rPr>
                <w:rFonts w:hint="default"/>
                <w:color w:val="auto"/>
                <w:kern w:val="0"/>
                <w:sz w:val="24"/>
                <w:lang w:bidi="ar"/>
              </w:rPr>
              <w:t>i</w:t>
            </w:r>
            <w:r>
              <w:rPr>
                <w:rFonts w:hint="eastAsia"/>
                <w:color w:val="auto"/>
                <w:kern w:val="0"/>
                <w:sz w:val="24"/>
                <w:lang w:bidi="ar"/>
              </w:rPr>
              <w:t>倍频带叠加声压级：</w:t>
            </w:r>
          </w:p>
          <w:p w14:paraId="43985917">
            <w:pPr>
              <w:keepNext w:val="0"/>
              <w:keepLines w:val="0"/>
              <w:widowControl/>
              <w:suppressLineNumbers w:val="0"/>
              <w:autoSpaceDN w:val="0"/>
              <w:adjustRightInd w:val="0"/>
              <w:snapToGrid w:val="0"/>
              <w:spacing w:before="0" w:beforeAutospacing="0" w:after="240" w:afterLines="100" w:afterAutospacing="0" w:line="500" w:lineRule="exact"/>
              <w:ind w:left="0" w:right="0"/>
              <w:jc w:val="center"/>
              <w:rPr>
                <w:rFonts w:hint="eastAsia" w:eastAsia="宋体"/>
                <w:color w:val="auto"/>
                <w:sz w:val="24"/>
                <w:lang w:eastAsia="zh-CN"/>
              </w:rPr>
            </w:pPr>
            <w:r>
              <w:rPr>
                <w:rFonts w:hint="default"/>
                <w:color w:val="auto"/>
                <w:kern w:val="0"/>
                <w:position w:val="-30"/>
                <w:sz w:val="24"/>
                <w:lang w:bidi="ar"/>
              </w:rPr>
              <w:object>
                <v:shape id="_x0000_i1028" o:spt="75" type="#_x0000_t75" style="height:32.25pt;width:128.25pt;" o:ole="t" filled="f" o:preferrelative="t" stroked="f" coordsize="21600,21600">
                  <v:path/>
                  <v:fill on="f" focussize="0,0"/>
                  <v:stroke on="f"/>
                  <v:imagedata r:id="rId29" o:title=""/>
                  <o:lock v:ext="edit" aspectratio="t"/>
                  <w10:wrap type="none"/>
                  <w10:anchorlock/>
                </v:shape>
                <o:OLEObject Type="Embed" ProgID="Equation.3" ShapeID="_x0000_i1028" DrawAspect="Content" ObjectID="_1468075735" r:id="rId28">
                  <o:LockedField>false</o:LockedField>
                </o:OLEObject>
              </w:object>
            </w:r>
            <w:r>
              <w:rPr>
                <w:rFonts w:hint="eastAsia" w:ascii="宋体" w:hAnsi="宋体" w:cs="宋体"/>
                <w:color w:val="auto"/>
                <w:kern w:val="0"/>
                <w:sz w:val="24"/>
                <w:lang w:val="en-US" w:eastAsia="zh-CN" w:bidi="ar"/>
              </w:rPr>
              <w:t>③</w:t>
            </w:r>
          </w:p>
          <w:p w14:paraId="0AA4AB9B">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auto"/>
                <w:sz w:val="24"/>
              </w:rPr>
            </w:pPr>
            <w:r>
              <w:rPr>
                <w:rFonts w:hint="eastAsia"/>
                <w:color w:val="auto"/>
                <w:kern w:val="0"/>
                <w:sz w:val="24"/>
                <w:lang w:bidi="ar"/>
              </w:rPr>
              <w:t>式中：</w:t>
            </w:r>
            <w:r>
              <w:rPr>
                <w:rFonts w:hint="default"/>
                <w:color w:val="auto"/>
                <w:kern w:val="0"/>
                <w:sz w:val="24"/>
                <w:lang w:bidi="ar"/>
              </w:rPr>
              <w:t>L</w:t>
            </w:r>
            <w:r>
              <w:rPr>
                <w:rFonts w:hint="default"/>
                <w:color w:val="auto"/>
                <w:kern w:val="0"/>
                <w:sz w:val="24"/>
                <w:vertAlign w:val="subscript"/>
                <w:lang w:bidi="ar"/>
              </w:rPr>
              <w:t>P1i</w:t>
            </w:r>
            <w:r>
              <w:rPr>
                <w:rFonts w:hint="eastAsia"/>
                <w:color w:val="auto"/>
                <w:kern w:val="0"/>
                <w:sz w:val="24"/>
                <w:lang w:eastAsia="zh-CN" w:bidi="ar"/>
              </w:rPr>
              <w:t>（</w:t>
            </w:r>
            <w:r>
              <w:rPr>
                <w:rFonts w:hint="default"/>
                <w:color w:val="auto"/>
                <w:kern w:val="0"/>
                <w:sz w:val="24"/>
                <w:lang w:bidi="ar"/>
              </w:rPr>
              <w:t>T</w:t>
            </w:r>
            <w:r>
              <w:rPr>
                <w:rFonts w:hint="eastAsia"/>
                <w:color w:val="auto"/>
                <w:kern w:val="0"/>
                <w:sz w:val="24"/>
                <w:lang w:eastAsia="zh-CN" w:bidi="ar"/>
              </w:rPr>
              <w:t>）</w:t>
            </w:r>
            <w:r>
              <w:rPr>
                <w:rFonts w:hint="default"/>
                <w:color w:val="auto"/>
                <w:kern w:val="0"/>
                <w:sz w:val="24"/>
                <w:lang w:bidi="ar"/>
              </w:rPr>
              <w:t>—</w:t>
            </w:r>
            <w:r>
              <w:rPr>
                <w:rFonts w:hint="eastAsia"/>
                <w:color w:val="auto"/>
                <w:kern w:val="0"/>
                <w:sz w:val="24"/>
                <w:lang w:bidi="ar"/>
              </w:rPr>
              <w:t>靠近围护结构处室内</w:t>
            </w:r>
            <w:r>
              <w:rPr>
                <w:rFonts w:hint="default"/>
                <w:color w:val="auto"/>
                <w:kern w:val="0"/>
                <w:sz w:val="24"/>
                <w:lang w:bidi="ar"/>
              </w:rPr>
              <w:t>N</w:t>
            </w:r>
            <w:r>
              <w:rPr>
                <w:rFonts w:hint="eastAsia"/>
                <w:color w:val="auto"/>
                <w:kern w:val="0"/>
                <w:sz w:val="24"/>
                <w:lang w:bidi="ar"/>
              </w:rPr>
              <w:t>个声源</w:t>
            </w:r>
            <w:r>
              <w:rPr>
                <w:rFonts w:hint="default"/>
                <w:color w:val="auto"/>
                <w:kern w:val="0"/>
                <w:sz w:val="24"/>
                <w:lang w:bidi="ar"/>
              </w:rPr>
              <w:t>i</w:t>
            </w:r>
            <w:r>
              <w:rPr>
                <w:rFonts w:hint="eastAsia"/>
                <w:color w:val="auto"/>
                <w:kern w:val="0"/>
                <w:sz w:val="24"/>
                <w:lang w:bidi="ar"/>
              </w:rPr>
              <w:t>倍频带的叠加声压级，</w:t>
            </w:r>
            <w:r>
              <w:rPr>
                <w:rFonts w:hint="default"/>
                <w:color w:val="auto"/>
                <w:kern w:val="0"/>
                <w:sz w:val="24"/>
                <w:lang w:bidi="ar"/>
              </w:rPr>
              <w:t>dB</w:t>
            </w:r>
            <w:r>
              <w:rPr>
                <w:rFonts w:hint="eastAsia"/>
                <w:color w:val="auto"/>
                <w:kern w:val="0"/>
                <w:sz w:val="24"/>
                <w:lang w:bidi="ar"/>
              </w:rPr>
              <w:t>；</w:t>
            </w:r>
          </w:p>
          <w:p w14:paraId="38567999">
            <w:pPr>
              <w:keepNext w:val="0"/>
              <w:keepLines w:val="0"/>
              <w:widowControl/>
              <w:suppressLineNumbers w:val="0"/>
              <w:autoSpaceDN w:val="0"/>
              <w:adjustRightInd w:val="0"/>
              <w:snapToGrid w:val="0"/>
              <w:spacing w:before="0" w:beforeAutospacing="0" w:after="0" w:afterAutospacing="0" w:line="500" w:lineRule="exact"/>
              <w:ind w:left="0" w:right="0" w:firstLine="1262" w:firstLineChars="526"/>
              <w:jc w:val="left"/>
              <w:rPr>
                <w:rFonts w:hint="default"/>
                <w:color w:val="auto"/>
                <w:sz w:val="24"/>
              </w:rPr>
            </w:pPr>
            <w:r>
              <w:rPr>
                <w:rFonts w:hint="default"/>
                <w:color w:val="auto"/>
                <w:kern w:val="0"/>
                <w:sz w:val="24"/>
                <w:lang w:bidi="ar"/>
              </w:rPr>
              <w:t>L</w:t>
            </w:r>
            <w:r>
              <w:rPr>
                <w:rFonts w:hint="default"/>
                <w:color w:val="auto"/>
                <w:kern w:val="0"/>
                <w:sz w:val="24"/>
                <w:vertAlign w:val="subscript"/>
                <w:lang w:bidi="ar"/>
              </w:rPr>
              <w:t>P1ij</w:t>
            </w:r>
            <w:r>
              <w:rPr>
                <w:rFonts w:hint="default"/>
                <w:color w:val="auto"/>
                <w:kern w:val="0"/>
                <w:sz w:val="24"/>
                <w:lang w:bidi="ar"/>
              </w:rPr>
              <w:t>—</w:t>
            </w:r>
            <w:r>
              <w:rPr>
                <w:rFonts w:hint="eastAsia"/>
                <w:color w:val="auto"/>
                <w:kern w:val="0"/>
                <w:sz w:val="24"/>
                <w:lang w:bidi="ar"/>
              </w:rPr>
              <w:t>室内</w:t>
            </w:r>
            <w:r>
              <w:rPr>
                <w:rFonts w:hint="default"/>
                <w:color w:val="auto"/>
                <w:kern w:val="0"/>
                <w:sz w:val="24"/>
                <w:lang w:bidi="ar"/>
              </w:rPr>
              <w:t>j</w:t>
            </w:r>
            <w:r>
              <w:rPr>
                <w:rFonts w:hint="eastAsia"/>
                <w:color w:val="auto"/>
                <w:kern w:val="0"/>
                <w:sz w:val="24"/>
                <w:lang w:bidi="ar"/>
              </w:rPr>
              <w:t>声源</w:t>
            </w:r>
            <w:r>
              <w:rPr>
                <w:rFonts w:hint="default"/>
                <w:color w:val="auto"/>
                <w:kern w:val="0"/>
                <w:sz w:val="24"/>
                <w:lang w:bidi="ar"/>
              </w:rPr>
              <w:t>i</w:t>
            </w:r>
            <w:r>
              <w:rPr>
                <w:rFonts w:hint="eastAsia"/>
                <w:color w:val="auto"/>
                <w:kern w:val="0"/>
                <w:sz w:val="24"/>
                <w:lang w:bidi="ar"/>
              </w:rPr>
              <w:t>倍频带的声压级，</w:t>
            </w:r>
            <w:r>
              <w:rPr>
                <w:rFonts w:hint="default"/>
                <w:color w:val="auto"/>
                <w:kern w:val="0"/>
                <w:sz w:val="24"/>
                <w:lang w:bidi="ar"/>
              </w:rPr>
              <w:t>dB</w:t>
            </w:r>
            <w:r>
              <w:rPr>
                <w:rFonts w:hint="eastAsia"/>
                <w:color w:val="auto"/>
                <w:kern w:val="0"/>
                <w:sz w:val="24"/>
                <w:lang w:bidi="ar"/>
              </w:rPr>
              <w:t>；</w:t>
            </w:r>
            <w:r>
              <w:rPr>
                <w:rFonts w:hint="default"/>
                <w:color w:val="auto"/>
                <w:kern w:val="0"/>
                <w:sz w:val="24"/>
                <w:lang w:bidi="ar"/>
              </w:rPr>
              <w:t>N—</w:t>
            </w:r>
            <w:r>
              <w:rPr>
                <w:rFonts w:hint="eastAsia"/>
                <w:color w:val="auto"/>
                <w:kern w:val="0"/>
                <w:sz w:val="24"/>
                <w:lang w:bidi="ar"/>
              </w:rPr>
              <w:t>室内声源总数。</w:t>
            </w:r>
          </w:p>
          <w:p w14:paraId="1ED5F714">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auto"/>
                <w:sz w:val="24"/>
              </w:rPr>
            </w:pPr>
            <w:r>
              <w:rPr>
                <w:rFonts w:hint="eastAsia"/>
                <w:color w:val="auto"/>
                <w:kern w:val="0"/>
                <w:sz w:val="24"/>
                <w:lang w:bidi="ar"/>
              </w:rPr>
              <w:t>在室内近似为扩散声场时，按公式</w:t>
            </w:r>
            <w:r>
              <w:rPr>
                <w:rFonts w:hint="eastAsia" w:ascii="宋体" w:hAnsi="宋体" w:cs="宋体"/>
                <w:color w:val="auto"/>
                <w:kern w:val="0"/>
                <w:sz w:val="24"/>
                <w:lang w:val="en-US" w:eastAsia="zh-CN" w:bidi="ar"/>
              </w:rPr>
              <w:t>④</w:t>
            </w:r>
            <w:r>
              <w:rPr>
                <w:rFonts w:hint="eastAsia"/>
                <w:color w:val="auto"/>
                <w:kern w:val="0"/>
                <w:sz w:val="24"/>
                <w:lang w:bidi="ar"/>
              </w:rPr>
              <w:t>计算出靠近室外围护结构处的声压级：</w:t>
            </w:r>
          </w:p>
          <w:p w14:paraId="5651CABC">
            <w:pPr>
              <w:keepNext w:val="0"/>
              <w:keepLines w:val="0"/>
              <w:widowControl/>
              <w:suppressLineNumbers w:val="0"/>
              <w:autoSpaceDN w:val="0"/>
              <w:adjustRightInd w:val="0"/>
              <w:snapToGrid w:val="0"/>
              <w:spacing w:before="0" w:beforeAutospacing="0" w:after="0" w:afterAutospacing="0" w:line="500" w:lineRule="exact"/>
              <w:ind w:left="0" w:right="0"/>
              <w:jc w:val="center"/>
              <w:rPr>
                <w:rFonts w:hint="eastAsia" w:eastAsia="宋体"/>
                <w:color w:val="auto"/>
                <w:sz w:val="24"/>
                <w:lang w:eastAsia="zh-CN"/>
              </w:rPr>
            </w:pPr>
            <w:r>
              <w:rPr>
                <w:rFonts w:hint="default"/>
                <w:color w:val="auto"/>
                <w:kern w:val="0"/>
                <w:position w:val="-12"/>
                <w:sz w:val="24"/>
                <w:lang w:bidi="ar"/>
              </w:rPr>
              <w:object>
                <v:shape id="_x0000_i1029" o:spt="75" type="#_x0000_t75" style="height:17.25pt;width:114.2pt;" o:ole="t" filled="f" o:preferrelative="t" stroked="f" coordsize="21600,21600">
                  <v:path/>
                  <v:fill on="f" focussize="0,0"/>
                  <v:stroke on="f"/>
                  <v:imagedata r:id="rId31" o:title=""/>
                  <o:lock v:ext="edit" aspectratio="t"/>
                  <w10:wrap type="none"/>
                  <w10:anchorlock/>
                </v:shape>
                <o:OLEObject Type="Embed" ProgID="Equation.3" ShapeID="_x0000_i1029" DrawAspect="Content" ObjectID="_1468075736" r:id="rId30">
                  <o:LockedField>false</o:LockedField>
                </o:OLEObject>
              </w:object>
            </w:r>
            <w:r>
              <w:rPr>
                <w:rFonts w:hint="eastAsia" w:ascii="宋体" w:hAnsi="宋体" w:cs="宋体"/>
                <w:color w:val="auto"/>
                <w:kern w:val="0"/>
                <w:sz w:val="24"/>
                <w:lang w:val="en-US" w:eastAsia="zh-CN" w:bidi="ar"/>
              </w:rPr>
              <w:t>④</w:t>
            </w:r>
          </w:p>
          <w:p w14:paraId="645A9ED7">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auto"/>
                <w:sz w:val="24"/>
              </w:rPr>
            </w:pPr>
            <w:r>
              <w:rPr>
                <w:rFonts w:hint="eastAsia"/>
                <w:color w:val="auto"/>
                <w:kern w:val="0"/>
                <w:sz w:val="24"/>
                <w:lang w:bidi="ar"/>
              </w:rPr>
              <w:t>式中：</w:t>
            </w:r>
            <w:r>
              <w:rPr>
                <w:rFonts w:hint="default"/>
                <w:color w:val="auto"/>
                <w:kern w:val="0"/>
                <w:sz w:val="24"/>
                <w:lang w:bidi="ar"/>
              </w:rPr>
              <w:t>L</w:t>
            </w:r>
            <w:r>
              <w:rPr>
                <w:rFonts w:hint="default"/>
                <w:color w:val="auto"/>
                <w:kern w:val="0"/>
                <w:sz w:val="24"/>
                <w:vertAlign w:val="subscript"/>
                <w:lang w:bidi="ar"/>
              </w:rPr>
              <w:t>P2i</w:t>
            </w:r>
            <w:r>
              <w:rPr>
                <w:rFonts w:hint="eastAsia"/>
                <w:color w:val="auto"/>
                <w:kern w:val="0"/>
                <w:sz w:val="24"/>
                <w:lang w:eastAsia="zh-CN" w:bidi="ar"/>
              </w:rPr>
              <w:t>（</w:t>
            </w:r>
            <w:r>
              <w:rPr>
                <w:rFonts w:hint="default"/>
                <w:color w:val="auto"/>
                <w:kern w:val="0"/>
                <w:sz w:val="24"/>
                <w:lang w:bidi="ar"/>
              </w:rPr>
              <w:t>T</w:t>
            </w:r>
            <w:r>
              <w:rPr>
                <w:rFonts w:hint="eastAsia"/>
                <w:color w:val="auto"/>
                <w:kern w:val="0"/>
                <w:sz w:val="24"/>
                <w:lang w:eastAsia="zh-CN" w:bidi="ar"/>
              </w:rPr>
              <w:t>）</w:t>
            </w:r>
            <w:r>
              <w:rPr>
                <w:rFonts w:hint="default"/>
                <w:color w:val="auto"/>
                <w:kern w:val="0"/>
                <w:sz w:val="24"/>
                <w:lang w:bidi="ar"/>
              </w:rPr>
              <w:t>—</w:t>
            </w:r>
            <w:r>
              <w:rPr>
                <w:rFonts w:hint="eastAsia"/>
                <w:color w:val="auto"/>
                <w:kern w:val="0"/>
                <w:sz w:val="24"/>
                <w:lang w:bidi="ar"/>
              </w:rPr>
              <w:t>靠近围护结构处室外</w:t>
            </w:r>
            <w:r>
              <w:rPr>
                <w:rFonts w:hint="default"/>
                <w:color w:val="auto"/>
                <w:kern w:val="0"/>
                <w:sz w:val="24"/>
                <w:lang w:bidi="ar"/>
              </w:rPr>
              <w:t>N</w:t>
            </w:r>
            <w:r>
              <w:rPr>
                <w:rFonts w:hint="eastAsia"/>
                <w:color w:val="auto"/>
                <w:kern w:val="0"/>
                <w:sz w:val="24"/>
                <w:lang w:bidi="ar"/>
              </w:rPr>
              <w:t>个声源</w:t>
            </w:r>
            <w:r>
              <w:rPr>
                <w:rFonts w:hint="default"/>
                <w:color w:val="auto"/>
                <w:kern w:val="0"/>
                <w:sz w:val="24"/>
                <w:lang w:bidi="ar"/>
              </w:rPr>
              <w:t>i</w:t>
            </w:r>
            <w:r>
              <w:rPr>
                <w:rFonts w:hint="eastAsia"/>
                <w:color w:val="auto"/>
                <w:kern w:val="0"/>
                <w:sz w:val="24"/>
                <w:lang w:bidi="ar"/>
              </w:rPr>
              <w:t>倍频带的叠加声压级，</w:t>
            </w:r>
            <w:r>
              <w:rPr>
                <w:rFonts w:hint="default"/>
                <w:color w:val="auto"/>
                <w:kern w:val="0"/>
                <w:sz w:val="24"/>
                <w:lang w:bidi="ar"/>
              </w:rPr>
              <w:t>dB</w:t>
            </w:r>
            <w:r>
              <w:rPr>
                <w:rFonts w:hint="eastAsia"/>
                <w:color w:val="auto"/>
                <w:kern w:val="0"/>
                <w:sz w:val="24"/>
                <w:lang w:bidi="ar"/>
              </w:rPr>
              <w:t>；</w:t>
            </w:r>
          </w:p>
          <w:p w14:paraId="46AA2D4C">
            <w:pPr>
              <w:keepNext w:val="0"/>
              <w:keepLines w:val="0"/>
              <w:widowControl/>
              <w:suppressLineNumbers w:val="0"/>
              <w:autoSpaceDN w:val="0"/>
              <w:adjustRightInd w:val="0"/>
              <w:snapToGrid w:val="0"/>
              <w:spacing w:before="0" w:beforeAutospacing="0" w:after="0" w:afterAutospacing="0" w:line="500" w:lineRule="exact"/>
              <w:ind w:left="0" w:right="0" w:firstLine="1262" w:firstLineChars="526"/>
              <w:jc w:val="left"/>
              <w:rPr>
                <w:rFonts w:hint="default"/>
                <w:color w:val="auto"/>
                <w:sz w:val="24"/>
              </w:rPr>
            </w:pPr>
            <w:r>
              <w:rPr>
                <w:rFonts w:hint="default"/>
                <w:color w:val="auto"/>
                <w:kern w:val="0"/>
                <w:sz w:val="24"/>
                <w:lang w:bidi="ar"/>
              </w:rPr>
              <w:t>TL</w:t>
            </w:r>
            <w:r>
              <w:rPr>
                <w:rFonts w:hint="default"/>
                <w:color w:val="auto"/>
                <w:kern w:val="0"/>
                <w:sz w:val="24"/>
                <w:vertAlign w:val="subscript"/>
                <w:lang w:bidi="ar"/>
              </w:rPr>
              <w:t>i</w:t>
            </w:r>
            <w:r>
              <w:rPr>
                <w:rFonts w:hint="default"/>
                <w:color w:val="auto"/>
                <w:kern w:val="0"/>
                <w:sz w:val="24"/>
                <w:lang w:bidi="ar"/>
              </w:rPr>
              <w:t>—</w:t>
            </w:r>
            <w:r>
              <w:rPr>
                <w:rFonts w:hint="eastAsia"/>
                <w:color w:val="auto"/>
                <w:kern w:val="0"/>
                <w:sz w:val="24"/>
                <w:lang w:bidi="ar"/>
              </w:rPr>
              <w:t>围护结构</w:t>
            </w:r>
            <w:r>
              <w:rPr>
                <w:rFonts w:hint="default"/>
                <w:color w:val="auto"/>
                <w:kern w:val="0"/>
                <w:sz w:val="24"/>
                <w:lang w:bidi="ar"/>
              </w:rPr>
              <w:t>i</w:t>
            </w:r>
            <w:r>
              <w:rPr>
                <w:rFonts w:hint="eastAsia"/>
                <w:color w:val="auto"/>
                <w:kern w:val="0"/>
                <w:sz w:val="24"/>
                <w:lang w:bidi="ar"/>
              </w:rPr>
              <w:t>倍频带的隔声量，</w:t>
            </w:r>
            <w:r>
              <w:rPr>
                <w:rFonts w:hint="default"/>
                <w:color w:val="auto"/>
                <w:kern w:val="0"/>
                <w:sz w:val="24"/>
                <w:lang w:bidi="ar"/>
              </w:rPr>
              <w:t>dB</w:t>
            </w:r>
            <w:r>
              <w:rPr>
                <w:rFonts w:hint="eastAsia"/>
                <w:color w:val="auto"/>
                <w:kern w:val="0"/>
                <w:sz w:val="24"/>
                <w:lang w:bidi="ar"/>
              </w:rPr>
              <w:t>。</w:t>
            </w:r>
          </w:p>
          <w:p w14:paraId="60DE693D">
            <w:pPr>
              <w:keepNext w:val="0"/>
              <w:keepLines w:val="0"/>
              <w:widowControl/>
              <w:suppressLineNumbers w:val="0"/>
              <w:autoSpaceDN w:val="0"/>
              <w:adjustRightInd w:val="0"/>
              <w:snapToGrid w:val="0"/>
              <w:spacing w:before="0" w:beforeAutospacing="0" w:after="0" w:afterAutospacing="0" w:line="500" w:lineRule="exact"/>
              <w:ind w:left="0" w:right="0" w:firstLine="480"/>
              <w:jc w:val="left"/>
              <w:rPr>
                <w:rFonts w:hint="default"/>
                <w:color w:val="auto"/>
                <w:sz w:val="24"/>
              </w:rPr>
            </w:pPr>
            <w:r>
              <w:rPr>
                <w:rFonts w:hint="eastAsia"/>
                <w:color w:val="auto"/>
                <w:kern w:val="0"/>
                <w:sz w:val="24"/>
                <w:lang w:bidi="ar"/>
              </w:rPr>
              <w:t>然后，按公式</w:t>
            </w:r>
            <w:r>
              <w:rPr>
                <w:rFonts w:hint="eastAsia" w:ascii="宋体" w:hAnsi="宋体" w:cs="宋体"/>
                <w:color w:val="auto"/>
                <w:kern w:val="0"/>
                <w:sz w:val="24"/>
                <w:lang w:val="en-US" w:eastAsia="zh-CN" w:bidi="ar"/>
              </w:rPr>
              <w:t>⑤</w:t>
            </w:r>
            <w:r>
              <w:rPr>
                <w:rFonts w:hint="eastAsia"/>
                <w:color w:val="auto"/>
                <w:kern w:val="0"/>
                <w:sz w:val="24"/>
                <w:lang w:bidi="ar"/>
              </w:rPr>
              <w:t>将室外声源的声压级和透过面积换算成等效的室外声源，计算出中心位置位于透声面积（</w:t>
            </w:r>
            <w:r>
              <w:rPr>
                <w:rFonts w:hint="default"/>
                <w:color w:val="auto"/>
                <w:kern w:val="0"/>
                <w:sz w:val="24"/>
                <w:lang w:bidi="ar"/>
              </w:rPr>
              <w:t>S</w:t>
            </w:r>
            <w:r>
              <w:rPr>
                <w:rFonts w:hint="eastAsia"/>
                <w:color w:val="auto"/>
                <w:kern w:val="0"/>
                <w:sz w:val="24"/>
                <w:lang w:bidi="ar"/>
              </w:rPr>
              <w:t>）处的等效声源的倍频带声功率级：</w:t>
            </w:r>
          </w:p>
          <w:p w14:paraId="7BFBA4CE">
            <w:pPr>
              <w:keepNext w:val="0"/>
              <w:keepLines w:val="0"/>
              <w:widowControl/>
              <w:suppressLineNumbers w:val="0"/>
              <w:autoSpaceDN w:val="0"/>
              <w:adjustRightInd w:val="0"/>
              <w:snapToGrid w:val="0"/>
              <w:spacing w:before="0" w:beforeAutospacing="0" w:after="0" w:afterAutospacing="0" w:line="500" w:lineRule="exact"/>
              <w:ind w:left="0" w:right="0"/>
              <w:jc w:val="center"/>
              <w:rPr>
                <w:rFonts w:hint="eastAsia" w:ascii="宋体" w:hAnsi="宋体" w:eastAsia="宋体" w:cs="宋体"/>
                <w:color w:val="auto"/>
                <w:sz w:val="24"/>
                <w:lang w:eastAsia="zh-CN"/>
              </w:rPr>
            </w:pPr>
            <w:r>
              <w:rPr>
                <w:rFonts w:hint="default"/>
                <w:color w:val="auto"/>
                <w:kern w:val="0"/>
                <w:position w:val="-12"/>
                <w:sz w:val="24"/>
                <w:lang w:bidi="ar"/>
              </w:rPr>
              <w:object>
                <v:shape id="_x0000_i1030" o:spt="75" type="#_x0000_t75" style="height:18.5pt;width:87.95pt;" o:ole="t" filled="f" o:preferrelative="t" stroked="f" coordsize="21600,21600">
                  <v:path/>
                  <v:fill on="f" focussize="0,0"/>
                  <v:stroke on="f"/>
                  <v:imagedata r:id="rId33" o:title=""/>
                  <o:lock v:ext="edit" aspectratio="t"/>
                  <w10:wrap type="none"/>
                  <w10:anchorlock/>
                </v:shape>
                <o:OLEObject Type="Embed" ProgID="Equation.3" ShapeID="_x0000_i1030" DrawAspect="Content" ObjectID="_1468075737" r:id="rId32">
                  <o:LockedField>false</o:LockedField>
                </o:OLEObject>
              </w:object>
            </w:r>
            <w:r>
              <w:rPr>
                <w:rFonts w:hint="eastAsia" w:ascii="宋体" w:hAnsi="宋体" w:cs="宋体"/>
                <w:color w:val="auto"/>
                <w:kern w:val="0"/>
                <w:sz w:val="24"/>
                <w:lang w:val="en-US" w:eastAsia="zh-CN" w:bidi="ar"/>
              </w:rPr>
              <w:t>⑤</w:t>
            </w:r>
          </w:p>
          <w:p w14:paraId="7A4C8E76">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然后按室外声源预测方法计算预测点处的A声级。</w:t>
            </w:r>
          </w:p>
          <w:p w14:paraId="17844FEF">
            <w:pPr>
              <w:keepNext w:val="0"/>
              <w:keepLines w:val="0"/>
              <w:pageBreakBefore w:val="0"/>
              <w:suppressLineNumbers w:val="0"/>
              <w:kinsoku/>
              <w:wordWrap/>
              <w:overflowPunct/>
              <w:topLinePunct w:val="0"/>
              <w:autoSpaceDE w:val="0"/>
              <w:autoSpaceDN w:val="0"/>
              <w:bidi w:val="0"/>
              <w:spacing w:before="0" w:beforeAutospacing="0" w:after="0" w:afterAutospacing="0" w:line="500" w:lineRule="exact"/>
              <w:ind w:left="0" w:right="0"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②噪声贡献值计算</w:t>
            </w:r>
          </w:p>
          <w:p w14:paraId="4F191A8A">
            <w:pPr>
              <w:keepNext w:val="0"/>
              <w:keepLines w:val="0"/>
              <w:pageBreakBefore w:val="0"/>
              <w:widowControl/>
              <w:suppressLineNumbers w:val="0"/>
              <w:kinsoku/>
              <w:wordWrap/>
              <w:overflowPunct/>
              <w:topLinePunct w:val="0"/>
              <w:autoSpaceDE/>
              <w:autoSpaceDN w:val="0"/>
              <w:bidi w:val="0"/>
              <w:adjustRightInd w:val="0"/>
              <w:snapToGrid w:val="0"/>
              <w:spacing w:before="0" w:beforeAutospacing="0" w:after="0" w:afterAutospacing="0" w:line="500" w:lineRule="exact"/>
              <w:ind w:left="0" w:right="0" w:firstLine="480"/>
              <w:jc w:val="left"/>
              <w:textAlignment w:val="auto"/>
              <w:rPr>
                <w:rFonts w:hint="default"/>
                <w:color w:val="auto"/>
                <w:sz w:val="24"/>
              </w:rPr>
            </w:pPr>
            <w:r>
              <w:rPr>
                <w:rFonts w:hint="eastAsia"/>
                <w:color w:val="auto"/>
                <w:kern w:val="0"/>
                <w:sz w:val="24"/>
                <w:lang w:bidi="ar"/>
              </w:rPr>
              <w:t>设第</w:t>
            </w:r>
            <w:r>
              <w:rPr>
                <w:rFonts w:hint="default"/>
                <w:color w:val="auto"/>
                <w:kern w:val="0"/>
                <w:sz w:val="24"/>
                <w:lang w:bidi="ar"/>
              </w:rPr>
              <w:t>i</w:t>
            </w:r>
            <w:r>
              <w:rPr>
                <w:rFonts w:hint="eastAsia"/>
                <w:color w:val="auto"/>
                <w:kern w:val="0"/>
                <w:sz w:val="24"/>
                <w:lang w:bidi="ar"/>
              </w:rPr>
              <w:t>个室外声源在预测点产生的</w:t>
            </w:r>
            <w:r>
              <w:rPr>
                <w:rFonts w:hint="default"/>
                <w:color w:val="auto"/>
                <w:kern w:val="0"/>
                <w:sz w:val="24"/>
                <w:lang w:bidi="ar"/>
              </w:rPr>
              <w:t>A</w:t>
            </w:r>
            <w:r>
              <w:rPr>
                <w:rFonts w:hint="eastAsia"/>
                <w:color w:val="auto"/>
                <w:kern w:val="0"/>
                <w:sz w:val="24"/>
                <w:lang w:bidi="ar"/>
              </w:rPr>
              <w:t>声级为</w:t>
            </w:r>
            <w:r>
              <w:rPr>
                <w:rFonts w:hint="default"/>
                <w:color w:val="auto"/>
                <w:kern w:val="0"/>
                <w:sz w:val="24"/>
                <w:lang w:bidi="ar"/>
              </w:rPr>
              <w:t>L</w:t>
            </w:r>
            <w:r>
              <w:rPr>
                <w:rFonts w:hint="default"/>
                <w:color w:val="auto"/>
                <w:kern w:val="0"/>
                <w:sz w:val="24"/>
                <w:vertAlign w:val="subscript"/>
                <w:lang w:bidi="ar"/>
              </w:rPr>
              <w:t>Ai</w:t>
            </w:r>
            <w:r>
              <w:rPr>
                <w:rFonts w:hint="eastAsia"/>
                <w:color w:val="auto"/>
                <w:kern w:val="0"/>
                <w:sz w:val="24"/>
                <w:lang w:bidi="ar"/>
              </w:rPr>
              <w:t>，在</w:t>
            </w:r>
            <w:r>
              <w:rPr>
                <w:rFonts w:hint="default"/>
                <w:color w:val="auto"/>
                <w:kern w:val="0"/>
                <w:sz w:val="24"/>
                <w:lang w:bidi="ar"/>
              </w:rPr>
              <w:t>T</w:t>
            </w:r>
            <w:r>
              <w:rPr>
                <w:rFonts w:hint="eastAsia"/>
                <w:color w:val="auto"/>
                <w:kern w:val="0"/>
                <w:sz w:val="24"/>
                <w:lang w:bidi="ar"/>
              </w:rPr>
              <w:t>时间内该声源工作时间为</w:t>
            </w:r>
            <w:r>
              <w:rPr>
                <w:rFonts w:hint="default"/>
                <w:color w:val="auto"/>
                <w:kern w:val="0"/>
                <w:sz w:val="24"/>
                <w:lang w:bidi="ar"/>
              </w:rPr>
              <w:t>t</w:t>
            </w:r>
            <w:r>
              <w:rPr>
                <w:rFonts w:hint="default"/>
                <w:color w:val="auto"/>
                <w:kern w:val="0"/>
                <w:sz w:val="24"/>
                <w:vertAlign w:val="subscript"/>
                <w:lang w:bidi="ar"/>
              </w:rPr>
              <w:t>i</w:t>
            </w:r>
            <w:r>
              <w:rPr>
                <w:rFonts w:hint="eastAsia"/>
                <w:color w:val="auto"/>
                <w:kern w:val="0"/>
                <w:sz w:val="24"/>
                <w:lang w:bidi="ar"/>
              </w:rPr>
              <w:t>；第</w:t>
            </w:r>
            <w:r>
              <w:rPr>
                <w:rFonts w:hint="default"/>
                <w:color w:val="auto"/>
                <w:kern w:val="0"/>
                <w:sz w:val="24"/>
                <w:lang w:bidi="ar"/>
              </w:rPr>
              <w:t>j</w:t>
            </w:r>
            <w:r>
              <w:rPr>
                <w:rFonts w:hint="eastAsia"/>
                <w:color w:val="auto"/>
                <w:kern w:val="0"/>
                <w:sz w:val="24"/>
                <w:lang w:bidi="ar"/>
              </w:rPr>
              <w:t>个等效室外声源在预测点产生的</w:t>
            </w:r>
            <w:r>
              <w:rPr>
                <w:rFonts w:hint="default"/>
                <w:color w:val="auto"/>
                <w:kern w:val="0"/>
                <w:sz w:val="24"/>
                <w:lang w:bidi="ar"/>
              </w:rPr>
              <w:t>A</w:t>
            </w:r>
            <w:r>
              <w:rPr>
                <w:rFonts w:hint="eastAsia"/>
                <w:color w:val="auto"/>
                <w:kern w:val="0"/>
                <w:sz w:val="24"/>
                <w:lang w:bidi="ar"/>
              </w:rPr>
              <w:t>声级为</w:t>
            </w:r>
            <w:r>
              <w:rPr>
                <w:rFonts w:hint="default"/>
                <w:color w:val="auto"/>
                <w:kern w:val="0"/>
                <w:sz w:val="24"/>
                <w:lang w:bidi="ar"/>
              </w:rPr>
              <w:t>L</w:t>
            </w:r>
            <w:r>
              <w:rPr>
                <w:rFonts w:hint="default"/>
                <w:color w:val="auto"/>
                <w:kern w:val="0"/>
                <w:sz w:val="24"/>
                <w:vertAlign w:val="subscript"/>
                <w:lang w:bidi="ar"/>
              </w:rPr>
              <w:t>Aj</w:t>
            </w:r>
            <w:r>
              <w:rPr>
                <w:rFonts w:hint="eastAsia"/>
                <w:color w:val="auto"/>
                <w:kern w:val="0"/>
                <w:sz w:val="24"/>
                <w:lang w:bidi="ar"/>
              </w:rPr>
              <w:t>，在</w:t>
            </w:r>
            <w:r>
              <w:rPr>
                <w:rFonts w:hint="default"/>
                <w:color w:val="auto"/>
                <w:kern w:val="0"/>
                <w:sz w:val="24"/>
                <w:lang w:bidi="ar"/>
              </w:rPr>
              <w:t>T</w:t>
            </w:r>
            <w:r>
              <w:rPr>
                <w:rFonts w:hint="eastAsia"/>
                <w:color w:val="auto"/>
                <w:kern w:val="0"/>
                <w:sz w:val="24"/>
                <w:lang w:bidi="ar"/>
              </w:rPr>
              <w:t>时间内该声源工作时间为</w:t>
            </w:r>
            <w:r>
              <w:rPr>
                <w:rFonts w:hint="default"/>
                <w:color w:val="auto"/>
                <w:kern w:val="0"/>
                <w:sz w:val="24"/>
                <w:lang w:bidi="ar"/>
              </w:rPr>
              <w:t>t</w:t>
            </w:r>
            <w:r>
              <w:rPr>
                <w:rFonts w:hint="default"/>
                <w:color w:val="auto"/>
                <w:kern w:val="0"/>
                <w:sz w:val="24"/>
                <w:vertAlign w:val="subscript"/>
                <w:lang w:bidi="ar"/>
              </w:rPr>
              <w:t>j</w:t>
            </w:r>
            <w:r>
              <w:rPr>
                <w:rFonts w:hint="eastAsia"/>
                <w:color w:val="auto"/>
                <w:kern w:val="0"/>
                <w:sz w:val="24"/>
                <w:lang w:bidi="ar"/>
              </w:rPr>
              <w:t>，则拟建工程声源对预测点产生的贡献值（</w:t>
            </w:r>
            <w:r>
              <w:rPr>
                <w:rFonts w:hint="default"/>
                <w:color w:val="auto"/>
                <w:kern w:val="0"/>
                <w:sz w:val="24"/>
                <w:lang w:bidi="ar"/>
              </w:rPr>
              <w:t>L</w:t>
            </w:r>
            <w:r>
              <w:rPr>
                <w:rFonts w:hint="default"/>
                <w:color w:val="auto"/>
                <w:kern w:val="0"/>
                <w:sz w:val="24"/>
                <w:vertAlign w:val="subscript"/>
                <w:lang w:bidi="ar"/>
              </w:rPr>
              <w:t>eqg</w:t>
            </w:r>
            <w:r>
              <w:rPr>
                <w:rFonts w:hint="eastAsia"/>
                <w:color w:val="auto"/>
                <w:kern w:val="0"/>
                <w:sz w:val="24"/>
                <w:lang w:bidi="ar"/>
              </w:rPr>
              <w:t>）为：</w:t>
            </w:r>
          </w:p>
          <w:p w14:paraId="3E87F1F5">
            <w:pPr>
              <w:keepNext w:val="0"/>
              <w:keepLines w:val="0"/>
              <w:pageBreakBefore w:val="0"/>
              <w:widowControl/>
              <w:suppressLineNumbers w:val="0"/>
              <w:kinsoku/>
              <w:wordWrap/>
              <w:overflowPunct/>
              <w:topLinePunct w:val="0"/>
              <w:autoSpaceDE/>
              <w:autoSpaceDN w:val="0"/>
              <w:bidi w:val="0"/>
              <w:adjustRightInd w:val="0"/>
              <w:snapToGrid w:val="0"/>
              <w:spacing w:before="0" w:beforeAutospacing="0" w:after="120" w:afterLines="50" w:afterAutospacing="0" w:line="500" w:lineRule="exact"/>
              <w:ind w:left="0" w:right="0"/>
              <w:jc w:val="center"/>
              <w:textAlignment w:val="auto"/>
              <w:rPr>
                <w:rFonts w:hint="eastAsia" w:eastAsia="宋体"/>
                <w:color w:val="auto"/>
                <w:sz w:val="24"/>
                <w:lang w:eastAsia="zh-CN"/>
              </w:rPr>
            </w:pPr>
            <w:r>
              <w:rPr>
                <w:rFonts w:hint="default"/>
                <w:color w:val="auto"/>
                <w:kern w:val="0"/>
                <w:position w:val="-30"/>
                <w:sz w:val="24"/>
                <w:lang w:bidi="ar"/>
              </w:rPr>
              <w:object>
                <v:shape id="_x0000_i1031" o:spt="75" type="#_x0000_t75" style="height:29.95pt;width:215.15pt;" o:ole="t" filled="f" o:preferrelative="t" stroked="f" coordsize="21600,21600">
                  <v:path/>
                  <v:fill on="f" focussize="0,0"/>
                  <v:stroke on="f"/>
                  <v:imagedata r:id="rId35" o:title=""/>
                  <o:lock v:ext="edit" aspectratio="t"/>
                  <w10:wrap type="none"/>
                  <w10:anchorlock/>
                </v:shape>
                <o:OLEObject Type="Embed" ProgID="Equation.3" ShapeID="_x0000_i1031" DrawAspect="Content" ObjectID="_1468075738" r:id="rId34">
                  <o:LockedField>false</o:LockedField>
                </o:OLEObject>
              </w:object>
            </w:r>
            <w:r>
              <w:rPr>
                <w:rFonts w:hint="eastAsia" w:ascii="宋体" w:hAnsi="宋体" w:cs="宋体"/>
                <w:color w:val="auto"/>
                <w:kern w:val="0"/>
                <w:sz w:val="24"/>
                <w:lang w:val="en-US" w:eastAsia="zh-CN" w:bidi="ar"/>
              </w:rPr>
              <w:t>⑥</w:t>
            </w:r>
          </w:p>
          <w:p w14:paraId="0DF544F0">
            <w:pPr>
              <w:keepNext w:val="0"/>
              <w:keepLines w:val="0"/>
              <w:pageBreakBefore w:val="0"/>
              <w:widowControl/>
              <w:suppressLineNumbers w:val="0"/>
              <w:kinsoku/>
              <w:wordWrap/>
              <w:overflowPunct/>
              <w:topLinePunct w:val="0"/>
              <w:autoSpaceDE/>
              <w:autoSpaceDN w:val="0"/>
              <w:bidi w:val="0"/>
              <w:spacing w:before="0" w:beforeAutospacing="0" w:after="0" w:afterAutospacing="0" w:line="500" w:lineRule="exact"/>
              <w:ind w:left="0" w:right="0" w:firstLine="480" w:firstLineChars="200"/>
              <w:textAlignment w:val="auto"/>
              <w:rPr>
                <w:rFonts w:hint="default" w:ascii="Times New Roman" w:hAnsi="Times New Roman" w:cs="Times New Roman"/>
                <w:color w:val="auto"/>
                <w:kern w:val="0"/>
                <w:sz w:val="24"/>
                <w:lang w:bidi="ar"/>
              </w:rPr>
            </w:pPr>
            <w:r>
              <w:rPr>
                <w:rFonts w:hint="eastAsia"/>
                <w:color w:val="auto"/>
                <w:kern w:val="0"/>
                <w:sz w:val="24"/>
                <w:lang w:bidi="ar"/>
              </w:rPr>
              <w:t>式</w:t>
            </w:r>
            <w:r>
              <w:rPr>
                <w:rFonts w:hint="default" w:ascii="Times New Roman" w:hAnsi="Times New Roman" w:cs="Times New Roman"/>
                <w:color w:val="auto"/>
                <w:kern w:val="0"/>
                <w:sz w:val="24"/>
                <w:lang w:bidi="ar"/>
              </w:rPr>
              <w:t>中：L</w:t>
            </w:r>
            <w:r>
              <w:rPr>
                <w:rFonts w:hint="default" w:ascii="Times New Roman" w:hAnsi="Times New Roman" w:cs="Times New Roman"/>
                <w:color w:val="auto"/>
                <w:kern w:val="0"/>
                <w:sz w:val="24"/>
                <w:vertAlign w:val="subscript"/>
                <w:lang w:bidi="ar"/>
              </w:rPr>
              <w:t>eqg</w:t>
            </w:r>
            <w:r>
              <w:rPr>
                <w:rFonts w:hint="default" w:ascii="Times New Roman" w:hAnsi="Times New Roman" w:cs="Times New Roman"/>
                <w:color w:val="auto"/>
                <w:kern w:val="0"/>
                <w:sz w:val="24"/>
                <w:lang w:bidi="ar"/>
              </w:rPr>
              <w:t>—建设项目声源在预测点产生的噪声贡献值，dB；</w:t>
            </w:r>
          </w:p>
          <w:p w14:paraId="6887024B">
            <w:pPr>
              <w:pStyle w:val="14"/>
              <w:keepNext w:val="0"/>
              <w:keepLines w:val="0"/>
              <w:pageBreakBefore w:val="0"/>
              <w:suppressLineNumbers w:val="0"/>
              <w:kinsoku/>
              <w:wordWrap/>
              <w:overflowPunct/>
              <w:topLinePunct w:val="0"/>
              <w:bidi w:val="0"/>
              <w:spacing w:before="0" w:beforeAutospacing="0" w:afterAutospacing="0" w:line="500" w:lineRule="exact"/>
              <w:ind w:left="0" w:leftChars="0" w:right="0" w:rightChars="0" w:firstLine="1200" w:firstLineChars="500"/>
              <w:textAlignment w:val="auto"/>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bidi="ar"/>
              </w:rPr>
              <w:t>T—用于计算等效声级的时间，s；N—室外声源个数；</w:t>
            </w:r>
          </w:p>
          <w:p w14:paraId="05ACE3BA">
            <w:pPr>
              <w:pStyle w:val="14"/>
              <w:keepNext w:val="0"/>
              <w:keepLines w:val="0"/>
              <w:pageBreakBefore w:val="0"/>
              <w:suppressLineNumbers w:val="0"/>
              <w:kinsoku/>
              <w:wordWrap/>
              <w:overflowPunct/>
              <w:topLinePunct w:val="0"/>
              <w:bidi w:val="0"/>
              <w:spacing w:before="0" w:beforeAutospacing="0" w:afterAutospacing="0" w:line="500" w:lineRule="exact"/>
              <w:ind w:left="0" w:leftChars="0" w:right="0" w:rightChars="0" w:firstLine="1200" w:firstLineChars="500"/>
              <w:textAlignment w:val="auto"/>
              <w:rPr>
                <w:rFonts w:hint="default" w:ascii="Times New Roman" w:hAnsi="Times New Roman" w:cs="Times New Roman"/>
                <w:color w:val="auto"/>
                <w:lang w:bidi="ar"/>
              </w:rPr>
            </w:pPr>
            <w:r>
              <w:rPr>
                <w:rFonts w:hint="default" w:ascii="Times New Roman" w:hAnsi="Times New Roman" w:cs="Times New Roman"/>
                <w:color w:val="auto"/>
                <w:lang w:bidi="ar"/>
              </w:rPr>
              <w:t>t</w:t>
            </w:r>
            <w:r>
              <w:rPr>
                <w:rFonts w:hint="default" w:ascii="Times New Roman" w:hAnsi="Times New Roman" w:cs="Times New Roman"/>
                <w:color w:val="auto"/>
                <w:vertAlign w:val="subscript"/>
                <w:lang w:bidi="ar"/>
              </w:rPr>
              <w:t>i</w:t>
            </w:r>
            <w:r>
              <w:rPr>
                <w:rFonts w:hint="default" w:ascii="Times New Roman" w:hAnsi="Times New Roman" w:cs="Times New Roman"/>
                <w:color w:val="auto"/>
                <w:lang w:bidi="ar"/>
              </w:rPr>
              <w:t>—在T时间内i声源工作时间，s；M—等效室外声源个数；</w:t>
            </w:r>
          </w:p>
          <w:p w14:paraId="4C2EAB81">
            <w:pPr>
              <w:pStyle w:val="14"/>
              <w:keepNext w:val="0"/>
              <w:keepLines w:val="0"/>
              <w:pageBreakBefore w:val="0"/>
              <w:suppressLineNumbers w:val="0"/>
              <w:kinsoku/>
              <w:wordWrap/>
              <w:overflowPunct/>
              <w:topLinePunct w:val="0"/>
              <w:bidi w:val="0"/>
              <w:spacing w:before="0" w:beforeAutospacing="0" w:afterAutospacing="0" w:line="500" w:lineRule="exact"/>
              <w:ind w:left="0" w:leftChars="0" w:right="0" w:rightChars="0" w:firstLine="1200" w:firstLineChars="500"/>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t</w:t>
            </w:r>
            <w:r>
              <w:rPr>
                <w:rFonts w:hint="default" w:ascii="Times New Roman" w:hAnsi="Times New Roman" w:eastAsia="宋体" w:cs="Times New Roman"/>
                <w:color w:val="auto"/>
                <w:kern w:val="0"/>
                <w:sz w:val="24"/>
                <w:szCs w:val="24"/>
                <w:vertAlign w:val="subscript"/>
                <w:lang w:val="en-US" w:eastAsia="zh-CN" w:bidi="ar"/>
              </w:rPr>
              <w:t>j</w:t>
            </w:r>
            <w:r>
              <w:rPr>
                <w:rFonts w:hint="default" w:ascii="Times New Roman" w:hAnsi="Times New Roman" w:eastAsia="宋体" w:cs="Times New Roman"/>
                <w:color w:val="auto"/>
                <w:kern w:val="0"/>
                <w:sz w:val="24"/>
                <w:szCs w:val="24"/>
                <w:lang w:val="en-US" w:eastAsia="zh-CN" w:bidi="ar"/>
              </w:rPr>
              <w:t>—在T时间内j声源工作时间，s。</w:t>
            </w:r>
          </w:p>
          <w:p w14:paraId="635E2F7D">
            <w:pPr>
              <w:pStyle w:val="6"/>
              <w:keepNext w:val="0"/>
              <w:keepLines w:val="0"/>
              <w:pageBreakBefore w:val="0"/>
              <w:numPr>
                <w:ilvl w:val="0"/>
                <w:numId w:val="0"/>
              </w:numPr>
              <w:kinsoku/>
              <w:wordWrap/>
              <w:overflowPunct/>
              <w:topLinePunct w:val="0"/>
              <w:bidi w:val="0"/>
              <w:spacing w:line="500" w:lineRule="exact"/>
              <w:ind w:leftChars="200"/>
              <w:textAlignment w:val="auto"/>
              <w:rPr>
                <w:rFonts w:hint="default" w:ascii="Times New Roman" w:hAnsi="Times New Roman" w:cs="Times New Roman"/>
                <w:color w:val="auto"/>
                <w:szCs w:val="24"/>
                <w:lang w:val="en-US" w:eastAsia="zh-CN"/>
              </w:rPr>
            </w:pPr>
            <w:r>
              <w:rPr>
                <w:rFonts w:hint="default" w:ascii="Times New Roman" w:hAnsi="Times New Roman" w:cs="Times New Roman"/>
                <w:color w:val="auto"/>
                <w:szCs w:val="24"/>
                <w:lang w:val="en-US" w:eastAsia="zh-CN"/>
              </w:rPr>
              <w:t>③预测点预测值计算</w:t>
            </w:r>
          </w:p>
          <w:p w14:paraId="02AE3754">
            <w:pPr>
              <w:pStyle w:val="2"/>
              <w:keepNext w:val="0"/>
              <w:keepLines w:val="0"/>
              <w:pageBreakBefore w:val="0"/>
              <w:numPr>
                <w:ilvl w:val="0"/>
                <w:numId w:val="0"/>
              </w:numPr>
              <w:kinsoku/>
              <w:wordWrap/>
              <w:overflowPunct/>
              <w:topLinePunct w:val="0"/>
              <w:bidi w:val="0"/>
              <w:spacing w:line="500" w:lineRule="exact"/>
              <w:jc w:val="center"/>
              <w:textAlignment w:val="auto"/>
              <w:rPr>
                <w:rFonts w:hint="eastAsia" w:eastAsia="宋体"/>
                <w:color w:val="auto"/>
                <w:lang w:val="en-US" w:eastAsia="zh-CN"/>
              </w:rPr>
            </w:pPr>
            <w:r>
              <w:rPr>
                <w:color w:val="auto"/>
                <w:kern w:val="0"/>
                <w:position w:val="-14"/>
                <w:sz w:val="24"/>
                <w:lang w:bidi="ar"/>
              </w:rPr>
              <w:object>
                <v:shape id="_x0000_i1032" o:spt="75" type="#_x0000_t75" style="height:25.35pt;width:118.2pt;" o:ole="t" filled="f" o:preferrelative="t" stroked="f" coordsize="21600,21600">
                  <v:path/>
                  <v:fill on="f" focussize="0,0"/>
                  <v:stroke on="f"/>
                  <v:imagedata r:id="rId37" o:title=""/>
                  <o:lock v:ext="edit" aspectratio="t"/>
                  <w10:wrap type="none"/>
                  <w10:anchorlock/>
                </v:shape>
                <o:OLEObject Type="Embed" ProgID="Equation.3" ShapeID="_x0000_i1032" DrawAspect="Content" ObjectID="_1468075739" r:id="rId36">
                  <o:LockedField>false</o:LockedField>
                </o:OLEObject>
              </w:object>
            </w:r>
            <w:r>
              <w:rPr>
                <w:rFonts w:hint="eastAsia" w:ascii="宋体" w:hAnsi="宋体" w:cs="宋体"/>
                <w:b w:val="0"/>
                <w:bCs/>
                <w:color w:val="auto"/>
                <w:kern w:val="0"/>
                <w:sz w:val="24"/>
                <w:lang w:val="en-US" w:eastAsia="zh-CN" w:bidi="ar"/>
              </w:rPr>
              <w:t>⑦</w:t>
            </w:r>
          </w:p>
          <w:p w14:paraId="0EA32A85">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00" w:lineRule="exact"/>
              <w:ind w:left="0" w:right="0" w:firstLine="480" w:firstLineChars="200"/>
              <w:textAlignment w:val="auto"/>
              <w:rPr>
                <w:rFonts w:hint="default"/>
                <w:color w:val="auto"/>
                <w:kern w:val="0"/>
                <w:sz w:val="24"/>
                <w:lang w:bidi="ar"/>
              </w:rPr>
            </w:pPr>
            <w:r>
              <w:rPr>
                <w:rFonts w:hint="default"/>
                <w:color w:val="auto"/>
                <w:kern w:val="0"/>
                <w:sz w:val="24"/>
                <w:lang w:bidi="ar"/>
              </w:rPr>
              <w:t>式中：L</w:t>
            </w:r>
            <w:r>
              <w:rPr>
                <w:rFonts w:hint="default"/>
                <w:color w:val="auto"/>
                <w:kern w:val="0"/>
                <w:sz w:val="24"/>
                <w:vertAlign w:val="subscript"/>
                <w:lang w:bidi="ar"/>
              </w:rPr>
              <w:t>eqg</w:t>
            </w:r>
            <w:r>
              <w:rPr>
                <w:rFonts w:hint="default"/>
                <w:color w:val="auto"/>
                <w:kern w:val="0"/>
                <w:sz w:val="24"/>
                <w:lang w:bidi="ar"/>
              </w:rPr>
              <w:t>—建设项目声源在预测点的等效声级贡献值，dB</w:t>
            </w:r>
            <w:r>
              <w:rPr>
                <w:rFonts w:hint="eastAsia"/>
                <w:color w:val="auto"/>
                <w:kern w:val="0"/>
                <w:sz w:val="24"/>
                <w:lang w:eastAsia="zh-CN" w:bidi="ar"/>
              </w:rPr>
              <w:t>（</w:t>
            </w:r>
            <w:r>
              <w:rPr>
                <w:rFonts w:hint="default"/>
                <w:color w:val="auto"/>
                <w:kern w:val="0"/>
                <w:sz w:val="24"/>
                <w:lang w:bidi="ar"/>
              </w:rPr>
              <w:t>A</w:t>
            </w:r>
            <w:r>
              <w:rPr>
                <w:rFonts w:hint="eastAsia"/>
                <w:color w:val="auto"/>
                <w:kern w:val="0"/>
                <w:sz w:val="24"/>
                <w:lang w:eastAsia="zh-CN" w:bidi="ar"/>
              </w:rPr>
              <w:t>）</w:t>
            </w:r>
            <w:r>
              <w:rPr>
                <w:rFonts w:hint="default"/>
                <w:color w:val="auto"/>
                <w:kern w:val="0"/>
                <w:sz w:val="24"/>
                <w:lang w:bidi="ar"/>
              </w:rPr>
              <w:t>；</w:t>
            </w:r>
          </w:p>
          <w:p w14:paraId="56B60EF4">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00" w:lineRule="exact"/>
              <w:ind w:left="0" w:right="0" w:firstLine="1200" w:firstLineChars="500"/>
              <w:textAlignment w:val="auto"/>
              <w:rPr>
                <w:rFonts w:hint="default"/>
                <w:color w:val="auto"/>
                <w:kern w:val="0"/>
                <w:sz w:val="24"/>
                <w:lang w:bidi="ar"/>
              </w:rPr>
            </w:pPr>
            <w:r>
              <w:rPr>
                <w:rFonts w:hint="default"/>
                <w:color w:val="auto"/>
                <w:kern w:val="0"/>
                <w:sz w:val="24"/>
                <w:lang w:bidi="ar"/>
              </w:rPr>
              <w:t>L</w:t>
            </w:r>
            <w:r>
              <w:rPr>
                <w:rFonts w:hint="default"/>
                <w:color w:val="auto"/>
                <w:kern w:val="0"/>
                <w:sz w:val="24"/>
                <w:vertAlign w:val="subscript"/>
                <w:lang w:bidi="ar"/>
              </w:rPr>
              <w:t>eqb</w:t>
            </w:r>
            <w:r>
              <w:rPr>
                <w:rFonts w:hint="default"/>
                <w:color w:val="auto"/>
                <w:kern w:val="0"/>
                <w:sz w:val="24"/>
                <w:lang w:bidi="ar"/>
              </w:rPr>
              <w:t>—预测点的背景值，dB</w:t>
            </w:r>
            <w:r>
              <w:rPr>
                <w:rFonts w:hint="eastAsia"/>
                <w:color w:val="auto"/>
                <w:kern w:val="0"/>
                <w:sz w:val="24"/>
                <w:lang w:eastAsia="zh-CN" w:bidi="ar"/>
              </w:rPr>
              <w:t>（</w:t>
            </w:r>
            <w:r>
              <w:rPr>
                <w:rFonts w:hint="default"/>
                <w:color w:val="auto"/>
                <w:kern w:val="0"/>
                <w:sz w:val="24"/>
                <w:lang w:bidi="ar"/>
              </w:rPr>
              <w:t>A</w:t>
            </w:r>
            <w:r>
              <w:rPr>
                <w:rFonts w:hint="eastAsia"/>
                <w:color w:val="auto"/>
                <w:kern w:val="0"/>
                <w:sz w:val="24"/>
                <w:lang w:eastAsia="zh-CN" w:bidi="ar"/>
              </w:rPr>
              <w:t>）</w:t>
            </w:r>
            <w:r>
              <w:rPr>
                <w:rFonts w:hint="default"/>
                <w:color w:val="auto"/>
                <w:kern w:val="0"/>
                <w:sz w:val="24"/>
                <w:lang w:bidi="ar"/>
              </w:rPr>
              <w:t>。</w:t>
            </w:r>
          </w:p>
          <w:p w14:paraId="0137F14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根据项目建设内容及《环境影响评价技术导则—声环境》（HJ2.4-2021）</w:t>
            </w:r>
          </w:p>
          <w:p w14:paraId="19FA3B4B">
            <w:pPr>
              <w:pStyle w:val="6"/>
              <w:keepNext w:val="0"/>
              <w:keepLines w:val="0"/>
              <w:pageBreakBefore w:val="0"/>
              <w:widowControl w:val="0"/>
              <w:kinsoku/>
              <w:wordWrap/>
              <w:overflowPunct/>
              <w:topLinePunct w:val="0"/>
              <w:autoSpaceDE/>
              <w:autoSpaceDN/>
              <w:bidi w:val="0"/>
              <w:snapToGrid/>
              <w:spacing w:after="0" w:line="360" w:lineRule="auto"/>
              <w:ind w:left="0" w:leftChars="0" w:firstLine="0" w:firstLineChars="0"/>
              <w:textAlignment w:val="auto"/>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的要求，项目采用的模型为《环境影响评价技术导则声环境》</w:t>
            </w:r>
            <w:r>
              <w:rPr>
                <w:rFonts w:hint="eastAsia" w:cs="宋体"/>
                <w:color w:val="auto"/>
                <w:kern w:val="0"/>
                <w:sz w:val="24"/>
                <w:szCs w:val="24"/>
                <w:lang w:val="en-US" w:eastAsia="zh-CN" w:bidi="ar-SA"/>
              </w:rPr>
              <w:t>（</w:t>
            </w:r>
            <w:r>
              <w:rPr>
                <w:rFonts w:hint="eastAsia" w:ascii="Times New Roman" w:hAnsi="Times New Roman" w:eastAsia="宋体" w:cs="宋体"/>
                <w:color w:val="auto"/>
                <w:kern w:val="0"/>
                <w:sz w:val="24"/>
                <w:szCs w:val="24"/>
                <w:lang w:val="en-US" w:eastAsia="zh-CN" w:bidi="ar-SA"/>
              </w:rPr>
              <w:t>HJ2.4.2021</w:t>
            </w:r>
            <w:r>
              <w:rPr>
                <w:rFonts w:hint="eastAsia" w:cs="宋体"/>
                <w:color w:val="auto"/>
                <w:kern w:val="0"/>
                <w:sz w:val="24"/>
                <w:szCs w:val="24"/>
                <w:lang w:val="en-US" w:eastAsia="zh-CN" w:bidi="ar-SA"/>
              </w:rPr>
              <w:t>）</w:t>
            </w:r>
            <w:r>
              <w:rPr>
                <w:rFonts w:hint="eastAsia" w:ascii="Times New Roman" w:hAnsi="Times New Roman" w:eastAsia="宋体" w:cs="宋体"/>
                <w:color w:val="auto"/>
                <w:kern w:val="0"/>
                <w:sz w:val="24"/>
                <w:szCs w:val="24"/>
                <w:lang w:val="en-US" w:eastAsia="zh-CN" w:bidi="ar-SA"/>
              </w:rPr>
              <w:t>附录A（规范性附录）户外声传播的衰减和附录B（规范性附录）中“B.1工业噪声预测计算模型”</w:t>
            </w:r>
            <w:r>
              <w:rPr>
                <w:rFonts w:hint="default" w:ascii="宋体" w:hAnsi="宋体" w:eastAsia="宋体" w:cs="宋体"/>
                <w:color w:val="auto"/>
                <w:sz w:val="24"/>
                <w:szCs w:val="24"/>
              </w:rPr>
              <w:t>。</w:t>
            </w:r>
          </w:p>
          <w:p w14:paraId="1A5C603C">
            <w:pPr>
              <w:pStyle w:val="6"/>
              <w:keepNext w:val="0"/>
              <w:keepLines w:val="0"/>
              <w:pageBreakBefore w:val="0"/>
              <w:widowControl w:val="0"/>
              <w:kinsoku/>
              <w:wordWrap/>
              <w:overflowPunct/>
              <w:topLinePunct w:val="0"/>
              <w:autoSpaceDE/>
              <w:autoSpaceDN/>
              <w:bidi w:val="0"/>
              <w:spacing w:after="0" w:line="360" w:lineRule="auto"/>
              <w:ind w:left="0" w:leftChars="0" w:firstLine="480" w:firstLineChars="200"/>
              <w:jc w:val="both"/>
              <w:textAlignment w:val="auto"/>
              <w:rPr>
                <w:rFonts w:hint="eastAsia" w:ascii="Times New Roman" w:hAnsi="Times New Roman" w:eastAsia="宋体" w:cs="Times New Roman"/>
                <w:b/>
                <w:bCs/>
                <w:color w:val="auto"/>
                <w:sz w:val="21"/>
                <w:szCs w:val="21"/>
              </w:rPr>
            </w:pPr>
            <w:r>
              <w:rPr>
                <w:rFonts w:hint="eastAsia" w:ascii="Times New Roman" w:hAnsi="Times New Roman" w:eastAsia="宋体" w:cs="Times New Roman"/>
                <w:snapToGrid w:val="0"/>
                <w:color w:val="auto"/>
                <w:sz w:val="24"/>
              </w:rPr>
              <w:t>根据《环境影响评价技术导则声环境》（HJ2.4-2021），</w:t>
            </w:r>
            <w:r>
              <w:rPr>
                <w:rFonts w:hint="eastAsia" w:cs="Times New Roman"/>
                <w:snapToGrid w:val="0"/>
                <w:color w:val="auto"/>
                <w:sz w:val="24"/>
                <w:lang w:val="en-US" w:eastAsia="zh-CN"/>
              </w:rPr>
              <w:t>本</w:t>
            </w:r>
            <w:r>
              <w:rPr>
                <w:rFonts w:hint="eastAsia" w:ascii="Times New Roman" w:hAnsi="Times New Roman" w:eastAsia="宋体" w:cs="Times New Roman"/>
                <w:snapToGrid w:val="0"/>
                <w:color w:val="auto"/>
                <w:sz w:val="24"/>
                <w:lang w:eastAsia="zh-CN"/>
              </w:rPr>
              <w:t>项目</w:t>
            </w:r>
            <w:r>
              <w:rPr>
                <w:rFonts w:hint="eastAsia" w:ascii="Times New Roman" w:hAnsi="Times New Roman" w:eastAsia="宋体" w:cs="Times New Roman"/>
                <w:snapToGrid w:val="0"/>
                <w:color w:val="auto"/>
                <w:sz w:val="24"/>
              </w:rPr>
              <w:t>对厂界噪声影响预测结果见</w:t>
            </w:r>
            <w:r>
              <w:rPr>
                <w:rFonts w:hint="eastAsia" w:ascii="Times New Roman" w:hAnsi="Times New Roman" w:eastAsia="宋体" w:cs="Times New Roman"/>
                <w:snapToGrid w:val="0"/>
                <w:color w:val="auto"/>
                <w:sz w:val="24"/>
                <w:lang w:val="en-US" w:eastAsia="zh-CN"/>
              </w:rPr>
              <w:t>下表</w:t>
            </w:r>
            <w:r>
              <w:rPr>
                <w:rFonts w:hint="eastAsia" w:ascii="Times New Roman" w:hAnsi="Times New Roman" w:eastAsia="宋体" w:cs="Times New Roman"/>
                <w:snapToGrid w:val="0"/>
                <w:color w:val="auto"/>
                <w:sz w:val="24"/>
              </w:rPr>
              <w:t>。</w:t>
            </w:r>
          </w:p>
          <w:p w14:paraId="74018E83">
            <w:pPr>
              <w:pStyle w:val="6"/>
              <w:spacing w:after="0" w:line="240" w:lineRule="auto"/>
              <w:ind w:left="0" w:leftChars="0" w:firstLine="0" w:firstLineChars="0"/>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表4</w:t>
            </w:r>
            <w:r>
              <w:rPr>
                <w:rFonts w:hint="eastAsia" w:ascii="Times New Roman" w:hAnsi="Times New Roman" w:eastAsia="宋体" w:cs="Times New Roman"/>
                <w:b/>
                <w:bCs/>
                <w:color w:val="auto"/>
                <w:sz w:val="21"/>
                <w:szCs w:val="21"/>
                <w:lang w:val="en-US" w:eastAsia="zh-CN"/>
              </w:rPr>
              <w:t>-1</w:t>
            </w:r>
            <w:r>
              <w:rPr>
                <w:rFonts w:hint="eastAsia" w:cs="Times New Roman"/>
                <w:b/>
                <w:bCs/>
                <w:color w:val="auto"/>
                <w:sz w:val="21"/>
                <w:szCs w:val="21"/>
                <w:lang w:val="en-US" w:eastAsia="zh-CN"/>
              </w:rPr>
              <w:t xml:space="preserve">8  </w:t>
            </w:r>
            <w:r>
              <w:rPr>
                <w:rFonts w:hint="eastAsia" w:ascii="Times New Roman" w:hAnsi="Times New Roman" w:eastAsia="宋体" w:cs="Times New Roman"/>
                <w:b/>
                <w:bCs/>
                <w:color w:val="auto"/>
                <w:sz w:val="21"/>
                <w:szCs w:val="21"/>
              </w:rPr>
              <w:t>环境噪声预测结果单位：dB（A）</w:t>
            </w:r>
          </w:p>
          <w:tbl>
            <w:tblPr>
              <w:tblStyle w:val="22"/>
              <w:tblW w:w="500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89"/>
              <w:gridCol w:w="718"/>
              <w:gridCol w:w="870"/>
              <w:gridCol w:w="997"/>
              <w:gridCol w:w="943"/>
              <w:gridCol w:w="1151"/>
              <w:gridCol w:w="1126"/>
              <w:gridCol w:w="1264"/>
            </w:tblGrid>
            <w:tr w14:paraId="0102A1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57" w:type="pct"/>
                  <w:vMerge w:val="restart"/>
                  <w:tcBorders>
                    <w:tl2br w:val="nil"/>
                    <w:tr2bl w:val="nil"/>
                  </w:tcBorders>
                  <w:noWrap w:val="0"/>
                  <w:vAlign w:val="center"/>
                </w:tcPr>
                <w:p w14:paraId="0891EFD4">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测点序号</w:t>
                  </w:r>
                </w:p>
              </w:tc>
              <w:tc>
                <w:tcPr>
                  <w:tcW w:w="1621" w:type="pct"/>
                  <w:gridSpan w:val="3"/>
                  <w:tcBorders>
                    <w:tl2br w:val="nil"/>
                    <w:tr2bl w:val="nil"/>
                  </w:tcBorders>
                  <w:noWrap w:val="0"/>
                  <w:vAlign w:val="center"/>
                </w:tcPr>
                <w:p w14:paraId="223A9B29">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空间相对位置</w:t>
                  </w:r>
                </w:p>
              </w:tc>
              <w:tc>
                <w:tcPr>
                  <w:tcW w:w="591" w:type="pct"/>
                  <w:vMerge w:val="restart"/>
                  <w:tcBorders>
                    <w:tl2br w:val="nil"/>
                    <w:tr2bl w:val="nil"/>
                  </w:tcBorders>
                  <w:noWrap w:val="0"/>
                  <w:vAlign w:val="center"/>
                </w:tcPr>
                <w:p w14:paraId="075A92A7">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时段</w:t>
                  </w:r>
                </w:p>
              </w:tc>
              <w:tc>
                <w:tcPr>
                  <w:tcW w:w="721" w:type="pct"/>
                  <w:vMerge w:val="restart"/>
                  <w:tcBorders>
                    <w:tl2br w:val="nil"/>
                    <w:tr2bl w:val="nil"/>
                  </w:tcBorders>
                  <w:noWrap w:val="0"/>
                  <w:vAlign w:val="center"/>
                </w:tcPr>
                <w:p w14:paraId="1FA80EAB">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贡献</w:t>
                  </w:r>
                  <w:r>
                    <w:rPr>
                      <w:rFonts w:hint="default" w:ascii="Times New Roman" w:hAnsi="Times New Roman" w:eastAsia="宋体" w:cs="Times New Roman"/>
                      <w:color w:val="auto"/>
                      <w:kern w:val="0"/>
                      <w:sz w:val="21"/>
                      <w:szCs w:val="21"/>
                      <w:lang w:val="en-US" w:eastAsia="zh-CN"/>
                    </w:rPr>
                    <w:t>值</w:t>
                  </w:r>
                </w:p>
                <w:p w14:paraId="0E2F6CF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dB</w:t>
                  </w:r>
                  <w:r>
                    <w:rPr>
                      <w:rFonts w:hint="eastAsia" w:cs="Times New Roman"/>
                      <w:color w:val="auto"/>
                      <w:kern w:val="0"/>
                      <w:sz w:val="21"/>
                      <w:szCs w:val="21"/>
                      <w:lang w:val="en-US" w:eastAsia="zh-CN"/>
                    </w:rPr>
                    <w:t>(</w:t>
                  </w:r>
                  <w:r>
                    <w:rPr>
                      <w:rFonts w:hint="eastAsia" w:ascii="Times New Roman" w:hAnsi="Times New Roman" w:eastAsia="宋体" w:cs="Times New Roman"/>
                      <w:color w:val="auto"/>
                      <w:kern w:val="0"/>
                      <w:sz w:val="21"/>
                      <w:szCs w:val="21"/>
                      <w:lang w:val="en-US" w:eastAsia="zh-CN"/>
                    </w:rPr>
                    <w:t>A</w:t>
                  </w:r>
                  <w:r>
                    <w:rPr>
                      <w:rFonts w:hint="eastAsia" w:cs="Times New Roman"/>
                      <w:color w:val="auto"/>
                      <w:kern w:val="0"/>
                      <w:sz w:val="21"/>
                      <w:szCs w:val="21"/>
                      <w:lang w:val="en-US" w:eastAsia="zh-CN"/>
                    </w:rPr>
                    <w:t>)</w:t>
                  </w:r>
                </w:p>
              </w:tc>
              <w:tc>
                <w:tcPr>
                  <w:tcW w:w="706" w:type="pct"/>
                  <w:vMerge w:val="restart"/>
                  <w:tcBorders>
                    <w:tl2br w:val="nil"/>
                    <w:tr2bl w:val="nil"/>
                  </w:tcBorders>
                  <w:noWrap w:val="0"/>
                  <w:vAlign w:val="center"/>
                </w:tcPr>
                <w:p w14:paraId="2EC447D1">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标准限值</w:t>
                  </w:r>
                </w:p>
                <w:p w14:paraId="12FD08BE">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w:t>
                  </w:r>
                  <w:r>
                    <w:rPr>
                      <w:rFonts w:hint="eastAsia" w:ascii="Times New Roman" w:hAnsi="Times New Roman" w:eastAsia="宋体" w:cs="Times New Roman"/>
                      <w:b w:val="0"/>
                      <w:bCs w:val="0"/>
                      <w:color w:val="auto"/>
                      <w:sz w:val="21"/>
                      <w:szCs w:val="21"/>
                    </w:rPr>
                    <w:t>dB</w:t>
                  </w:r>
                  <w:r>
                    <w:rPr>
                      <w:rFonts w:hint="eastAsia" w:cs="Times New Roman"/>
                      <w:b w:val="0"/>
                      <w:bCs w:val="0"/>
                      <w:color w:val="auto"/>
                      <w:sz w:val="21"/>
                      <w:szCs w:val="21"/>
                      <w:lang w:eastAsia="zh-CN"/>
                    </w:rPr>
                    <w:t>(</w:t>
                  </w:r>
                  <w:r>
                    <w:rPr>
                      <w:rFonts w:hint="eastAsia" w:ascii="Times New Roman" w:hAnsi="Times New Roman" w:eastAsia="宋体" w:cs="Times New Roman"/>
                      <w:b w:val="0"/>
                      <w:bCs w:val="0"/>
                      <w:color w:val="auto"/>
                      <w:sz w:val="21"/>
                      <w:szCs w:val="21"/>
                    </w:rPr>
                    <w:t>A</w:t>
                  </w:r>
                  <w:r>
                    <w:rPr>
                      <w:rFonts w:hint="eastAsia" w:cs="Times New Roman"/>
                      <w:b w:val="0"/>
                      <w:bCs w:val="0"/>
                      <w:color w:val="auto"/>
                      <w:sz w:val="21"/>
                      <w:szCs w:val="21"/>
                      <w:lang w:eastAsia="zh-CN"/>
                    </w:rPr>
                    <w:t>))</w:t>
                  </w:r>
                </w:p>
              </w:tc>
              <w:tc>
                <w:tcPr>
                  <w:tcW w:w="792" w:type="pct"/>
                  <w:vMerge w:val="restart"/>
                  <w:tcBorders>
                    <w:tl2br w:val="nil"/>
                    <w:tr2bl w:val="nil"/>
                  </w:tcBorders>
                  <w:noWrap w:val="0"/>
                  <w:vAlign w:val="center"/>
                </w:tcPr>
                <w:p w14:paraId="41268C0B">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rPr>
                    <w:t>评价结果</w:t>
                  </w:r>
                </w:p>
              </w:tc>
            </w:tr>
            <w:tr w14:paraId="4340F7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557" w:type="pct"/>
                  <w:vMerge w:val="continue"/>
                  <w:tcBorders>
                    <w:tl2br w:val="nil"/>
                    <w:tr2bl w:val="nil"/>
                  </w:tcBorders>
                  <w:noWrap w:val="0"/>
                  <w:vAlign w:val="center"/>
                </w:tcPr>
                <w:p w14:paraId="5BB0B7AB">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p>
              </w:tc>
              <w:tc>
                <w:tcPr>
                  <w:tcW w:w="450" w:type="pct"/>
                  <w:tcBorders>
                    <w:tl2br w:val="nil"/>
                    <w:tr2bl w:val="nil"/>
                  </w:tcBorders>
                  <w:noWrap w:val="0"/>
                  <w:vAlign w:val="center"/>
                </w:tcPr>
                <w:p w14:paraId="03ECDFBF">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X</w:t>
                  </w:r>
                </w:p>
              </w:tc>
              <w:tc>
                <w:tcPr>
                  <w:tcW w:w="545" w:type="pct"/>
                  <w:tcBorders>
                    <w:tl2br w:val="nil"/>
                    <w:tr2bl w:val="nil"/>
                  </w:tcBorders>
                  <w:noWrap w:val="0"/>
                  <w:vAlign w:val="center"/>
                </w:tcPr>
                <w:p w14:paraId="6E89DBD1">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Y</w:t>
                  </w:r>
                </w:p>
              </w:tc>
              <w:tc>
                <w:tcPr>
                  <w:tcW w:w="625" w:type="pct"/>
                  <w:tcBorders>
                    <w:tl2br w:val="nil"/>
                    <w:tr2bl w:val="nil"/>
                  </w:tcBorders>
                  <w:noWrap w:val="0"/>
                  <w:vAlign w:val="center"/>
                </w:tcPr>
                <w:p w14:paraId="5B5BAC6E">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Z</w:t>
                  </w:r>
                </w:p>
              </w:tc>
              <w:tc>
                <w:tcPr>
                  <w:tcW w:w="591" w:type="pct"/>
                  <w:vMerge w:val="continue"/>
                  <w:tcBorders>
                    <w:tl2br w:val="nil"/>
                    <w:tr2bl w:val="nil"/>
                  </w:tcBorders>
                  <w:noWrap w:val="0"/>
                  <w:vAlign w:val="center"/>
                </w:tcPr>
                <w:p w14:paraId="5A017977">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p>
              </w:tc>
              <w:tc>
                <w:tcPr>
                  <w:tcW w:w="721" w:type="pct"/>
                  <w:vMerge w:val="continue"/>
                  <w:tcBorders>
                    <w:tl2br w:val="nil"/>
                    <w:tr2bl w:val="nil"/>
                  </w:tcBorders>
                  <w:noWrap w:val="0"/>
                  <w:vAlign w:val="center"/>
                </w:tcPr>
                <w:p w14:paraId="5074429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p>
              </w:tc>
              <w:tc>
                <w:tcPr>
                  <w:tcW w:w="706" w:type="pct"/>
                  <w:vMerge w:val="continue"/>
                  <w:tcBorders>
                    <w:tl2br w:val="nil"/>
                    <w:tr2bl w:val="nil"/>
                  </w:tcBorders>
                  <w:noWrap w:val="0"/>
                  <w:vAlign w:val="center"/>
                </w:tcPr>
                <w:p w14:paraId="306A2D09">
                  <w:pPr>
                    <w:keepNext w:val="0"/>
                    <w:keepLines w:val="0"/>
                    <w:widowControl/>
                    <w:suppressLineNumbers w:val="0"/>
                    <w:adjustRightInd w:val="0"/>
                    <w:snapToGrid w:val="0"/>
                    <w:spacing w:before="0" w:beforeAutospacing="0" w:after="0" w:afterAutospacing="0"/>
                    <w:ind w:left="0" w:leftChars="0" w:right="0" w:rightChars="0"/>
                    <w:jc w:val="center"/>
                    <w:rPr>
                      <w:rFonts w:hint="eastAsia" w:cs="Times New Roman"/>
                      <w:b w:val="0"/>
                      <w:bCs w:val="0"/>
                      <w:color w:val="auto"/>
                      <w:kern w:val="0"/>
                      <w:sz w:val="21"/>
                      <w:szCs w:val="21"/>
                      <w:lang w:val="en-US" w:eastAsia="zh-CN"/>
                    </w:rPr>
                  </w:pPr>
                </w:p>
              </w:tc>
              <w:tc>
                <w:tcPr>
                  <w:tcW w:w="792" w:type="pct"/>
                  <w:vMerge w:val="continue"/>
                  <w:tcBorders>
                    <w:tl2br w:val="nil"/>
                    <w:tr2bl w:val="nil"/>
                  </w:tcBorders>
                  <w:noWrap w:val="0"/>
                  <w:vAlign w:val="center"/>
                </w:tcPr>
                <w:p w14:paraId="3A7F20DE">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0"/>
                      <w:sz w:val="21"/>
                      <w:szCs w:val="21"/>
                      <w:lang w:val="en-US" w:eastAsia="zh-CN" w:bidi="ar-SA"/>
                    </w:rPr>
                  </w:pPr>
                </w:p>
              </w:tc>
            </w:tr>
            <w:tr w14:paraId="38E337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557" w:type="pct"/>
                  <w:tcBorders>
                    <w:tl2br w:val="nil"/>
                    <w:tr2bl w:val="nil"/>
                  </w:tcBorders>
                  <w:noWrap w:val="0"/>
                  <w:vAlign w:val="center"/>
                </w:tcPr>
                <w:p w14:paraId="3656D6DF">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东厂界</w:t>
                  </w:r>
                </w:p>
              </w:tc>
              <w:tc>
                <w:tcPr>
                  <w:tcW w:w="450" w:type="pct"/>
                  <w:tcBorders>
                    <w:tl2br w:val="nil"/>
                    <w:tr2bl w:val="nil"/>
                  </w:tcBorders>
                  <w:noWrap w:val="0"/>
                  <w:vAlign w:val="center"/>
                </w:tcPr>
                <w:p w14:paraId="571C19EE">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62.5</w:t>
                  </w:r>
                </w:p>
              </w:tc>
              <w:tc>
                <w:tcPr>
                  <w:tcW w:w="545" w:type="pct"/>
                  <w:tcBorders>
                    <w:tl2br w:val="nil"/>
                    <w:tr2bl w:val="nil"/>
                  </w:tcBorders>
                  <w:noWrap w:val="0"/>
                  <w:vAlign w:val="center"/>
                </w:tcPr>
                <w:p w14:paraId="1CD77F31">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0</w:t>
                  </w:r>
                </w:p>
              </w:tc>
              <w:tc>
                <w:tcPr>
                  <w:tcW w:w="625" w:type="pct"/>
                  <w:tcBorders>
                    <w:tl2br w:val="nil"/>
                    <w:tr2bl w:val="nil"/>
                  </w:tcBorders>
                  <w:noWrap w:val="0"/>
                  <w:vAlign w:val="center"/>
                </w:tcPr>
                <w:p w14:paraId="00E34DAC">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1.2</w:t>
                  </w:r>
                </w:p>
              </w:tc>
              <w:tc>
                <w:tcPr>
                  <w:tcW w:w="591" w:type="pct"/>
                  <w:vMerge w:val="restart"/>
                  <w:tcBorders>
                    <w:tl2br w:val="nil"/>
                    <w:tr2bl w:val="nil"/>
                  </w:tcBorders>
                  <w:noWrap w:val="0"/>
                  <w:vAlign w:val="center"/>
                </w:tcPr>
                <w:p w14:paraId="5A0799B3">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昼间</w:t>
                  </w:r>
                </w:p>
                <w:p w14:paraId="1F3739A5">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（夜间）</w:t>
                  </w:r>
                </w:p>
              </w:tc>
              <w:tc>
                <w:tcPr>
                  <w:tcW w:w="721" w:type="pct"/>
                  <w:tcBorders>
                    <w:tl2br w:val="nil"/>
                    <w:tr2bl w:val="nil"/>
                  </w:tcBorders>
                  <w:noWrap w:val="0"/>
                  <w:vAlign w:val="center"/>
                </w:tcPr>
                <w:p w14:paraId="6AFF4D7A">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35.94</w:t>
                  </w:r>
                </w:p>
              </w:tc>
              <w:tc>
                <w:tcPr>
                  <w:tcW w:w="706" w:type="pct"/>
                  <w:vMerge w:val="restart"/>
                  <w:tcBorders>
                    <w:tl2br w:val="nil"/>
                    <w:tr2bl w:val="nil"/>
                  </w:tcBorders>
                  <w:noWrap w:val="0"/>
                  <w:vAlign w:val="center"/>
                </w:tcPr>
                <w:p w14:paraId="38CFEBF1">
                  <w:pPr>
                    <w:keepNext w:val="0"/>
                    <w:keepLines w:val="0"/>
                    <w:widowControl/>
                    <w:suppressLineNumbers w:val="0"/>
                    <w:adjustRightInd w:val="0"/>
                    <w:snapToGrid w:val="0"/>
                    <w:spacing w:before="0" w:beforeAutospacing="0" w:after="0" w:afterAutospacing="0"/>
                    <w:ind w:left="0" w:leftChars="0" w:right="0" w:rightChars="0"/>
                    <w:jc w:val="center"/>
                    <w:rPr>
                      <w:rFonts w:hint="eastAsia" w:cs="Times New Roman"/>
                      <w:color w:val="auto"/>
                      <w:kern w:val="0"/>
                      <w:sz w:val="21"/>
                      <w:szCs w:val="21"/>
                      <w:lang w:val="en-US" w:eastAsia="zh-CN"/>
                    </w:rPr>
                  </w:pPr>
                  <w:r>
                    <w:rPr>
                      <w:rFonts w:hint="eastAsia" w:cs="Times New Roman"/>
                      <w:color w:val="auto"/>
                      <w:kern w:val="0"/>
                      <w:sz w:val="21"/>
                      <w:szCs w:val="21"/>
                      <w:lang w:val="en-US" w:eastAsia="zh-CN"/>
                    </w:rPr>
                    <w:t>65</w:t>
                  </w:r>
                </w:p>
                <w:p w14:paraId="2265024A">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(55)</w:t>
                  </w:r>
                </w:p>
              </w:tc>
              <w:tc>
                <w:tcPr>
                  <w:tcW w:w="792" w:type="pct"/>
                  <w:tcBorders>
                    <w:tl2br w:val="nil"/>
                    <w:tr2bl w:val="nil"/>
                  </w:tcBorders>
                  <w:noWrap w:val="0"/>
                  <w:vAlign w:val="center"/>
                </w:tcPr>
                <w:p w14:paraId="55CB891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达标</w:t>
                  </w:r>
                </w:p>
              </w:tc>
            </w:tr>
            <w:tr w14:paraId="7400D4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7" w:type="pct"/>
                  <w:tcBorders>
                    <w:tl2br w:val="nil"/>
                    <w:tr2bl w:val="nil"/>
                  </w:tcBorders>
                  <w:noWrap w:val="0"/>
                  <w:vAlign w:val="center"/>
                </w:tcPr>
                <w:p w14:paraId="487BEDA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南厂界</w:t>
                  </w:r>
                </w:p>
              </w:tc>
              <w:tc>
                <w:tcPr>
                  <w:tcW w:w="450" w:type="pct"/>
                  <w:tcBorders>
                    <w:tl2br w:val="nil"/>
                    <w:tr2bl w:val="nil"/>
                  </w:tcBorders>
                  <w:noWrap w:val="0"/>
                  <w:vAlign w:val="center"/>
                </w:tcPr>
                <w:p w14:paraId="2C983326">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0</w:t>
                  </w:r>
                </w:p>
              </w:tc>
              <w:tc>
                <w:tcPr>
                  <w:tcW w:w="545" w:type="pct"/>
                  <w:tcBorders>
                    <w:tl2br w:val="nil"/>
                    <w:tr2bl w:val="nil"/>
                  </w:tcBorders>
                  <w:noWrap w:val="0"/>
                  <w:vAlign w:val="center"/>
                </w:tcPr>
                <w:p w14:paraId="1F5E2D80">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-25.6</w:t>
                  </w:r>
                </w:p>
              </w:tc>
              <w:tc>
                <w:tcPr>
                  <w:tcW w:w="625" w:type="pct"/>
                  <w:tcBorders>
                    <w:tl2br w:val="nil"/>
                    <w:tr2bl w:val="nil"/>
                  </w:tcBorders>
                  <w:noWrap w:val="0"/>
                  <w:vAlign w:val="center"/>
                </w:tcPr>
                <w:p w14:paraId="7F18041D">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1.2</w:t>
                  </w:r>
                </w:p>
              </w:tc>
              <w:tc>
                <w:tcPr>
                  <w:tcW w:w="591" w:type="pct"/>
                  <w:vMerge w:val="continue"/>
                  <w:tcBorders>
                    <w:tl2br w:val="nil"/>
                    <w:tr2bl w:val="nil"/>
                  </w:tcBorders>
                  <w:noWrap w:val="0"/>
                  <w:vAlign w:val="center"/>
                </w:tcPr>
                <w:p w14:paraId="63654C42">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p>
              </w:tc>
              <w:tc>
                <w:tcPr>
                  <w:tcW w:w="721" w:type="pct"/>
                  <w:tcBorders>
                    <w:tl2br w:val="nil"/>
                    <w:tr2bl w:val="nil"/>
                  </w:tcBorders>
                  <w:noWrap w:val="0"/>
                  <w:vAlign w:val="center"/>
                </w:tcPr>
                <w:p w14:paraId="125C04EC">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45.71</w:t>
                  </w:r>
                </w:p>
              </w:tc>
              <w:tc>
                <w:tcPr>
                  <w:tcW w:w="706" w:type="pct"/>
                  <w:vMerge w:val="continue"/>
                  <w:tcBorders>
                    <w:tl2br w:val="nil"/>
                    <w:tr2bl w:val="nil"/>
                  </w:tcBorders>
                  <w:noWrap w:val="0"/>
                  <w:vAlign w:val="center"/>
                </w:tcPr>
                <w:p w14:paraId="4FD20043">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p>
              </w:tc>
              <w:tc>
                <w:tcPr>
                  <w:tcW w:w="792" w:type="pct"/>
                  <w:tcBorders>
                    <w:tl2br w:val="nil"/>
                    <w:tr2bl w:val="nil"/>
                  </w:tcBorders>
                  <w:noWrap w:val="0"/>
                  <w:vAlign w:val="center"/>
                </w:tcPr>
                <w:p w14:paraId="3B9FD67E">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达标</w:t>
                  </w:r>
                </w:p>
              </w:tc>
            </w:tr>
            <w:tr w14:paraId="0EFA34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57" w:type="pct"/>
                  <w:tcBorders>
                    <w:tl2br w:val="nil"/>
                    <w:tr2bl w:val="nil"/>
                  </w:tcBorders>
                  <w:noWrap w:val="0"/>
                  <w:vAlign w:val="center"/>
                </w:tcPr>
                <w:p w14:paraId="01C17E17">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西厂界</w:t>
                  </w:r>
                </w:p>
              </w:tc>
              <w:tc>
                <w:tcPr>
                  <w:tcW w:w="450" w:type="pct"/>
                  <w:tcBorders>
                    <w:tl2br w:val="nil"/>
                    <w:tr2bl w:val="nil"/>
                  </w:tcBorders>
                  <w:noWrap w:val="0"/>
                  <w:vAlign w:val="center"/>
                </w:tcPr>
                <w:p w14:paraId="3E39D7C3">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-62.4</w:t>
                  </w:r>
                </w:p>
              </w:tc>
              <w:tc>
                <w:tcPr>
                  <w:tcW w:w="545" w:type="pct"/>
                  <w:tcBorders>
                    <w:tl2br w:val="nil"/>
                    <w:tr2bl w:val="nil"/>
                  </w:tcBorders>
                  <w:noWrap w:val="0"/>
                  <w:vAlign w:val="center"/>
                </w:tcPr>
                <w:p w14:paraId="4C23686B">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0</w:t>
                  </w:r>
                </w:p>
              </w:tc>
              <w:tc>
                <w:tcPr>
                  <w:tcW w:w="625" w:type="pct"/>
                  <w:tcBorders>
                    <w:tl2br w:val="nil"/>
                    <w:tr2bl w:val="nil"/>
                  </w:tcBorders>
                  <w:noWrap w:val="0"/>
                  <w:vAlign w:val="center"/>
                </w:tcPr>
                <w:p w14:paraId="77858DA8">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1.2</w:t>
                  </w:r>
                </w:p>
              </w:tc>
              <w:tc>
                <w:tcPr>
                  <w:tcW w:w="591" w:type="pct"/>
                  <w:vMerge w:val="continue"/>
                  <w:tcBorders>
                    <w:tl2br w:val="nil"/>
                    <w:tr2bl w:val="nil"/>
                  </w:tcBorders>
                  <w:noWrap w:val="0"/>
                  <w:vAlign w:val="center"/>
                </w:tcPr>
                <w:p w14:paraId="508AEC1A">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p>
              </w:tc>
              <w:tc>
                <w:tcPr>
                  <w:tcW w:w="721" w:type="pct"/>
                  <w:tcBorders>
                    <w:tl2br w:val="nil"/>
                    <w:tr2bl w:val="nil"/>
                  </w:tcBorders>
                  <w:noWrap w:val="0"/>
                  <w:vAlign w:val="center"/>
                </w:tcPr>
                <w:p w14:paraId="15589C91">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38.3</w:t>
                  </w:r>
                </w:p>
              </w:tc>
              <w:tc>
                <w:tcPr>
                  <w:tcW w:w="706" w:type="pct"/>
                  <w:vMerge w:val="continue"/>
                  <w:tcBorders>
                    <w:tl2br w:val="nil"/>
                    <w:tr2bl w:val="nil"/>
                  </w:tcBorders>
                  <w:noWrap w:val="0"/>
                  <w:vAlign w:val="center"/>
                </w:tcPr>
                <w:p w14:paraId="0AA46425">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p>
              </w:tc>
              <w:tc>
                <w:tcPr>
                  <w:tcW w:w="792" w:type="pct"/>
                  <w:tcBorders>
                    <w:tl2br w:val="nil"/>
                    <w:tr2bl w:val="nil"/>
                  </w:tcBorders>
                  <w:noWrap w:val="0"/>
                  <w:vAlign w:val="center"/>
                </w:tcPr>
                <w:p w14:paraId="4BF99EF2">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达标</w:t>
                  </w:r>
                </w:p>
              </w:tc>
            </w:tr>
            <w:tr w14:paraId="526E4C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57" w:type="pct"/>
                  <w:tcBorders>
                    <w:tl2br w:val="nil"/>
                    <w:tr2bl w:val="nil"/>
                  </w:tcBorders>
                  <w:noWrap w:val="0"/>
                  <w:vAlign w:val="center"/>
                </w:tcPr>
                <w:p w14:paraId="550406EC">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北</w:t>
                  </w:r>
                  <w:r>
                    <w:rPr>
                      <w:rFonts w:hint="default" w:ascii="Times New Roman" w:hAnsi="Times New Roman" w:eastAsia="宋体" w:cs="Times New Roman"/>
                      <w:color w:val="auto"/>
                      <w:kern w:val="0"/>
                      <w:sz w:val="21"/>
                      <w:szCs w:val="21"/>
                      <w:lang w:val="en-US" w:eastAsia="zh-CN"/>
                    </w:rPr>
                    <w:t>厂界</w:t>
                  </w:r>
                </w:p>
              </w:tc>
              <w:tc>
                <w:tcPr>
                  <w:tcW w:w="450" w:type="pct"/>
                  <w:tcBorders>
                    <w:tl2br w:val="nil"/>
                    <w:tr2bl w:val="nil"/>
                  </w:tcBorders>
                  <w:noWrap w:val="0"/>
                  <w:vAlign w:val="center"/>
                </w:tcPr>
                <w:p w14:paraId="1BED83D3">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0</w:t>
                  </w:r>
                </w:p>
              </w:tc>
              <w:tc>
                <w:tcPr>
                  <w:tcW w:w="545" w:type="pct"/>
                  <w:tcBorders>
                    <w:tl2br w:val="nil"/>
                    <w:tr2bl w:val="nil"/>
                  </w:tcBorders>
                  <w:noWrap w:val="0"/>
                  <w:vAlign w:val="center"/>
                </w:tcPr>
                <w:p w14:paraId="48F74524">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26.1</w:t>
                  </w:r>
                </w:p>
              </w:tc>
              <w:tc>
                <w:tcPr>
                  <w:tcW w:w="625" w:type="pct"/>
                  <w:tcBorders>
                    <w:tl2br w:val="nil"/>
                    <w:tr2bl w:val="nil"/>
                  </w:tcBorders>
                  <w:noWrap w:val="0"/>
                  <w:vAlign w:val="center"/>
                </w:tcPr>
                <w:p w14:paraId="5B563A70">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1.2</w:t>
                  </w:r>
                </w:p>
              </w:tc>
              <w:tc>
                <w:tcPr>
                  <w:tcW w:w="591" w:type="pct"/>
                  <w:vMerge w:val="continue"/>
                  <w:tcBorders>
                    <w:tl2br w:val="nil"/>
                    <w:tr2bl w:val="nil"/>
                  </w:tcBorders>
                  <w:noWrap w:val="0"/>
                  <w:vAlign w:val="center"/>
                </w:tcPr>
                <w:p w14:paraId="1BD51BAE">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rPr>
                  </w:pPr>
                </w:p>
              </w:tc>
              <w:tc>
                <w:tcPr>
                  <w:tcW w:w="721" w:type="pct"/>
                  <w:tcBorders>
                    <w:tl2br w:val="nil"/>
                    <w:tr2bl w:val="nil"/>
                  </w:tcBorders>
                  <w:noWrap w:val="0"/>
                  <w:vAlign w:val="center"/>
                </w:tcPr>
                <w:p w14:paraId="62206FDA">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51.06</w:t>
                  </w:r>
                </w:p>
              </w:tc>
              <w:tc>
                <w:tcPr>
                  <w:tcW w:w="706" w:type="pct"/>
                  <w:vMerge w:val="continue"/>
                  <w:tcBorders>
                    <w:tl2br w:val="nil"/>
                    <w:tr2bl w:val="nil"/>
                  </w:tcBorders>
                  <w:noWrap w:val="0"/>
                  <w:vAlign w:val="center"/>
                </w:tcPr>
                <w:p w14:paraId="73F26FA3">
                  <w:pPr>
                    <w:keepNext w:val="0"/>
                    <w:keepLines w:val="0"/>
                    <w:widowControl/>
                    <w:suppressLineNumbers w:val="0"/>
                    <w:adjustRightInd w:val="0"/>
                    <w:snapToGrid w:val="0"/>
                    <w:spacing w:before="0" w:beforeAutospacing="0" w:after="0" w:afterAutospacing="0"/>
                    <w:ind w:left="0" w:leftChars="0" w:right="0" w:rightChars="0"/>
                    <w:jc w:val="center"/>
                    <w:rPr>
                      <w:rFonts w:hint="default" w:cs="Times New Roman"/>
                      <w:color w:val="auto"/>
                      <w:kern w:val="0"/>
                      <w:sz w:val="21"/>
                      <w:szCs w:val="21"/>
                      <w:lang w:val="en-US" w:eastAsia="zh-CN"/>
                    </w:rPr>
                  </w:pPr>
                </w:p>
              </w:tc>
              <w:tc>
                <w:tcPr>
                  <w:tcW w:w="792" w:type="pct"/>
                  <w:tcBorders>
                    <w:tl2br w:val="nil"/>
                    <w:tr2bl w:val="nil"/>
                  </w:tcBorders>
                  <w:noWrap w:val="0"/>
                  <w:vAlign w:val="center"/>
                </w:tcPr>
                <w:p w14:paraId="1016F8F1">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达标</w:t>
                  </w:r>
                </w:p>
              </w:tc>
            </w:tr>
          </w:tbl>
          <w:p w14:paraId="080E78AF">
            <w:pPr>
              <w:keepNext w:val="0"/>
              <w:keepLines w:val="0"/>
              <w:pageBreakBefore w:val="0"/>
              <w:widowControl w:val="0"/>
              <w:kinsoku/>
              <w:wordWrap/>
              <w:overflowPunct/>
              <w:topLinePunct w:val="0"/>
              <w:bidi w:val="0"/>
              <w:snapToGrid/>
              <w:spacing w:line="500" w:lineRule="exact"/>
              <w:ind w:firstLine="480" w:firstLineChars="200"/>
              <w:textAlignment w:val="auto"/>
              <w:rPr>
                <w:snapToGrid w:val="0"/>
                <w:color w:val="auto"/>
                <w:sz w:val="24"/>
              </w:rPr>
            </w:pPr>
            <w:r>
              <w:rPr>
                <w:rFonts w:hint="eastAsia"/>
                <w:snapToGrid w:val="0"/>
                <w:color w:val="auto"/>
                <w:sz w:val="24"/>
              </w:rPr>
              <w:t>由</w:t>
            </w:r>
            <w:r>
              <w:rPr>
                <w:snapToGrid w:val="0"/>
                <w:color w:val="auto"/>
                <w:sz w:val="24"/>
              </w:rPr>
              <w:t>上表预测结果</w:t>
            </w:r>
            <w:r>
              <w:rPr>
                <w:rFonts w:hint="eastAsia"/>
                <w:snapToGrid w:val="0"/>
                <w:color w:val="auto"/>
                <w:sz w:val="24"/>
              </w:rPr>
              <w:t>可知，本</w:t>
            </w:r>
            <w:r>
              <w:rPr>
                <w:snapToGrid w:val="0"/>
                <w:color w:val="auto"/>
                <w:sz w:val="24"/>
              </w:rPr>
              <w:t>项目厂界四周</w:t>
            </w:r>
            <w:r>
              <w:rPr>
                <w:rFonts w:hint="eastAsia"/>
                <w:snapToGrid w:val="0"/>
                <w:color w:val="auto"/>
                <w:sz w:val="24"/>
              </w:rPr>
              <w:t>昼</w:t>
            </w:r>
            <w:r>
              <w:rPr>
                <w:rFonts w:hint="eastAsia"/>
                <w:snapToGrid w:val="0"/>
                <w:color w:val="auto"/>
                <w:sz w:val="24"/>
                <w:lang w:val="en-US" w:eastAsia="zh-CN"/>
              </w:rPr>
              <w:t>夜</w:t>
            </w:r>
            <w:r>
              <w:rPr>
                <w:rFonts w:hint="eastAsia"/>
                <w:snapToGrid w:val="0"/>
                <w:color w:val="auto"/>
                <w:sz w:val="24"/>
              </w:rPr>
              <w:t>间噪声</w:t>
            </w:r>
            <w:r>
              <w:rPr>
                <w:snapToGrid w:val="0"/>
                <w:color w:val="auto"/>
                <w:sz w:val="24"/>
              </w:rPr>
              <w:t>能够满足</w:t>
            </w:r>
            <w:r>
              <w:rPr>
                <w:rFonts w:hint="eastAsia"/>
                <w:color w:val="auto"/>
                <w:sz w:val="24"/>
              </w:rPr>
              <w:t>《工业企业厂界环境噪声排放标准》（GB12348-2008）中的</w:t>
            </w:r>
            <w:r>
              <w:rPr>
                <w:rFonts w:hint="eastAsia"/>
                <w:color w:val="auto"/>
                <w:sz w:val="24"/>
                <w:lang w:val="en-US" w:eastAsia="zh-CN"/>
              </w:rPr>
              <w:t>3</w:t>
            </w:r>
            <w:r>
              <w:rPr>
                <w:rFonts w:hint="eastAsia"/>
                <w:color w:val="auto"/>
                <w:sz w:val="24"/>
              </w:rPr>
              <w:t>类标准</w:t>
            </w:r>
            <w:r>
              <w:rPr>
                <w:snapToGrid w:val="0"/>
                <w:color w:val="auto"/>
                <w:sz w:val="24"/>
              </w:rPr>
              <w:t>要求</w:t>
            </w:r>
            <w:r>
              <w:rPr>
                <w:rFonts w:hint="eastAsia"/>
                <w:snapToGrid w:val="0"/>
                <w:color w:val="auto"/>
                <w:sz w:val="24"/>
              </w:rPr>
              <w:t>，</w:t>
            </w:r>
            <w:r>
              <w:rPr>
                <w:snapToGrid w:val="0"/>
                <w:color w:val="auto"/>
                <w:sz w:val="24"/>
              </w:rPr>
              <w:t>因此</w:t>
            </w:r>
            <w:r>
              <w:rPr>
                <w:rFonts w:hint="eastAsia"/>
                <w:snapToGrid w:val="0"/>
                <w:color w:val="auto"/>
                <w:sz w:val="24"/>
              </w:rPr>
              <w:t>，</w:t>
            </w:r>
            <w:r>
              <w:rPr>
                <w:snapToGrid w:val="0"/>
                <w:color w:val="auto"/>
                <w:sz w:val="24"/>
              </w:rPr>
              <w:t>本项目对周围声环境影响不大。</w:t>
            </w:r>
          </w:p>
          <w:p w14:paraId="6FFA8D55">
            <w:pPr>
              <w:pStyle w:val="2"/>
              <w:keepNext w:val="0"/>
              <w:keepLines w:val="0"/>
              <w:pageBreakBefore w:val="0"/>
              <w:widowControl w:val="0"/>
              <w:kinsoku/>
              <w:wordWrap/>
              <w:overflowPunct/>
              <w:topLinePunct w:val="0"/>
              <w:bidi w:val="0"/>
              <w:snapToGrid/>
              <w:spacing w:line="500" w:lineRule="exact"/>
              <w:ind w:firstLine="480" w:firstLineChars="200"/>
              <w:textAlignment w:val="auto"/>
              <w:rPr>
                <w:rFonts w:ascii="Times New Roman" w:hAnsi="Times New Roman" w:cs="Times New Roman"/>
                <w:b w:val="0"/>
                <w:bCs w:val="0"/>
                <w:color w:val="auto"/>
              </w:rPr>
            </w:pPr>
            <w:r>
              <w:rPr>
                <w:rFonts w:hint="eastAsia" w:ascii="Times New Roman" w:hAnsi="Times New Roman" w:cs="Times New Roman"/>
                <w:b w:val="0"/>
                <w:bCs w:val="0"/>
                <w:color w:val="auto"/>
                <w:lang w:val="en-US" w:eastAsia="zh-CN"/>
              </w:rPr>
              <w:t>3</w:t>
            </w:r>
            <w:r>
              <w:rPr>
                <w:rFonts w:ascii="Times New Roman" w:hAnsi="Times New Roman" w:cs="Times New Roman"/>
                <w:b w:val="0"/>
                <w:bCs w:val="0"/>
                <w:color w:val="auto"/>
              </w:rPr>
              <w:t>、</w:t>
            </w:r>
            <w:r>
              <w:rPr>
                <w:rFonts w:hint="eastAsia" w:ascii="Times New Roman" w:hAnsi="Times New Roman" w:cs="Times New Roman"/>
                <w:b w:val="0"/>
                <w:bCs w:val="0"/>
                <w:color w:val="auto"/>
              </w:rPr>
              <w:t>噪声</w:t>
            </w:r>
            <w:r>
              <w:rPr>
                <w:rFonts w:ascii="Times New Roman" w:hAnsi="Times New Roman" w:cs="Times New Roman"/>
                <w:b w:val="0"/>
                <w:bCs w:val="0"/>
                <w:color w:val="auto"/>
              </w:rPr>
              <w:t>监测要求</w:t>
            </w:r>
          </w:p>
          <w:p w14:paraId="6102EF9A">
            <w:pPr>
              <w:pStyle w:val="2"/>
              <w:keepNext w:val="0"/>
              <w:keepLines w:val="0"/>
              <w:pageBreakBefore w:val="0"/>
              <w:widowControl w:val="0"/>
              <w:kinsoku/>
              <w:wordWrap/>
              <w:overflowPunct/>
              <w:topLinePunct w:val="0"/>
              <w:bidi w:val="0"/>
              <w:snapToGrid/>
              <w:spacing w:line="500" w:lineRule="exact"/>
              <w:ind w:firstLine="480" w:firstLineChars="200"/>
              <w:textAlignment w:val="auto"/>
              <w:rPr>
                <w:rFonts w:ascii="Times New Roman" w:hAnsi="Times New Roman" w:cs="Times New Roman"/>
                <w:b w:val="0"/>
                <w:bCs/>
                <w:color w:val="auto"/>
              </w:rPr>
            </w:pPr>
            <w:r>
              <w:rPr>
                <w:rFonts w:hint="eastAsia"/>
                <w:b w:val="0"/>
                <w:bCs/>
                <w:color w:val="auto"/>
              </w:rPr>
              <w:t>根据</w:t>
            </w:r>
            <w:r>
              <w:rPr>
                <w:rFonts w:hint="eastAsia" w:ascii="Times New Roman" w:hAnsi="Times New Roman"/>
                <w:b w:val="0"/>
                <w:bCs/>
                <w:color w:val="auto"/>
              </w:rPr>
              <w:t>《排污单位自行监测技术指南》（总则）</w:t>
            </w:r>
            <w:r>
              <w:rPr>
                <w:rFonts w:ascii="Times New Roman" w:hAnsi="Times New Roman" w:cs="Times New Roman"/>
                <w:b w:val="0"/>
                <w:bCs/>
                <w:color w:val="auto"/>
              </w:rPr>
              <w:t>中相</w:t>
            </w:r>
            <w:r>
              <w:rPr>
                <w:rFonts w:hint="eastAsia"/>
                <w:b w:val="0"/>
                <w:bCs/>
                <w:color w:val="auto"/>
              </w:rPr>
              <w:t>关规定，本项目营运</w:t>
            </w:r>
            <w:r>
              <w:rPr>
                <w:rFonts w:hint="eastAsia"/>
                <w:b w:val="0"/>
                <w:bCs/>
                <w:color w:val="auto"/>
                <w:lang w:eastAsia="zh-CN"/>
              </w:rPr>
              <w:t>期间</w:t>
            </w:r>
            <w:r>
              <w:rPr>
                <w:rFonts w:hint="eastAsia"/>
                <w:b w:val="0"/>
                <w:bCs/>
                <w:color w:val="auto"/>
              </w:rPr>
              <w:t>噪声应进行常规自行监测，噪声监测要求如</w:t>
            </w:r>
            <w:r>
              <w:rPr>
                <w:rFonts w:ascii="Times New Roman" w:hAnsi="Times New Roman" w:cs="Times New Roman"/>
                <w:b w:val="0"/>
                <w:bCs/>
                <w:color w:val="auto"/>
              </w:rPr>
              <w:t>下表。</w:t>
            </w:r>
          </w:p>
          <w:p w14:paraId="70EDAB57">
            <w:pPr>
              <w:pStyle w:val="6"/>
              <w:spacing w:after="0" w:line="240" w:lineRule="auto"/>
              <w:ind w:left="0" w:leftChars="0" w:firstLine="0" w:firstLineChars="0"/>
              <w:jc w:val="center"/>
              <w:rPr>
                <w:b/>
                <w:bCs/>
                <w:color w:val="auto"/>
                <w:sz w:val="21"/>
                <w:szCs w:val="21"/>
              </w:rPr>
            </w:pPr>
            <w:r>
              <w:rPr>
                <w:rFonts w:hint="eastAsia"/>
                <w:b/>
                <w:bCs/>
                <w:color w:val="auto"/>
                <w:sz w:val="21"/>
                <w:szCs w:val="21"/>
              </w:rPr>
              <w:t>表4-1</w:t>
            </w:r>
            <w:r>
              <w:rPr>
                <w:rFonts w:hint="eastAsia"/>
                <w:b/>
                <w:bCs/>
                <w:color w:val="auto"/>
                <w:sz w:val="21"/>
                <w:szCs w:val="21"/>
                <w:lang w:val="en-US" w:eastAsia="zh-CN"/>
              </w:rPr>
              <w:t xml:space="preserve">9  </w:t>
            </w:r>
            <w:r>
              <w:rPr>
                <w:rFonts w:hint="eastAsia"/>
                <w:b/>
                <w:bCs/>
                <w:color w:val="auto"/>
                <w:sz w:val="21"/>
                <w:szCs w:val="21"/>
              </w:rPr>
              <w:t>项目噪声监测要求一览表</w:t>
            </w:r>
          </w:p>
          <w:tbl>
            <w:tblPr>
              <w:tblStyle w:val="2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77"/>
              <w:gridCol w:w="1845"/>
              <w:gridCol w:w="1695"/>
              <w:gridCol w:w="2349"/>
            </w:tblGrid>
            <w:tr w14:paraId="24F128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738" w:type="dxa"/>
                  <w:noWrap w:val="0"/>
                  <w:vAlign w:val="center"/>
                </w:tcPr>
                <w:p w14:paraId="71A27389">
                  <w:pPr>
                    <w:pStyle w:val="6"/>
                    <w:spacing w:after="0"/>
                    <w:ind w:left="0" w:leftChars="0" w:firstLine="0" w:firstLineChars="0"/>
                    <w:jc w:val="center"/>
                    <w:rPr>
                      <w:color w:val="auto"/>
                      <w:sz w:val="21"/>
                      <w:szCs w:val="21"/>
                    </w:rPr>
                  </w:pPr>
                  <w:r>
                    <w:rPr>
                      <w:rFonts w:hint="eastAsia"/>
                      <w:color w:val="auto"/>
                      <w:sz w:val="21"/>
                      <w:szCs w:val="21"/>
                    </w:rPr>
                    <w:t>序号</w:t>
                  </w:r>
                </w:p>
              </w:tc>
              <w:tc>
                <w:tcPr>
                  <w:tcW w:w="1377" w:type="dxa"/>
                  <w:noWrap w:val="0"/>
                  <w:vAlign w:val="center"/>
                </w:tcPr>
                <w:p w14:paraId="2784E0D4">
                  <w:pPr>
                    <w:pStyle w:val="6"/>
                    <w:spacing w:after="0"/>
                    <w:ind w:left="0" w:leftChars="0" w:firstLine="0" w:firstLineChars="0"/>
                    <w:jc w:val="center"/>
                    <w:rPr>
                      <w:color w:val="auto"/>
                      <w:sz w:val="21"/>
                      <w:szCs w:val="21"/>
                    </w:rPr>
                  </w:pPr>
                  <w:r>
                    <w:rPr>
                      <w:rFonts w:hint="eastAsia"/>
                      <w:color w:val="auto"/>
                      <w:sz w:val="21"/>
                      <w:szCs w:val="21"/>
                    </w:rPr>
                    <w:t>监测点位</w:t>
                  </w:r>
                </w:p>
              </w:tc>
              <w:tc>
                <w:tcPr>
                  <w:tcW w:w="1845" w:type="dxa"/>
                  <w:noWrap w:val="0"/>
                  <w:vAlign w:val="center"/>
                </w:tcPr>
                <w:p w14:paraId="7EADE157">
                  <w:pPr>
                    <w:pStyle w:val="6"/>
                    <w:spacing w:after="0"/>
                    <w:ind w:left="0" w:leftChars="0" w:firstLine="0" w:firstLineChars="0"/>
                    <w:jc w:val="center"/>
                    <w:rPr>
                      <w:color w:val="auto"/>
                      <w:sz w:val="21"/>
                      <w:szCs w:val="21"/>
                    </w:rPr>
                  </w:pPr>
                  <w:r>
                    <w:rPr>
                      <w:rFonts w:hint="eastAsia"/>
                      <w:color w:val="auto"/>
                      <w:sz w:val="21"/>
                      <w:szCs w:val="21"/>
                    </w:rPr>
                    <w:t>监测因子</w:t>
                  </w:r>
                </w:p>
              </w:tc>
              <w:tc>
                <w:tcPr>
                  <w:tcW w:w="1695" w:type="dxa"/>
                  <w:noWrap w:val="0"/>
                  <w:vAlign w:val="center"/>
                </w:tcPr>
                <w:p w14:paraId="5496257C">
                  <w:pPr>
                    <w:pStyle w:val="6"/>
                    <w:spacing w:after="0"/>
                    <w:ind w:left="0" w:leftChars="0" w:firstLine="0" w:firstLineChars="0"/>
                    <w:jc w:val="center"/>
                    <w:rPr>
                      <w:color w:val="auto"/>
                      <w:sz w:val="21"/>
                      <w:szCs w:val="21"/>
                    </w:rPr>
                  </w:pPr>
                  <w:r>
                    <w:rPr>
                      <w:rFonts w:hint="eastAsia"/>
                      <w:color w:val="auto"/>
                      <w:sz w:val="21"/>
                      <w:szCs w:val="21"/>
                    </w:rPr>
                    <w:t>监测频次</w:t>
                  </w:r>
                </w:p>
              </w:tc>
              <w:tc>
                <w:tcPr>
                  <w:tcW w:w="2349" w:type="dxa"/>
                  <w:noWrap w:val="0"/>
                  <w:vAlign w:val="center"/>
                </w:tcPr>
                <w:p w14:paraId="62C53968">
                  <w:pPr>
                    <w:pStyle w:val="6"/>
                    <w:spacing w:after="0"/>
                    <w:ind w:left="0" w:leftChars="0" w:firstLine="0" w:firstLineChars="0"/>
                    <w:jc w:val="center"/>
                    <w:rPr>
                      <w:color w:val="auto"/>
                      <w:sz w:val="21"/>
                      <w:szCs w:val="21"/>
                    </w:rPr>
                  </w:pPr>
                  <w:r>
                    <w:rPr>
                      <w:rFonts w:hint="eastAsia"/>
                      <w:color w:val="auto"/>
                      <w:sz w:val="21"/>
                      <w:szCs w:val="21"/>
                    </w:rPr>
                    <w:t>执行标准</w:t>
                  </w:r>
                </w:p>
              </w:tc>
            </w:tr>
            <w:tr w14:paraId="6CC776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8" w:type="dxa"/>
                  <w:noWrap w:val="0"/>
                  <w:vAlign w:val="center"/>
                </w:tcPr>
                <w:p w14:paraId="618423F3">
                  <w:pPr>
                    <w:pStyle w:val="6"/>
                    <w:spacing w:after="0"/>
                    <w:ind w:left="0" w:leftChars="0" w:firstLine="0" w:firstLineChars="0"/>
                    <w:jc w:val="center"/>
                    <w:rPr>
                      <w:color w:val="auto"/>
                      <w:sz w:val="21"/>
                      <w:szCs w:val="21"/>
                    </w:rPr>
                  </w:pPr>
                  <w:r>
                    <w:rPr>
                      <w:rFonts w:hint="eastAsia"/>
                      <w:color w:val="auto"/>
                      <w:sz w:val="21"/>
                      <w:szCs w:val="21"/>
                    </w:rPr>
                    <w:t>1</w:t>
                  </w:r>
                </w:p>
              </w:tc>
              <w:tc>
                <w:tcPr>
                  <w:tcW w:w="1377" w:type="dxa"/>
                  <w:noWrap w:val="0"/>
                  <w:vAlign w:val="center"/>
                </w:tcPr>
                <w:p w14:paraId="1E2378F4">
                  <w:pPr>
                    <w:pStyle w:val="6"/>
                    <w:spacing w:after="0"/>
                    <w:ind w:left="0" w:leftChars="0" w:firstLine="0" w:firstLineChars="0"/>
                    <w:jc w:val="center"/>
                    <w:rPr>
                      <w:color w:val="auto"/>
                      <w:sz w:val="21"/>
                      <w:szCs w:val="21"/>
                    </w:rPr>
                  </w:pPr>
                  <w:r>
                    <w:rPr>
                      <w:rFonts w:hint="eastAsia"/>
                      <w:color w:val="auto"/>
                      <w:sz w:val="21"/>
                      <w:szCs w:val="21"/>
                    </w:rPr>
                    <w:t>四周厂界</w:t>
                  </w:r>
                </w:p>
              </w:tc>
              <w:tc>
                <w:tcPr>
                  <w:tcW w:w="1845" w:type="dxa"/>
                  <w:noWrap w:val="0"/>
                  <w:vAlign w:val="center"/>
                </w:tcPr>
                <w:p w14:paraId="0965D49F">
                  <w:pPr>
                    <w:jc w:val="center"/>
                    <w:rPr>
                      <w:color w:val="auto"/>
                      <w:szCs w:val="21"/>
                    </w:rPr>
                  </w:pPr>
                  <w:r>
                    <w:rPr>
                      <w:color w:val="auto"/>
                      <w:szCs w:val="21"/>
                    </w:rPr>
                    <w:t>等效连续A声级</w:t>
                  </w:r>
                </w:p>
              </w:tc>
              <w:tc>
                <w:tcPr>
                  <w:tcW w:w="1695" w:type="dxa"/>
                  <w:noWrap w:val="0"/>
                  <w:vAlign w:val="center"/>
                </w:tcPr>
                <w:p w14:paraId="302CA652">
                  <w:pPr>
                    <w:jc w:val="center"/>
                    <w:rPr>
                      <w:color w:val="auto"/>
                      <w:szCs w:val="21"/>
                    </w:rPr>
                  </w:pPr>
                  <w:r>
                    <w:rPr>
                      <w:color w:val="auto"/>
                      <w:szCs w:val="21"/>
                    </w:rPr>
                    <w:t>1次/季度</w:t>
                  </w:r>
                </w:p>
              </w:tc>
              <w:tc>
                <w:tcPr>
                  <w:tcW w:w="2349" w:type="dxa"/>
                  <w:noWrap w:val="0"/>
                  <w:vAlign w:val="center"/>
                </w:tcPr>
                <w:p w14:paraId="2D80C483">
                  <w:pPr>
                    <w:jc w:val="center"/>
                    <w:rPr>
                      <w:color w:val="auto"/>
                      <w:szCs w:val="21"/>
                    </w:rPr>
                  </w:pPr>
                  <w:r>
                    <w:rPr>
                      <w:color w:val="auto"/>
                      <w:szCs w:val="21"/>
                    </w:rPr>
                    <w:t>GB12348-2008</w:t>
                  </w:r>
                </w:p>
              </w:tc>
            </w:tr>
          </w:tbl>
          <w:p w14:paraId="3AE0B799">
            <w:pPr>
              <w:pStyle w:val="2"/>
              <w:keepNext w:val="0"/>
              <w:keepLines w:val="0"/>
              <w:pageBreakBefore w:val="0"/>
              <w:widowControl w:val="0"/>
              <w:kinsoku/>
              <w:wordWrap/>
              <w:overflowPunct/>
              <w:topLinePunct w:val="0"/>
              <w:bidi w:val="0"/>
              <w:spacing w:line="360" w:lineRule="auto"/>
              <w:textAlignment w:val="auto"/>
              <w:rPr>
                <w:color w:val="auto"/>
              </w:rPr>
            </w:pPr>
            <w:r>
              <w:rPr>
                <w:rFonts w:hint="eastAsia" w:hAnsi="宋体"/>
                <w:bCs/>
                <w:color w:val="auto"/>
                <w:spacing w:val="-10"/>
                <w:szCs w:val="21"/>
              </w:rPr>
              <w:t>四、固体废物</w:t>
            </w:r>
          </w:p>
          <w:p w14:paraId="4AFA2FA6">
            <w:pPr>
              <w:pStyle w:val="6"/>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rFonts w:hint="default" w:eastAsia="宋体"/>
                <w:b w:val="0"/>
                <w:bCs w:val="0"/>
                <w:color w:val="auto"/>
                <w:lang w:val="en-US" w:eastAsia="zh-CN"/>
              </w:rPr>
            </w:pPr>
            <w:r>
              <w:rPr>
                <w:rFonts w:hint="eastAsia"/>
                <w:b w:val="0"/>
                <w:bCs w:val="0"/>
                <w:color w:val="auto"/>
                <w:lang w:val="en-US" w:eastAsia="zh-CN"/>
              </w:rPr>
              <w:t>1、固体废物污染源强分析</w:t>
            </w:r>
          </w:p>
          <w:p w14:paraId="774022C1">
            <w:pPr>
              <w:pStyle w:val="6"/>
              <w:keepNext w:val="0"/>
              <w:keepLines w:val="0"/>
              <w:pageBreakBefore w:val="0"/>
              <w:widowControl w:val="0"/>
              <w:kinsoku/>
              <w:wordWrap/>
              <w:overflowPunct/>
              <w:topLinePunct w:val="0"/>
              <w:bidi w:val="0"/>
              <w:spacing w:after="0" w:line="360" w:lineRule="auto"/>
              <w:ind w:left="0" w:leftChars="0" w:firstLine="480" w:firstLineChars="200"/>
              <w:jc w:val="both"/>
              <w:textAlignment w:val="auto"/>
              <w:rPr>
                <w:rFonts w:hint="eastAsia"/>
                <w:color w:val="auto"/>
              </w:rPr>
            </w:pPr>
            <w:r>
              <w:rPr>
                <w:rFonts w:hint="eastAsia"/>
                <w:color w:val="auto"/>
              </w:rPr>
              <w:t>本项目运营期产生的固体废物主要为</w:t>
            </w:r>
            <w:r>
              <w:rPr>
                <w:rFonts w:hint="eastAsia"/>
                <w:color w:val="auto"/>
                <w:lang w:val="en-US" w:eastAsia="zh-CN"/>
              </w:rPr>
              <w:t>玻璃边角料、不合格品、沉渣、废包装材料、铝边角料、废硅酮胶包装桶、废硅酮胶包装袋、</w:t>
            </w:r>
            <w:r>
              <w:rPr>
                <w:rFonts w:hint="eastAsia"/>
                <w:color w:val="auto"/>
              </w:rPr>
              <w:t>废活性炭</w:t>
            </w:r>
            <w:r>
              <w:rPr>
                <w:rFonts w:hint="eastAsia"/>
                <w:color w:val="auto"/>
                <w:lang w:val="en-US" w:eastAsia="zh-CN"/>
              </w:rPr>
              <w:t>和</w:t>
            </w:r>
            <w:r>
              <w:rPr>
                <w:rFonts w:hint="eastAsia"/>
                <w:color w:val="auto"/>
              </w:rPr>
              <w:t>生活垃圾。</w:t>
            </w:r>
          </w:p>
          <w:p w14:paraId="229D90D3">
            <w:pPr>
              <w:pStyle w:val="2"/>
              <w:keepNext w:val="0"/>
              <w:keepLines w:val="0"/>
              <w:pageBreakBefore w:val="0"/>
              <w:widowControl w:val="0"/>
              <w:kinsoku/>
              <w:wordWrap/>
              <w:overflowPunct/>
              <w:topLinePunct w:val="0"/>
              <w:bidi w:val="0"/>
              <w:spacing w:line="360" w:lineRule="auto"/>
              <w:ind w:leftChars="0" w:firstLine="480" w:firstLineChars="200"/>
              <w:jc w:val="both"/>
              <w:textAlignment w:val="auto"/>
              <w:rPr>
                <w:rFonts w:hint="eastAsia" w:ascii="Times New Roman" w:hAnsi="Times New Roman" w:eastAsia="宋体"/>
                <w:b w:val="0"/>
                <w:bCs/>
                <w:color w:val="auto"/>
                <w:sz w:val="24"/>
                <w:shd w:val="clear" w:color="auto" w:fill="auto"/>
                <w:lang w:eastAsia="zh-CN"/>
              </w:rPr>
            </w:pPr>
            <w:r>
              <w:rPr>
                <w:rFonts w:hint="eastAsia" w:ascii="Times New Roman" w:hAnsi="Times New Roman"/>
                <w:b w:val="0"/>
                <w:bCs/>
                <w:color w:val="auto"/>
                <w:sz w:val="24"/>
                <w:shd w:val="clear" w:color="auto" w:fill="auto"/>
              </w:rPr>
              <w:t>（</w:t>
            </w:r>
            <w:r>
              <w:rPr>
                <w:rFonts w:hint="eastAsia" w:ascii="Times New Roman" w:hAnsi="Times New Roman"/>
                <w:b w:val="0"/>
                <w:bCs/>
                <w:color w:val="auto"/>
                <w:sz w:val="24"/>
                <w:shd w:val="clear" w:color="auto" w:fill="auto"/>
                <w:lang w:val="en-US" w:eastAsia="zh-CN"/>
              </w:rPr>
              <w:t>1</w:t>
            </w:r>
            <w:r>
              <w:rPr>
                <w:rFonts w:hint="eastAsia" w:ascii="Times New Roman" w:hAnsi="Times New Roman"/>
                <w:b w:val="0"/>
                <w:bCs/>
                <w:color w:val="auto"/>
                <w:sz w:val="24"/>
                <w:shd w:val="clear" w:color="auto" w:fill="auto"/>
              </w:rPr>
              <w:t>）</w:t>
            </w:r>
            <w:r>
              <w:rPr>
                <w:rFonts w:hint="eastAsia"/>
                <w:b w:val="0"/>
                <w:bCs/>
                <w:lang w:val="en-US" w:eastAsia="zh-CN"/>
              </w:rPr>
              <w:t>玻璃</w:t>
            </w:r>
            <w:r>
              <w:rPr>
                <w:rFonts w:hint="eastAsia" w:ascii="Times New Roman" w:hAnsi="Times New Roman"/>
                <w:b w:val="0"/>
                <w:bCs/>
                <w:color w:val="auto"/>
                <w:sz w:val="24"/>
                <w:shd w:val="clear" w:color="auto" w:fill="auto"/>
                <w:lang w:val="en-US" w:eastAsia="zh-CN"/>
              </w:rPr>
              <w:t>边角料</w:t>
            </w:r>
          </w:p>
          <w:p w14:paraId="644FE5E6">
            <w:pPr>
              <w:keepNext w:val="0"/>
              <w:keepLines w:val="0"/>
              <w:pageBreakBefore w:val="0"/>
              <w:widowControl w:val="0"/>
              <w:kinsoku/>
              <w:wordWrap/>
              <w:overflowPunct/>
              <w:topLinePunct w:val="0"/>
              <w:bidi w:val="0"/>
              <w:spacing w:line="360" w:lineRule="auto"/>
              <w:ind w:leftChars="0" w:firstLine="480" w:firstLineChars="200"/>
              <w:jc w:val="both"/>
              <w:textAlignment w:val="auto"/>
              <w:rPr>
                <w:rFonts w:hint="eastAsia" w:ascii="Times New Roman" w:hAnsi="Times New Roman" w:eastAsia="宋体" w:cs="Times New Roman"/>
                <w:color w:val="auto"/>
                <w:kern w:val="0"/>
                <w:sz w:val="24"/>
                <w:szCs w:val="20"/>
                <w:shd w:val="clear" w:color="auto" w:fill="auto"/>
                <w:lang w:val="en-US" w:eastAsia="zh-CN" w:bidi="ar-SA"/>
              </w:rPr>
            </w:pPr>
            <w:r>
              <w:rPr>
                <w:rFonts w:hint="eastAsia" w:cs="Times New Roman"/>
                <w:color w:val="auto"/>
                <w:kern w:val="0"/>
                <w:sz w:val="24"/>
                <w:szCs w:val="20"/>
                <w:shd w:val="clear" w:color="auto" w:fill="auto"/>
                <w:lang w:val="en-US" w:eastAsia="zh-CN" w:bidi="ar-SA"/>
              </w:rPr>
              <w:t>本项目磨边、切割产生的玻璃边角料、摔坏或操作失误等产生的碎玻璃、钢化产生的废玻璃，</w:t>
            </w:r>
            <w:r>
              <w:rPr>
                <w:rFonts w:hint="eastAsia" w:ascii="Times New Roman" w:hAnsi="Times New Roman" w:cs="Times New Roman"/>
                <w:b w:val="0"/>
                <w:bCs w:val="0"/>
                <w:color w:val="auto"/>
                <w:spacing w:val="-10"/>
                <w:sz w:val="24"/>
                <w:szCs w:val="21"/>
                <w:shd w:val="clear" w:color="auto" w:fill="auto"/>
                <w:lang w:val="en-US" w:eastAsia="zh-CN"/>
              </w:rPr>
              <w:t>参考</w:t>
            </w:r>
            <w:r>
              <w:rPr>
                <w:rFonts w:hint="eastAsia" w:ascii="Times New Roman" w:hAnsi="Times New Roman" w:cs="Times New Roman"/>
                <w:b w:val="0"/>
                <w:bCs/>
                <w:color w:val="auto"/>
                <w:kern w:val="0"/>
                <w:sz w:val="24"/>
                <w:szCs w:val="20"/>
                <w:shd w:val="clear" w:color="auto" w:fill="auto"/>
                <w:lang w:val="en-US" w:eastAsia="zh-CN" w:bidi="ar-SA"/>
              </w:rPr>
              <w:t>《江苏鑫宇建材科技有限公司中空玻璃及钢化玻璃加工项目竣工环境保护验收监测报告表》（2023年3月）</w:t>
            </w:r>
            <w:r>
              <w:rPr>
                <w:rFonts w:hint="eastAsia" w:cs="Times New Roman"/>
                <w:color w:val="auto"/>
                <w:kern w:val="0"/>
                <w:sz w:val="24"/>
                <w:szCs w:val="20"/>
                <w:shd w:val="clear" w:color="auto" w:fill="auto"/>
                <w:lang w:val="en-US" w:eastAsia="zh-CN" w:bidi="ar-SA"/>
              </w:rPr>
              <w:t>，本项目产生废玻璃边角料量约为81.2t/a，属于一般工业固废，</w:t>
            </w:r>
            <w:r>
              <w:rPr>
                <w:rFonts w:hint="eastAsia" w:ascii="Times New Roman" w:hAnsi="Times New Roman" w:eastAsia="宋体" w:cs="Times New Roman"/>
                <w:color w:val="auto"/>
                <w:kern w:val="0"/>
                <w:sz w:val="24"/>
                <w:szCs w:val="20"/>
                <w:shd w:val="clear" w:color="auto" w:fill="auto"/>
                <w:lang w:val="en-US" w:eastAsia="zh-CN" w:bidi="ar-SA"/>
              </w:rPr>
              <w:t>收集后统一外售给相关单位综合利用。</w:t>
            </w:r>
          </w:p>
          <w:p w14:paraId="780AE92A">
            <w:pPr>
              <w:pStyle w:val="2"/>
              <w:keepNext w:val="0"/>
              <w:keepLines w:val="0"/>
              <w:pageBreakBefore w:val="0"/>
              <w:widowControl w:val="0"/>
              <w:kinsoku/>
              <w:wordWrap/>
              <w:overflowPunct/>
              <w:topLinePunct w:val="0"/>
              <w:bidi w:val="0"/>
              <w:spacing w:line="360" w:lineRule="auto"/>
              <w:ind w:leftChars="0" w:firstLine="480" w:firstLineChars="200"/>
              <w:jc w:val="both"/>
              <w:textAlignment w:val="auto"/>
              <w:rPr>
                <w:rFonts w:hint="default" w:ascii="Times New Roman" w:hAnsi="Times New Roman" w:eastAsia="宋体"/>
                <w:b w:val="0"/>
                <w:bCs/>
                <w:color w:val="auto"/>
                <w:sz w:val="24"/>
                <w:shd w:val="clear" w:color="auto" w:fill="auto"/>
                <w:lang w:val="en-US" w:eastAsia="zh-CN"/>
              </w:rPr>
            </w:pPr>
            <w:r>
              <w:rPr>
                <w:rFonts w:hint="eastAsia" w:ascii="Times New Roman" w:hAnsi="Times New Roman"/>
                <w:b w:val="0"/>
                <w:bCs/>
                <w:color w:val="auto"/>
                <w:sz w:val="24"/>
                <w:shd w:val="clear" w:color="auto" w:fill="auto"/>
              </w:rPr>
              <w:t>（</w:t>
            </w:r>
            <w:r>
              <w:rPr>
                <w:rFonts w:hint="eastAsia" w:ascii="Times New Roman" w:hAnsi="Times New Roman"/>
                <w:b w:val="0"/>
                <w:bCs/>
                <w:color w:val="auto"/>
                <w:sz w:val="24"/>
                <w:shd w:val="clear" w:color="auto" w:fill="auto"/>
                <w:lang w:val="en-US" w:eastAsia="zh-CN"/>
              </w:rPr>
              <w:t>2</w:t>
            </w:r>
            <w:r>
              <w:rPr>
                <w:rFonts w:hint="eastAsia" w:ascii="Times New Roman" w:hAnsi="Times New Roman"/>
                <w:b w:val="0"/>
                <w:bCs/>
                <w:color w:val="auto"/>
                <w:sz w:val="24"/>
                <w:shd w:val="clear" w:color="auto" w:fill="auto"/>
              </w:rPr>
              <w:t>）</w:t>
            </w:r>
            <w:r>
              <w:rPr>
                <w:rFonts w:hint="eastAsia" w:ascii="Times New Roman" w:hAnsi="Times New Roman"/>
                <w:b w:val="0"/>
                <w:bCs/>
                <w:color w:val="auto"/>
                <w:sz w:val="24"/>
                <w:shd w:val="clear" w:color="auto" w:fill="auto"/>
                <w:lang w:val="en-US" w:eastAsia="zh-CN"/>
              </w:rPr>
              <w:t>不合格品</w:t>
            </w:r>
          </w:p>
          <w:p w14:paraId="101C9A38">
            <w:pPr>
              <w:keepNext w:val="0"/>
              <w:keepLines w:val="0"/>
              <w:pageBreakBefore w:val="0"/>
              <w:widowControl w:val="0"/>
              <w:kinsoku/>
              <w:wordWrap/>
              <w:overflowPunct/>
              <w:topLinePunct w:val="0"/>
              <w:bidi w:val="0"/>
              <w:spacing w:line="360" w:lineRule="auto"/>
              <w:ind w:leftChars="0" w:firstLine="480" w:firstLineChars="200"/>
              <w:jc w:val="both"/>
              <w:textAlignment w:val="auto"/>
              <w:rPr>
                <w:rFonts w:hint="eastAsia" w:ascii="Times New Roman" w:hAnsi="Times New Roman"/>
                <w:bCs/>
                <w:color w:val="auto"/>
                <w:spacing w:val="-10"/>
                <w:sz w:val="24"/>
                <w:szCs w:val="21"/>
                <w:shd w:val="clear" w:color="auto" w:fill="auto"/>
                <w:lang w:val="en-US" w:eastAsia="zh-CN"/>
              </w:rPr>
            </w:pPr>
            <w:r>
              <w:rPr>
                <w:rFonts w:hint="eastAsia" w:cs="Times New Roman"/>
                <w:color w:val="auto"/>
                <w:kern w:val="0"/>
                <w:sz w:val="24"/>
                <w:szCs w:val="20"/>
                <w:shd w:val="clear" w:color="auto" w:fill="auto"/>
                <w:lang w:val="en-US" w:eastAsia="zh-CN" w:bidi="ar-SA"/>
              </w:rPr>
              <w:t>本项目检验过程会产生不合格品，参考《江苏鑫宇建材科技有限公司中空玻璃及钢化玻璃加工项目竣工环境保护验收监测报告表》（2023年3月）不合格品产生系数约为0.13t/万平方米产品。经计算</w:t>
            </w:r>
            <w:r>
              <w:rPr>
                <w:rFonts w:hint="eastAsia" w:ascii="Times New Roman" w:hAnsi="Times New Roman" w:eastAsia="宋体" w:cs="Times New Roman"/>
                <w:color w:val="auto"/>
                <w:kern w:val="0"/>
                <w:sz w:val="24"/>
                <w:szCs w:val="20"/>
                <w:shd w:val="clear" w:color="auto" w:fill="auto"/>
                <w:lang w:val="en-US" w:eastAsia="zh-CN" w:bidi="ar-SA"/>
              </w:rPr>
              <w:t>本项目不合格品产生量</w:t>
            </w:r>
            <w:r>
              <w:rPr>
                <w:rFonts w:hint="eastAsia" w:cs="Times New Roman"/>
                <w:color w:val="auto"/>
                <w:kern w:val="0"/>
                <w:sz w:val="24"/>
                <w:szCs w:val="20"/>
                <w:shd w:val="clear" w:color="auto" w:fill="auto"/>
                <w:lang w:val="en-US" w:eastAsia="zh-CN" w:bidi="ar-SA"/>
              </w:rPr>
              <w:t>约</w:t>
            </w:r>
            <w:r>
              <w:rPr>
                <w:rFonts w:hint="eastAsia" w:ascii="Times New Roman" w:hAnsi="Times New Roman" w:eastAsia="宋体" w:cs="Times New Roman"/>
                <w:color w:val="auto"/>
                <w:kern w:val="0"/>
                <w:sz w:val="24"/>
                <w:szCs w:val="20"/>
                <w:shd w:val="clear" w:color="auto" w:fill="auto"/>
                <w:lang w:val="en-US" w:eastAsia="zh-CN" w:bidi="ar-SA"/>
              </w:rPr>
              <w:t>为</w:t>
            </w:r>
            <w:r>
              <w:rPr>
                <w:rFonts w:hint="eastAsia" w:cs="Times New Roman"/>
                <w:color w:val="auto"/>
                <w:kern w:val="0"/>
                <w:sz w:val="24"/>
                <w:szCs w:val="20"/>
                <w:shd w:val="clear" w:color="auto" w:fill="auto"/>
                <w:lang w:val="en-US" w:eastAsia="zh-CN" w:bidi="ar-SA"/>
              </w:rPr>
              <w:t>3.38</w:t>
            </w:r>
            <w:r>
              <w:rPr>
                <w:rFonts w:hint="eastAsia" w:ascii="Times New Roman" w:hAnsi="Times New Roman" w:eastAsia="宋体" w:cs="Times New Roman"/>
                <w:color w:val="auto"/>
                <w:kern w:val="0"/>
                <w:sz w:val="24"/>
                <w:szCs w:val="20"/>
                <w:shd w:val="clear" w:color="auto" w:fill="auto"/>
                <w:lang w:val="en-US" w:eastAsia="zh-CN" w:bidi="ar-SA"/>
              </w:rPr>
              <w:t>t/a，收集后统一外售给相关单位综合利用。</w:t>
            </w:r>
          </w:p>
          <w:p w14:paraId="21E9461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40" w:firstLineChars="200"/>
              <w:jc w:val="both"/>
              <w:textAlignment w:val="auto"/>
              <w:rPr>
                <w:rFonts w:hint="eastAsia" w:ascii="Times New Roman" w:hAnsi="Times New Roman"/>
                <w:bCs/>
                <w:color w:val="auto"/>
                <w:spacing w:val="-10"/>
                <w:sz w:val="24"/>
                <w:szCs w:val="21"/>
                <w:shd w:val="clear" w:color="auto" w:fill="auto"/>
                <w:lang w:val="en-US" w:eastAsia="zh-CN"/>
              </w:rPr>
            </w:pPr>
            <w:r>
              <w:rPr>
                <w:rFonts w:hint="eastAsia" w:ascii="Times New Roman" w:hAnsi="Times New Roman" w:eastAsia="宋体" w:cs="Times New Roman"/>
                <w:bCs/>
                <w:color w:val="auto"/>
                <w:spacing w:val="-10"/>
                <w:kern w:val="2"/>
                <w:sz w:val="24"/>
                <w:szCs w:val="21"/>
                <w:shd w:val="clear" w:fill="auto"/>
                <w:lang w:val="en-US" w:eastAsia="zh-CN" w:bidi="ar-SA"/>
              </w:rPr>
              <w:t>（3）</w:t>
            </w:r>
            <w:r>
              <w:rPr>
                <w:rFonts w:hint="eastAsia"/>
                <w:bCs/>
                <w:color w:val="auto"/>
                <w:spacing w:val="-10"/>
                <w:sz w:val="24"/>
                <w:szCs w:val="21"/>
                <w:shd w:val="clear" w:color="auto" w:fill="auto"/>
                <w:lang w:val="en-US" w:eastAsia="zh-CN"/>
              </w:rPr>
              <w:t>沉渣</w:t>
            </w:r>
          </w:p>
          <w:p w14:paraId="46C70BF9">
            <w:pPr>
              <w:keepNext w:val="0"/>
              <w:keepLines w:val="0"/>
              <w:pageBreakBefore w:val="0"/>
              <w:widowControl w:val="0"/>
              <w:kinsoku/>
              <w:wordWrap/>
              <w:overflowPunct/>
              <w:topLinePunct w:val="0"/>
              <w:autoSpaceDE/>
              <w:autoSpaceDN/>
              <w:bidi w:val="0"/>
              <w:spacing w:line="360" w:lineRule="auto"/>
              <w:ind w:leftChars="0" w:firstLine="480" w:firstLineChars="200"/>
              <w:jc w:val="both"/>
              <w:textAlignment w:val="auto"/>
              <w:rPr>
                <w:rFonts w:hint="default"/>
                <w:color w:val="auto"/>
                <w:lang w:val="en-US" w:eastAsia="zh-CN"/>
              </w:rPr>
            </w:pPr>
            <w:r>
              <w:rPr>
                <w:rFonts w:hint="eastAsia" w:ascii="Times New Roman" w:hAnsi="Times New Roman"/>
                <w:color w:val="auto"/>
                <w:sz w:val="24"/>
                <w:lang w:val="en-US" w:eastAsia="zh-CN"/>
              </w:rPr>
              <w:t>本项目</w:t>
            </w:r>
            <w:r>
              <w:rPr>
                <w:rFonts w:hint="eastAsia"/>
                <w:color w:val="auto"/>
                <w:sz w:val="24"/>
                <w:lang w:val="en-US" w:eastAsia="zh-CN"/>
              </w:rPr>
              <w:t>切割、钻孔废水经沉淀池处理，清洗废水经清洗机自带水箱处理，废水沉淀会产生沉渣</w:t>
            </w:r>
            <w:r>
              <w:rPr>
                <w:rFonts w:hint="eastAsia" w:ascii="Times New Roman" w:hAnsi="Times New Roman"/>
                <w:color w:val="auto"/>
                <w:sz w:val="24"/>
                <w:lang w:val="en-US" w:eastAsia="zh-CN"/>
              </w:rPr>
              <w:t>，</w:t>
            </w:r>
            <w:r>
              <w:rPr>
                <w:rFonts w:hint="eastAsia" w:cs="Times New Roman"/>
                <w:color w:val="auto"/>
                <w:kern w:val="0"/>
                <w:sz w:val="24"/>
                <w:szCs w:val="20"/>
                <w:shd w:val="clear" w:color="auto" w:fill="auto"/>
                <w:lang w:val="en-US" w:eastAsia="zh-CN" w:bidi="ar-SA"/>
              </w:rPr>
              <w:t>参考《江苏泰淮安全玻璃科技有限公司钢化玻璃加工项目竣工环境保护验收监测报告表》（2024年3月）</w:t>
            </w:r>
            <w:r>
              <w:rPr>
                <w:rFonts w:hint="eastAsia" w:ascii="Times New Roman" w:hAnsi="Times New Roman"/>
                <w:color w:val="auto"/>
                <w:sz w:val="24"/>
                <w:lang w:val="en-US" w:eastAsia="zh-CN"/>
              </w:rPr>
              <w:t>，</w:t>
            </w:r>
            <w:r>
              <w:rPr>
                <w:rFonts w:hint="eastAsia" w:cs="Times New Roman"/>
                <w:color w:val="auto"/>
                <w:kern w:val="0"/>
                <w:sz w:val="24"/>
                <w:szCs w:val="20"/>
                <w:shd w:val="clear" w:color="auto" w:fill="auto"/>
                <w:lang w:val="en-US" w:eastAsia="zh-CN" w:bidi="ar-SA"/>
              </w:rPr>
              <w:t>沉渣产生系数约为0.06t/万平方米产品，</w:t>
            </w:r>
            <w:r>
              <w:rPr>
                <w:rFonts w:hint="eastAsia" w:ascii="Times New Roman" w:hAnsi="Times New Roman"/>
                <w:color w:val="auto"/>
                <w:sz w:val="24"/>
                <w:lang w:val="en-US" w:eastAsia="zh-CN"/>
              </w:rPr>
              <w:t>则本项目</w:t>
            </w:r>
            <w:r>
              <w:rPr>
                <w:rFonts w:hint="eastAsia"/>
                <w:color w:val="auto"/>
                <w:sz w:val="24"/>
                <w:lang w:val="en-US" w:eastAsia="zh-CN"/>
              </w:rPr>
              <w:t>沉渣</w:t>
            </w:r>
            <w:r>
              <w:rPr>
                <w:rFonts w:hint="eastAsia" w:ascii="Times New Roman" w:hAnsi="Times New Roman"/>
                <w:color w:val="auto"/>
                <w:sz w:val="24"/>
                <w:lang w:val="en-US" w:eastAsia="zh-CN"/>
              </w:rPr>
              <w:t>产生量约为</w:t>
            </w:r>
            <w:r>
              <w:rPr>
                <w:rFonts w:hint="eastAsia"/>
                <w:color w:val="auto"/>
                <w:sz w:val="24"/>
                <w:lang w:val="en-US" w:eastAsia="zh-CN"/>
              </w:rPr>
              <w:t>1.56</w:t>
            </w:r>
            <w:r>
              <w:rPr>
                <w:rFonts w:hint="eastAsia" w:ascii="Times New Roman" w:hAnsi="Times New Roman"/>
                <w:color w:val="auto"/>
                <w:sz w:val="24"/>
                <w:lang w:val="en-US" w:eastAsia="zh-CN"/>
              </w:rPr>
              <w:t>t/a</w:t>
            </w:r>
            <w:r>
              <w:rPr>
                <w:rFonts w:hint="eastAsia" w:ascii="Times New Roman" w:hAnsi="Times New Roman" w:eastAsia="宋体" w:cs="Times New Roman"/>
                <w:color w:val="auto"/>
                <w:kern w:val="0"/>
                <w:sz w:val="24"/>
                <w:szCs w:val="20"/>
                <w:shd w:val="clear" w:color="auto" w:fill="auto"/>
                <w:lang w:val="en-US" w:eastAsia="zh-CN" w:bidi="ar-SA"/>
              </w:rPr>
              <w:t>，收集后统一外售给相关单位综合利用。</w:t>
            </w:r>
          </w:p>
          <w:p w14:paraId="122A35FC">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40" w:firstLineChars="200"/>
              <w:jc w:val="both"/>
              <w:textAlignment w:val="auto"/>
              <w:rPr>
                <w:rFonts w:hint="eastAsia" w:ascii="Times New Roman" w:hAnsi="Times New Roman"/>
                <w:bCs/>
                <w:color w:val="auto"/>
                <w:spacing w:val="-10"/>
                <w:sz w:val="24"/>
                <w:szCs w:val="21"/>
                <w:shd w:val="clear" w:color="auto" w:fill="auto"/>
                <w:lang w:val="en-US" w:eastAsia="zh-CN"/>
              </w:rPr>
            </w:pPr>
            <w:r>
              <w:rPr>
                <w:rFonts w:hint="eastAsia" w:ascii="Times New Roman" w:hAnsi="Times New Roman" w:eastAsia="宋体" w:cs="Times New Roman"/>
                <w:bCs/>
                <w:color w:val="auto"/>
                <w:spacing w:val="-10"/>
                <w:kern w:val="2"/>
                <w:sz w:val="24"/>
                <w:szCs w:val="21"/>
                <w:shd w:val="clear" w:fill="auto"/>
                <w:lang w:val="en-US" w:eastAsia="zh-CN" w:bidi="ar-SA"/>
              </w:rPr>
              <w:t>（4）</w:t>
            </w:r>
            <w:r>
              <w:rPr>
                <w:rFonts w:hint="eastAsia" w:ascii="Times New Roman" w:hAnsi="Times New Roman"/>
                <w:bCs/>
                <w:color w:val="auto"/>
                <w:spacing w:val="-10"/>
                <w:sz w:val="24"/>
                <w:szCs w:val="21"/>
                <w:shd w:val="clear" w:color="auto" w:fill="auto"/>
                <w:lang w:val="en-US" w:eastAsia="zh-CN"/>
              </w:rPr>
              <w:t>废包装材料</w:t>
            </w:r>
          </w:p>
          <w:p w14:paraId="6EFCF671">
            <w:pPr>
              <w:pStyle w:val="2"/>
              <w:keepNext w:val="0"/>
              <w:keepLines w:val="0"/>
              <w:pageBreakBefore w:val="0"/>
              <w:widowControl w:val="0"/>
              <w:kinsoku/>
              <w:wordWrap/>
              <w:overflowPunct/>
              <w:topLinePunct w:val="0"/>
              <w:bidi w:val="0"/>
              <w:spacing w:line="360" w:lineRule="auto"/>
              <w:ind w:leftChars="0" w:firstLine="440" w:firstLineChars="200"/>
              <w:jc w:val="both"/>
              <w:textAlignment w:val="auto"/>
              <w:rPr>
                <w:rFonts w:hint="default" w:ascii="Times New Roman" w:hAnsi="Times New Roman" w:eastAsia="宋体" w:cs="Times New Roman"/>
                <w:b w:val="0"/>
                <w:bCs w:val="0"/>
                <w:color w:val="auto"/>
                <w:kern w:val="0"/>
                <w:sz w:val="24"/>
                <w:szCs w:val="20"/>
                <w:shd w:val="clear" w:color="auto" w:fill="auto"/>
                <w:lang w:val="en-US" w:eastAsia="zh-CN" w:bidi="ar-SA"/>
              </w:rPr>
            </w:pPr>
            <w:r>
              <w:rPr>
                <w:rFonts w:hint="default" w:ascii="Times New Roman" w:hAnsi="Times New Roman" w:cs="Times New Roman"/>
                <w:b w:val="0"/>
                <w:bCs w:val="0"/>
                <w:color w:val="auto"/>
                <w:spacing w:val="-10"/>
                <w:sz w:val="24"/>
                <w:szCs w:val="21"/>
                <w:shd w:val="clear" w:color="auto" w:fill="auto"/>
                <w:lang w:val="en-US" w:eastAsia="zh-CN"/>
              </w:rPr>
              <w:t>项目 PVB 胶片和丁基胶均采用卷装，内衬为塑料薄膜，常温下PVB 和丁基胶均为固态，包装材料可作为一般固废，</w:t>
            </w:r>
            <w:r>
              <w:rPr>
                <w:rFonts w:hint="eastAsia" w:ascii="Times New Roman" w:hAnsi="Times New Roman" w:cs="Times New Roman"/>
                <w:b w:val="0"/>
                <w:bCs w:val="0"/>
                <w:color w:val="auto"/>
                <w:spacing w:val="-10"/>
                <w:sz w:val="24"/>
                <w:szCs w:val="21"/>
                <w:shd w:val="clear" w:color="auto" w:fill="auto"/>
                <w:lang w:val="en-US" w:eastAsia="zh-CN"/>
              </w:rPr>
              <w:t>参考</w:t>
            </w:r>
            <w:r>
              <w:rPr>
                <w:rFonts w:hint="eastAsia" w:ascii="Times New Roman" w:hAnsi="Times New Roman" w:cs="Times New Roman"/>
                <w:b w:val="0"/>
                <w:bCs/>
                <w:color w:val="auto"/>
                <w:kern w:val="0"/>
                <w:sz w:val="24"/>
                <w:szCs w:val="20"/>
                <w:shd w:val="clear" w:color="auto" w:fill="auto"/>
                <w:lang w:val="en-US" w:eastAsia="zh-CN" w:bidi="ar-SA"/>
              </w:rPr>
              <w:t>《江苏鑫宇建材科技有限公司中空玻璃及钢化玻璃加工项目竣工环境保护验收监测报告表》（2023年3月）</w:t>
            </w:r>
            <w:r>
              <w:rPr>
                <w:rFonts w:hint="default" w:ascii="Times New Roman" w:hAnsi="Times New Roman" w:cs="Times New Roman"/>
                <w:b w:val="0"/>
                <w:bCs w:val="0"/>
                <w:color w:val="auto"/>
                <w:spacing w:val="-10"/>
                <w:sz w:val="24"/>
                <w:szCs w:val="21"/>
                <w:shd w:val="clear" w:color="auto" w:fill="auto"/>
                <w:lang w:val="en-US" w:eastAsia="zh-CN"/>
              </w:rPr>
              <w:t>，本项目废包装材料产生量为0.02t/a，</w:t>
            </w:r>
            <w:r>
              <w:rPr>
                <w:rFonts w:hint="default" w:ascii="Times New Roman" w:hAnsi="Times New Roman" w:eastAsia="宋体" w:cs="Times New Roman"/>
                <w:b w:val="0"/>
                <w:bCs w:val="0"/>
                <w:color w:val="auto"/>
                <w:kern w:val="0"/>
                <w:sz w:val="24"/>
                <w:szCs w:val="20"/>
                <w:shd w:val="clear" w:color="auto" w:fill="auto"/>
                <w:lang w:val="en-US" w:eastAsia="zh-CN" w:bidi="ar-SA"/>
              </w:rPr>
              <w:t>收集后统一外售给相关单位综合利用。</w:t>
            </w:r>
          </w:p>
          <w:p w14:paraId="0C43EE8C">
            <w:pPr>
              <w:pStyle w:val="2"/>
              <w:keepNext w:val="0"/>
              <w:keepLines w:val="0"/>
              <w:pageBreakBefore w:val="0"/>
              <w:widowControl w:val="0"/>
              <w:kinsoku/>
              <w:wordWrap/>
              <w:overflowPunct/>
              <w:topLinePunct w:val="0"/>
              <w:bidi w:val="0"/>
              <w:spacing w:line="360" w:lineRule="auto"/>
              <w:ind w:leftChars="0" w:firstLine="480" w:firstLineChars="200"/>
              <w:jc w:val="both"/>
              <w:textAlignment w:val="auto"/>
              <w:rPr>
                <w:rFonts w:hint="eastAsia" w:ascii="Times New Roman" w:hAnsi="Times New Roman" w:eastAsia="宋体"/>
                <w:b w:val="0"/>
                <w:bCs/>
                <w:color w:val="auto"/>
                <w:sz w:val="24"/>
                <w:shd w:val="clear" w:color="auto" w:fill="auto"/>
                <w:lang w:eastAsia="zh-CN"/>
              </w:rPr>
            </w:pPr>
            <w:r>
              <w:rPr>
                <w:rFonts w:hint="eastAsia" w:ascii="Times New Roman" w:hAnsi="Times New Roman"/>
                <w:b w:val="0"/>
                <w:bCs/>
                <w:color w:val="auto"/>
                <w:sz w:val="24"/>
                <w:shd w:val="clear" w:color="auto" w:fill="auto"/>
              </w:rPr>
              <w:t>（</w:t>
            </w:r>
            <w:r>
              <w:rPr>
                <w:rFonts w:hint="eastAsia" w:ascii="Times New Roman" w:hAnsi="Times New Roman"/>
                <w:b w:val="0"/>
                <w:bCs/>
                <w:color w:val="auto"/>
                <w:sz w:val="24"/>
                <w:shd w:val="clear" w:color="auto" w:fill="auto"/>
                <w:lang w:val="en-US" w:eastAsia="zh-CN"/>
              </w:rPr>
              <w:t>5</w:t>
            </w:r>
            <w:r>
              <w:rPr>
                <w:rFonts w:hint="eastAsia" w:ascii="Times New Roman" w:hAnsi="Times New Roman"/>
                <w:b w:val="0"/>
                <w:bCs/>
                <w:color w:val="auto"/>
                <w:sz w:val="24"/>
                <w:shd w:val="clear" w:color="auto" w:fill="auto"/>
              </w:rPr>
              <w:t>）</w:t>
            </w:r>
            <w:r>
              <w:rPr>
                <w:rFonts w:hint="eastAsia" w:ascii="Times New Roman" w:hAnsi="Times New Roman"/>
                <w:b w:val="0"/>
                <w:bCs/>
                <w:color w:val="auto"/>
                <w:sz w:val="24"/>
                <w:shd w:val="clear" w:color="auto" w:fill="auto"/>
                <w:lang w:val="en-US" w:eastAsia="zh-CN"/>
              </w:rPr>
              <w:t>铝边角料</w:t>
            </w:r>
          </w:p>
          <w:p w14:paraId="570104EC">
            <w:pPr>
              <w:keepNext w:val="0"/>
              <w:keepLines w:val="0"/>
              <w:pageBreakBefore w:val="0"/>
              <w:widowControl w:val="0"/>
              <w:kinsoku/>
              <w:wordWrap/>
              <w:overflowPunct/>
              <w:topLinePunct w:val="0"/>
              <w:bidi w:val="0"/>
              <w:spacing w:line="360" w:lineRule="auto"/>
              <w:ind w:leftChars="0" w:firstLine="480" w:firstLineChars="200"/>
              <w:jc w:val="both"/>
              <w:textAlignment w:val="auto"/>
              <w:rPr>
                <w:rFonts w:hint="eastAsia" w:ascii="Times New Roman" w:hAnsi="Times New Roman" w:eastAsia="宋体" w:cs="Times New Roman"/>
                <w:color w:val="auto"/>
                <w:kern w:val="0"/>
                <w:sz w:val="24"/>
                <w:szCs w:val="20"/>
                <w:shd w:val="clear" w:color="auto" w:fill="auto"/>
                <w:lang w:val="en-US" w:eastAsia="zh-CN" w:bidi="ar-SA"/>
              </w:rPr>
            </w:pPr>
            <w:r>
              <w:rPr>
                <w:rFonts w:hint="eastAsia" w:cs="Times New Roman"/>
                <w:color w:val="auto"/>
                <w:kern w:val="0"/>
                <w:sz w:val="24"/>
                <w:szCs w:val="20"/>
                <w:shd w:val="clear" w:color="auto" w:fill="auto"/>
                <w:lang w:val="en-US" w:eastAsia="zh-CN" w:bidi="ar-SA"/>
              </w:rPr>
              <w:t>本项目外购的铝条经折弯机先折弯再裁剪，裁剪过程会产生铝边角料。参考《淮安大宇特种玻璃有限公司特种玻璃加工改扩建项目竣工环境保护验收监测报告表》（2024年1月），铝边角料产生量约为原料用量的1%，经折算本项目铝条用量约为4t/a，则铝边角料产生量约为0.04t/a，属于一般工业固废，</w:t>
            </w:r>
            <w:r>
              <w:rPr>
                <w:rFonts w:hint="eastAsia" w:ascii="Times New Roman" w:hAnsi="Times New Roman" w:eastAsia="宋体" w:cs="Times New Roman"/>
                <w:color w:val="auto"/>
                <w:kern w:val="0"/>
                <w:sz w:val="24"/>
                <w:szCs w:val="20"/>
                <w:shd w:val="clear" w:color="auto" w:fill="auto"/>
                <w:lang w:val="en-US" w:eastAsia="zh-CN" w:bidi="ar-SA"/>
              </w:rPr>
              <w:t>收集后统一外售给相关单位综合利用。</w:t>
            </w:r>
          </w:p>
          <w:p w14:paraId="26D3043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40" w:firstLineChars="200"/>
              <w:jc w:val="both"/>
              <w:textAlignment w:val="auto"/>
              <w:rPr>
                <w:rFonts w:hint="eastAsia" w:ascii="Times New Roman" w:hAnsi="Times New Roman" w:eastAsia="宋体"/>
                <w:bCs/>
                <w:color w:val="auto"/>
                <w:spacing w:val="-10"/>
                <w:sz w:val="24"/>
                <w:szCs w:val="21"/>
                <w:shd w:val="clear" w:color="auto" w:fill="auto"/>
                <w:lang w:val="en-US" w:eastAsia="zh-CN"/>
              </w:rPr>
            </w:pPr>
            <w:r>
              <w:rPr>
                <w:rFonts w:hint="eastAsia" w:ascii="Times New Roman" w:hAnsi="Times New Roman" w:eastAsia="宋体" w:cs="Times New Roman"/>
                <w:bCs/>
                <w:color w:val="auto"/>
                <w:spacing w:val="-10"/>
                <w:kern w:val="2"/>
                <w:sz w:val="24"/>
                <w:szCs w:val="21"/>
                <w:shd w:val="clear" w:fill="auto"/>
                <w:lang w:val="en-US" w:eastAsia="zh-CN" w:bidi="ar-SA"/>
              </w:rPr>
              <w:t>（</w:t>
            </w:r>
            <w:r>
              <w:rPr>
                <w:rFonts w:hint="eastAsia" w:eastAsia="宋体" w:cs="Times New Roman"/>
                <w:bCs/>
                <w:color w:val="auto"/>
                <w:spacing w:val="-10"/>
                <w:kern w:val="2"/>
                <w:sz w:val="24"/>
                <w:szCs w:val="21"/>
                <w:shd w:val="clear" w:fill="auto"/>
                <w:lang w:val="en-US" w:eastAsia="zh-CN" w:bidi="ar-SA"/>
              </w:rPr>
              <w:t>6</w:t>
            </w:r>
            <w:r>
              <w:rPr>
                <w:rFonts w:hint="eastAsia" w:ascii="Times New Roman" w:hAnsi="Times New Roman" w:eastAsia="宋体" w:cs="Times New Roman"/>
                <w:bCs/>
                <w:color w:val="auto"/>
                <w:spacing w:val="0"/>
                <w:kern w:val="2"/>
                <w:sz w:val="24"/>
                <w:szCs w:val="21"/>
                <w:shd w:val="clear" w:fill="auto"/>
                <w:lang w:val="en-US" w:eastAsia="zh-CN" w:bidi="ar-SA"/>
              </w:rPr>
              <w:t>）</w:t>
            </w:r>
            <w:r>
              <w:rPr>
                <w:rFonts w:hint="eastAsia" w:ascii="Times New Roman" w:hAnsi="Times New Roman" w:eastAsia="宋体"/>
                <w:bCs/>
                <w:color w:val="auto"/>
                <w:spacing w:val="0"/>
                <w:sz w:val="24"/>
                <w:szCs w:val="21"/>
                <w:shd w:val="clear" w:color="auto" w:fill="auto"/>
                <w:lang w:val="en-US" w:eastAsia="zh-CN"/>
              </w:rPr>
              <w:t>废</w:t>
            </w:r>
            <w:r>
              <w:rPr>
                <w:rFonts w:hint="eastAsia" w:eastAsia="宋体"/>
                <w:bCs/>
                <w:color w:val="auto"/>
                <w:spacing w:val="0"/>
                <w:sz w:val="24"/>
                <w:szCs w:val="21"/>
                <w:shd w:val="clear" w:color="auto" w:fill="auto"/>
                <w:lang w:val="en-US" w:eastAsia="zh-CN"/>
              </w:rPr>
              <w:t>硅酮胶包装桶</w:t>
            </w:r>
          </w:p>
          <w:p w14:paraId="730A2D95">
            <w:pPr>
              <w:keepNext w:val="0"/>
              <w:keepLines w:val="0"/>
              <w:pageBreakBefore w:val="0"/>
              <w:widowControl w:val="0"/>
              <w:kinsoku/>
              <w:wordWrap/>
              <w:overflowPunct/>
              <w:topLinePunct w:val="0"/>
              <w:autoSpaceDE/>
              <w:autoSpaceDN/>
              <w:bidi w:val="0"/>
              <w:spacing w:line="360" w:lineRule="auto"/>
              <w:ind w:leftChars="0" w:firstLine="480" w:firstLineChars="200"/>
              <w:jc w:val="both"/>
              <w:textAlignment w:val="auto"/>
              <w:rPr>
                <w:rFonts w:hint="eastAsia" w:ascii="Times New Roman" w:hAnsi="Times New Roman" w:eastAsia="宋体"/>
                <w:bCs/>
                <w:color w:val="auto"/>
                <w:spacing w:val="0"/>
                <w:sz w:val="24"/>
                <w:szCs w:val="21"/>
                <w:shd w:val="clear" w:color="auto" w:fill="auto"/>
                <w:lang w:val="en-US" w:eastAsia="zh-CN"/>
              </w:rPr>
            </w:pPr>
            <w:r>
              <w:rPr>
                <w:rFonts w:hint="eastAsia" w:ascii="Times New Roman" w:hAnsi="Times New Roman" w:eastAsia="宋体"/>
                <w:bCs/>
                <w:color w:val="auto"/>
                <w:spacing w:val="0"/>
                <w:sz w:val="24"/>
                <w:szCs w:val="21"/>
                <w:shd w:val="clear" w:color="auto" w:fill="auto"/>
                <w:lang w:val="en-US" w:eastAsia="zh-CN"/>
              </w:rPr>
              <w:t>本项目密封工序中所使用的硅酮胶为半固体胶水，采用塑料袋包装后</w:t>
            </w:r>
            <w:r>
              <w:rPr>
                <w:rFonts w:hint="eastAsia"/>
                <w:bCs/>
                <w:color w:val="auto"/>
                <w:spacing w:val="0"/>
                <w:sz w:val="24"/>
                <w:szCs w:val="21"/>
                <w:shd w:val="clear" w:color="auto" w:fill="auto"/>
                <w:lang w:val="en-US" w:eastAsia="zh-CN"/>
              </w:rPr>
              <w:t>置于</w:t>
            </w:r>
            <w:r>
              <w:rPr>
                <w:rFonts w:hint="eastAsia" w:ascii="Times New Roman" w:hAnsi="Times New Roman" w:eastAsia="宋体"/>
                <w:bCs/>
                <w:color w:val="auto"/>
                <w:spacing w:val="0"/>
                <w:sz w:val="24"/>
                <w:szCs w:val="21"/>
                <w:shd w:val="clear" w:color="auto" w:fill="auto"/>
                <w:lang w:val="en-US" w:eastAsia="zh-CN"/>
              </w:rPr>
              <w:t>铁桶内，胶水用尽后，铁桶由供应商回收</w:t>
            </w:r>
            <w:r>
              <w:rPr>
                <w:rFonts w:hint="eastAsia" w:eastAsia="宋体"/>
                <w:bCs/>
                <w:color w:val="auto"/>
                <w:spacing w:val="0"/>
                <w:sz w:val="24"/>
                <w:szCs w:val="21"/>
                <w:shd w:val="clear" w:color="auto" w:fill="auto"/>
                <w:lang w:val="en-US" w:eastAsia="zh-CN"/>
              </w:rPr>
              <w:t>，</w:t>
            </w:r>
            <w:r>
              <w:rPr>
                <w:rFonts w:hint="eastAsia" w:ascii="Times New Roman" w:hAnsi="Times New Roman" w:cs="Times New Roman"/>
                <w:b w:val="0"/>
                <w:bCs w:val="0"/>
                <w:color w:val="auto"/>
                <w:spacing w:val="0"/>
                <w:sz w:val="24"/>
                <w:szCs w:val="21"/>
                <w:shd w:val="clear" w:color="auto" w:fill="auto"/>
                <w:lang w:val="en-US" w:eastAsia="zh-CN"/>
              </w:rPr>
              <w:t>参考</w:t>
            </w:r>
            <w:r>
              <w:rPr>
                <w:rFonts w:hint="eastAsia" w:ascii="Times New Roman" w:hAnsi="Times New Roman" w:cs="Times New Roman"/>
                <w:b w:val="0"/>
                <w:bCs/>
                <w:color w:val="auto"/>
                <w:spacing w:val="0"/>
                <w:kern w:val="0"/>
                <w:sz w:val="24"/>
                <w:szCs w:val="20"/>
                <w:shd w:val="clear" w:color="auto" w:fill="auto"/>
                <w:lang w:val="en-US" w:eastAsia="zh-CN" w:bidi="ar-SA"/>
              </w:rPr>
              <w:t>《江苏鑫宇建材科技有限公司中空玻璃及钢化玻璃加工项目竣工环境保护验收监测报告表》（2023年3月）</w:t>
            </w:r>
            <w:r>
              <w:rPr>
                <w:rFonts w:hint="eastAsia" w:eastAsia="宋体"/>
                <w:bCs/>
                <w:color w:val="auto"/>
                <w:spacing w:val="0"/>
                <w:sz w:val="24"/>
                <w:szCs w:val="21"/>
                <w:shd w:val="clear" w:color="auto" w:fill="auto"/>
                <w:lang w:val="en-US" w:eastAsia="zh-CN"/>
              </w:rPr>
              <w:t>，本项目废硅酮胶包装桶产生量为0.2t/a，废包装桶由供应商回收使用</w:t>
            </w:r>
            <w:r>
              <w:rPr>
                <w:rFonts w:hint="eastAsia" w:ascii="Times New Roman" w:hAnsi="Times New Roman" w:eastAsia="宋体" w:cs="Times New Roman"/>
                <w:color w:val="auto"/>
                <w:spacing w:val="0"/>
                <w:kern w:val="0"/>
                <w:sz w:val="24"/>
                <w:szCs w:val="20"/>
                <w:shd w:val="clear" w:color="auto" w:fill="auto"/>
                <w:lang w:val="en-US" w:eastAsia="zh-CN" w:bidi="ar-SA"/>
              </w:rPr>
              <w:t>。</w:t>
            </w:r>
          </w:p>
          <w:p w14:paraId="28FA58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40" w:firstLineChars="200"/>
              <w:jc w:val="both"/>
              <w:textAlignment w:val="auto"/>
              <w:rPr>
                <w:rFonts w:hint="default" w:ascii="Times New Roman" w:hAnsi="Times New Roman" w:eastAsia="宋体"/>
                <w:bCs/>
                <w:color w:val="auto"/>
                <w:spacing w:val="-10"/>
                <w:sz w:val="24"/>
                <w:szCs w:val="21"/>
                <w:shd w:val="clear" w:color="auto" w:fill="auto"/>
                <w:lang w:val="en-US" w:eastAsia="zh-CN"/>
              </w:rPr>
            </w:pPr>
            <w:r>
              <w:rPr>
                <w:rFonts w:hint="default" w:ascii="Times New Roman" w:hAnsi="Times New Roman" w:eastAsia="宋体" w:cs="Times New Roman"/>
                <w:bCs/>
                <w:color w:val="auto"/>
                <w:spacing w:val="-10"/>
                <w:kern w:val="2"/>
                <w:sz w:val="24"/>
                <w:szCs w:val="21"/>
                <w:shd w:val="clear" w:fill="auto"/>
                <w:lang w:val="en-US" w:eastAsia="zh-CN" w:bidi="ar-SA"/>
              </w:rPr>
              <w:t>（</w:t>
            </w:r>
            <w:r>
              <w:rPr>
                <w:rFonts w:hint="eastAsia" w:eastAsia="宋体" w:cs="Times New Roman"/>
                <w:bCs/>
                <w:color w:val="auto"/>
                <w:spacing w:val="-10"/>
                <w:kern w:val="2"/>
                <w:sz w:val="24"/>
                <w:szCs w:val="21"/>
                <w:shd w:val="clear" w:fill="auto"/>
                <w:lang w:val="en-US" w:eastAsia="zh-CN" w:bidi="ar-SA"/>
              </w:rPr>
              <w:t>7</w:t>
            </w:r>
            <w:r>
              <w:rPr>
                <w:rFonts w:hint="default" w:ascii="Times New Roman" w:hAnsi="Times New Roman" w:eastAsia="宋体" w:cs="Times New Roman"/>
                <w:bCs/>
                <w:color w:val="auto"/>
                <w:spacing w:val="-10"/>
                <w:kern w:val="2"/>
                <w:sz w:val="24"/>
                <w:szCs w:val="21"/>
                <w:shd w:val="clear" w:fill="auto"/>
                <w:lang w:val="en-US" w:eastAsia="zh-CN" w:bidi="ar-SA"/>
              </w:rPr>
              <w:t>）</w:t>
            </w:r>
            <w:r>
              <w:rPr>
                <w:rFonts w:hint="eastAsia" w:ascii="Times New Roman" w:hAnsi="Times New Roman" w:eastAsia="宋体"/>
                <w:bCs/>
                <w:color w:val="auto"/>
                <w:spacing w:val="0"/>
                <w:sz w:val="24"/>
                <w:szCs w:val="21"/>
                <w:shd w:val="clear" w:color="auto" w:fill="auto"/>
                <w:lang w:val="en-US" w:eastAsia="zh-CN"/>
              </w:rPr>
              <w:t>废</w:t>
            </w:r>
            <w:r>
              <w:rPr>
                <w:rFonts w:hint="eastAsia" w:eastAsia="宋体"/>
                <w:bCs/>
                <w:color w:val="auto"/>
                <w:spacing w:val="0"/>
                <w:sz w:val="24"/>
                <w:szCs w:val="21"/>
                <w:shd w:val="clear" w:color="auto" w:fill="auto"/>
                <w:lang w:val="en-US" w:eastAsia="zh-CN"/>
              </w:rPr>
              <w:t>硅酮胶包装袋</w:t>
            </w:r>
          </w:p>
          <w:p w14:paraId="3BA49CF6">
            <w:pPr>
              <w:keepNext w:val="0"/>
              <w:keepLines w:val="0"/>
              <w:pageBreakBefore w:val="0"/>
              <w:widowControl w:val="0"/>
              <w:kinsoku/>
              <w:wordWrap/>
              <w:overflowPunct/>
              <w:topLinePunct w:val="0"/>
              <w:autoSpaceDE/>
              <w:autoSpaceDN/>
              <w:bidi w:val="0"/>
              <w:spacing w:line="360" w:lineRule="auto"/>
              <w:ind w:leftChars="0" w:firstLine="480" w:firstLineChars="200"/>
              <w:jc w:val="both"/>
              <w:textAlignment w:val="auto"/>
              <w:rPr>
                <w:rFonts w:hint="eastAsia" w:ascii="Times New Roman" w:hAnsi="Times New Roman" w:eastAsia="宋体"/>
                <w:bCs/>
                <w:color w:val="auto"/>
                <w:spacing w:val="0"/>
                <w:sz w:val="24"/>
                <w:szCs w:val="21"/>
                <w:shd w:val="clear" w:color="auto" w:fill="auto"/>
                <w:lang w:val="en-US" w:eastAsia="zh-CN"/>
              </w:rPr>
            </w:pPr>
            <w:r>
              <w:rPr>
                <w:rFonts w:hint="eastAsia" w:ascii="Times New Roman" w:hAnsi="Times New Roman" w:eastAsia="宋体"/>
                <w:bCs/>
                <w:color w:val="auto"/>
                <w:spacing w:val="0"/>
                <w:sz w:val="24"/>
                <w:szCs w:val="21"/>
                <w:shd w:val="clear" w:color="auto" w:fill="auto"/>
                <w:lang w:val="en-US" w:eastAsia="zh-CN"/>
              </w:rPr>
              <w:t>本项目密封工序中所使用的硅酮胶为半固体胶水，采用塑料袋包装后</w:t>
            </w:r>
            <w:r>
              <w:rPr>
                <w:rFonts w:hint="eastAsia"/>
                <w:bCs/>
                <w:color w:val="auto"/>
                <w:spacing w:val="0"/>
                <w:sz w:val="24"/>
                <w:szCs w:val="21"/>
                <w:shd w:val="clear" w:color="auto" w:fill="auto"/>
                <w:lang w:val="en-US" w:eastAsia="zh-CN"/>
              </w:rPr>
              <w:t>置于</w:t>
            </w:r>
            <w:r>
              <w:rPr>
                <w:rFonts w:hint="eastAsia" w:ascii="Times New Roman" w:hAnsi="Times New Roman" w:eastAsia="宋体"/>
                <w:bCs/>
                <w:color w:val="auto"/>
                <w:spacing w:val="0"/>
                <w:sz w:val="24"/>
                <w:szCs w:val="21"/>
                <w:shd w:val="clear" w:color="auto" w:fill="auto"/>
                <w:lang w:val="en-US" w:eastAsia="zh-CN"/>
              </w:rPr>
              <w:t>铁桶内，胶水用尽后，会产生一定量的废包装袋（胶水固化后无废气产生）</w:t>
            </w:r>
            <w:r>
              <w:rPr>
                <w:rFonts w:hint="eastAsia" w:eastAsia="宋体"/>
                <w:bCs/>
                <w:color w:val="auto"/>
                <w:spacing w:val="0"/>
                <w:sz w:val="24"/>
                <w:szCs w:val="21"/>
                <w:shd w:val="clear" w:color="auto" w:fill="auto"/>
                <w:lang w:val="en-US" w:eastAsia="zh-CN"/>
              </w:rPr>
              <w:t>，</w:t>
            </w:r>
            <w:r>
              <w:rPr>
                <w:rFonts w:hint="eastAsia" w:ascii="Times New Roman" w:hAnsi="Times New Roman" w:cs="Times New Roman"/>
                <w:b w:val="0"/>
                <w:bCs w:val="0"/>
                <w:color w:val="auto"/>
                <w:spacing w:val="0"/>
                <w:sz w:val="24"/>
                <w:szCs w:val="21"/>
                <w:shd w:val="clear" w:color="auto" w:fill="auto"/>
                <w:lang w:val="en-US" w:eastAsia="zh-CN"/>
              </w:rPr>
              <w:t>参考</w:t>
            </w:r>
            <w:r>
              <w:rPr>
                <w:rFonts w:hint="eastAsia" w:ascii="Times New Roman" w:hAnsi="Times New Roman" w:cs="Times New Roman"/>
                <w:b w:val="0"/>
                <w:bCs/>
                <w:color w:val="auto"/>
                <w:spacing w:val="0"/>
                <w:kern w:val="0"/>
                <w:sz w:val="24"/>
                <w:szCs w:val="20"/>
                <w:shd w:val="clear" w:color="auto" w:fill="auto"/>
                <w:lang w:val="en-US" w:eastAsia="zh-CN" w:bidi="ar-SA"/>
              </w:rPr>
              <w:t>《江苏鑫宇建材科技有限公司中空玻璃及钢化玻璃加工项目竣工环境保护验收监测报告表》（2023年3月）</w:t>
            </w:r>
            <w:r>
              <w:rPr>
                <w:rFonts w:hint="eastAsia" w:eastAsia="宋体"/>
                <w:bCs/>
                <w:color w:val="auto"/>
                <w:spacing w:val="0"/>
                <w:sz w:val="24"/>
                <w:szCs w:val="21"/>
                <w:shd w:val="clear" w:color="auto" w:fill="auto"/>
                <w:lang w:val="en-US" w:eastAsia="zh-CN"/>
              </w:rPr>
              <w:t>，本项目废硅酮胶包装袋产生量为0.1t/a，收集后暂存于厂区内危废暂存库内，定期委托有资质单位处置</w:t>
            </w:r>
            <w:r>
              <w:rPr>
                <w:rFonts w:hint="eastAsia" w:ascii="Times New Roman" w:hAnsi="Times New Roman" w:eastAsia="宋体" w:cs="Times New Roman"/>
                <w:color w:val="auto"/>
                <w:spacing w:val="0"/>
                <w:kern w:val="0"/>
                <w:sz w:val="24"/>
                <w:szCs w:val="20"/>
                <w:shd w:val="clear" w:color="auto" w:fill="auto"/>
                <w:lang w:val="en-US" w:eastAsia="zh-CN" w:bidi="ar-SA"/>
              </w:rPr>
              <w:t>。</w:t>
            </w:r>
          </w:p>
          <w:p w14:paraId="7E003E9C">
            <w:pPr>
              <w:keepNext w:val="0"/>
              <w:keepLines w:val="0"/>
              <w:pageBreakBefore w:val="0"/>
              <w:widowControl w:val="0"/>
              <w:numPr>
                <w:ilvl w:val="0"/>
                <w:numId w:val="0"/>
              </w:numPr>
              <w:kinsoku/>
              <w:wordWrap/>
              <w:overflowPunct/>
              <w:topLinePunct w:val="0"/>
              <w:bidi w:val="0"/>
              <w:adjustRightInd w:val="0"/>
              <w:snapToGrid w:val="0"/>
              <w:spacing w:line="360" w:lineRule="auto"/>
              <w:ind w:leftChars="0" w:firstLine="440" w:firstLineChars="200"/>
              <w:jc w:val="both"/>
              <w:textAlignment w:val="auto"/>
              <w:rPr>
                <w:rFonts w:hint="eastAsia" w:ascii="Times New Roman" w:hAnsi="Times New Roman"/>
                <w:bCs/>
                <w:color w:val="auto"/>
                <w:spacing w:val="-10"/>
                <w:sz w:val="24"/>
                <w:szCs w:val="21"/>
                <w:shd w:val="clear" w:color="auto" w:fill="auto"/>
                <w:lang w:val="en-US" w:eastAsia="zh-CN"/>
              </w:rPr>
            </w:pPr>
            <w:r>
              <w:rPr>
                <w:rFonts w:hint="eastAsia" w:ascii="Times New Roman" w:hAnsi="Times New Roman"/>
                <w:bCs/>
                <w:color w:val="auto"/>
                <w:spacing w:val="-10"/>
                <w:sz w:val="24"/>
                <w:szCs w:val="21"/>
                <w:shd w:val="clear" w:color="auto" w:fill="auto"/>
                <w:lang w:val="en-US" w:eastAsia="zh-CN"/>
              </w:rPr>
              <w:t>（</w:t>
            </w:r>
            <w:r>
              <w:rPr>
                <w:rFonts w:hint="eastAsia"/>
                <w:bCs/>
                <w:color w:val="auto"/>
                <w:spacing w:val="-10"/>
                <w:sz w:val="24"/>
                <w:szCs w:val="21"/>
                <w:shd w:val="clear" w:color="auto" w:fill="auto"/>
                <w:lang w:val="en-US" w:eastAsia="zh-CN"/>
              </w:rPr>
              <w:t>8</w:t>
            </w:r>
            <w:r>
              <w:rPr>
                <w:rFonts w:hint="eastAsia" w:ascii="Times New Roman" w:hAnsi="Times New Roman"/>
                <w:bCs/>
                <w:color w:val="auto"/>
                <w:spacing w:val="-10"/>
                <w:sz w:val="24"/>
                <w:szCs w:val="21"/>
                <w:shd w:val="clear" w:color="auto" w:fill="auto"/>
                <w:lang w:val="en-US" w:eastAsia="zh-CN"/>
              </w:rPr>
              <w:t>）废活性炭</w:t>
            </w:r>
          </w:p>
          <w:p w14:paraId="6252CE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olor w:val="auto"/>
                <w:sz w:val="24"/>
                <w:shd w:val="clear" w:color="auto" w:fill="auto"/>
              </w:rPr>
            </w:pPr>
            <w:r>
              <w:rPr>
                <w:rFonts w:hint="eastAsia" w:ascii="Times New Roman" w:hAnsi="Times New Roman"/>
                <w:color w:val="auto"/>
                <w:sz w:val="24"/>
                <w:shd w:val="clear" w:color="auto" w:fill="auto"/>
              </w:rPr>
              <w:t>本项目生产过程中产生</w:t>
            </w:r>
            <w:r>
              <w:rPr>
                <w:rFonts w:hint="eastAsia" w:ascii="Times New Roman" w:hAnsi="Times New Roman"/>
                <w:color w:val="auto"/>
                <w:sz w:val="24"/>
                <w:shd w:val="clear" w:color="auto" w:fill="auto"/>
                <w:lang w:val="en-US" w:eastAsia="zh-CN"/>
              </w:rPr>
              <w:t>的非甲烷总烃</w:t>
            </w:r>
            <w:r>
              <w:rPr>
                <w:rFonts w:hint="eastAsia" w:ascii="Times New Roman" w:hAnsi="Times New Roman"/>
                <w:color w:val="auto"/>
                <w:sz w:val="24"/>
                <w:shd w:val="clear" w:color="auto" w:fill="auto"/>
              </w:rPr>
              <w:t>，经收集后采用二级活性炭吸附装置处理，该环节会产生废活性炭。在选择活性炭时，应选择碘值不低于800毫克/克的活性炭。参照</w:t>
            </w:r>
            <w:r>
              <w:rPr>
                <w:rFonts w:ascii="Times New Roman" w:hAnsi="Times New Roman"/>
                <w:color w:val="auto"/>
                <w:sz w:val="24"/>
                <w:shd w:val="clear" w:color="auto" w:fill="auto"/>
              </w:rPr>
              <w:t>《省生态环境厅关于将排污单位活性炭使用更换纳入排污许可管理的通知》（苏环办</w:t>
            </w:r>
            <w:r>
              <w:rPr>
                <w:rFonts w:hint="eastAsia"/>
                <w:color w:val="auto"/>
                <w:sz w:val="24"/>
                <w:shd w:val="clear" w:color="auto" w:fill="auto"/>
                <w:lang w:eastAsia="zh-CN"/>
              </w:rPr>
              <w:t>〔2021〕218号</w:t>
            </w:r>
            <w:r>
              <w:rPr>
                <w:rFonts w:ascii="Times New Roman" w:hAnsi="Times New Roman"/>
                <w:color w:val="auto"/>
                <w:sz w:val="24"/>
                <w:shd w:val="clear" w:color="auto" w:fill="auto"/>
              </w:rPr>
              <w:t>）</w:t>
            </w:r>
            <w:r>
              <w:rPr>
                <w:rFonts w:hint="eastAsia" w:ascii="Times New Roman" w:hAnsi="Times New Roman"/>
                <w:color w:val="auto"/>
                <w:sz w:val="24"/>
                <w:shd w:val="clear" w:color="auto" w:fill="auto"/>
                <w:lang w:val="en-US" w:eastAsia="zh-CN"/>
              </w:rPr>
              <w:t>和《省生态环境厅关于深入开展涉VOCs治理重点工作核查的通知》（苏环办〔2022〕218号）</w:t>
            </w:r>
            <w:r>
              <w:rPr>
                <w:rFonts w:hint="eastAsia" w:ascii="Times New Roman" w:hAnsi="Times New Roman"/>
                <w:color w:val="auto"/>
                <w:sz w:val="24"/>
                <w:shd w:val="clear" w:color="auto" w:fill="auto"/>
              </w:rPr>
              <w:t>文件中计算方式计算活性炭更换周期</w:t>
            </w:r>
            <w:r>
              <w:rPr>
                <w:rFonts w:ascii="Times New Roman" w:hAnsi="Times New Roman"/>
                <w:color w:val="auto"/>
                <w:sz w:val="24"/>
                <w:shd w:val="clear" w:color="auto" w:fill="auto"/>
              </w:rPr>
              <w:t>，活性炭更换周期</w:t>
            </w:r>
            <w:r>
              <w:rPr>
                <w:rFonts w:hint="eastAsia" w:ascii="Times New Roman" w:hAnsi="Times New Roman"/>
                <w:color w:val="auto"/>
                <w:sz w:val="24"/>
                <w:shd w:val="clear" w:color="auto" w:fill="auto"/>
              </w:rPr>
              <w:t>计算公式如下：</w:t>
            </w:r>
          </w:p>
          <w:p w14:paraId="370312AF">
            <w:pPr>
              <w:keepNext w:val="0"/>
              <w:keepLines w:val="0"/>
              <w:pageBreakBefore w:val="0"/>
              <w:widowControl w:val="0"/>
              <w:kinsoku/>
              <w:wordWrap/>
              <w:overflowPunct/>
              <w:topLinePunct w:val="0"/>
              <w:bidi w:val="0"/>
              <w:adjustRightInd w:val="0"/>
              <w:snapToGrid w:val="0"/>
              <w:spacing w:line="360" w:lineRule="auto"/>
              <w:ind w:firstLine="2400" w:firstLineChars="1000"/>
              <w:jc w:val="both"/>
              <w:textAlignment w:val="auto"/>
              <w:rPr>
                <w:color w:val="auto"/>
                <w:sz w:val="24"/>
              </w:rPr>
            </w:pPr>
            <w:r>
              <w:rPr>
                <w:color w:val="auto"/>
                <w:sz w:val="24"/>
              </w:rPr>
              <w:t>T=m×s÷</w:t>
            </w:r>
            <w:r>
              <w:rPr>
                <w:rFonts w:hint="eastAsia"/>
                <w:color w:val="auto"/>
                <w:sz w:val="24"/>
                <w:lang w:eastAsia="zh-CN"/>
              </w:rPr>
              <w:t>(</w:t>
            </w:r>
            <w:r>
              <w:rPr>
                <w:color w:val="auto"/>
                <w:sz w:val="24"/>
              </w:rPr>
              <w:t>c×10</w:t>
            </w:r>
            <w:r>
              <w:rPr>
                <w:color w:val="auto"/>
                <w:sz w:val="24"/>
                <w:vertAlign w:val="superscript"/>
              </w:rPr>
              <w:t>-6</w:t>
            </w:r>
            <w:r>
              <w:rPr>
                <w:color w:val="auto"/>
                <w:sz w:val="24"/>
              </w:rPr>
              <w:t>×Q×t</w:t>
            </w:r>
            <w:r>
              <w:rPr>
                <w:rFonts w:hint="eastAsia"/>
                <w:color w:val="auto"/>
                <w:sz w:val="24"/>
                <w:lang w:eastAsia="zh-CN"/>
              </w:rPr>
              <w:t>)</w:t>
            </w:r>
          </w:p>
          <w:p w14:paraId="56050708">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color w:val="auto"/>
                <w:sz w:val="24"/>
              </w:rPr>
            </w:pPr>
            <w:r>
              <w:rPr>
                <w:color w:val="auto"/>
                <w:sz w:val="24"/>
              </w:rPr>
              <w:t>式中：</w:t>
            </w:r>
          </w:p>
          <w:p w14:paraId="126632BD">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color w:val="auto"/>
                <w:sz w:val="24"/>
              </w:rPr>
            </w:pPr>
            <w:r>
              <w:rPr>
                <w:color w:val="auto"/>
                <w:sz w:val="24"/>
              </w:rPr>
              <w:t>T—更换周期</w:t>
            </w:r>
            <w:r>
              <w:rPr>
                <w:rFonts w:hint="eastAsia"/>
                <w:color w:val="auto"/>
                <w:sz w:val="24"/>
                <w:lang w:eastAsia="zh-CN"/>
              </w:rPr>
              <w:t>，每</w:t>
            </w:r>
            <w:r>
              <w:rPr>
                <w:color w:val="auto"/>
                <w:sz w:val="24"/>
              </w:rPr>
              <w:t>天；</w:t>
            </w:r>
          </w:p>
          <w:p w14:paraId="788448DD">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color w:val="auto"/>
                <w:sz w:val="24"/>
              </w:rPr>
            </w:pPr>
            <w:r>
              <w:rPr>
                <w:rFonts w:hint="eastAsia"/>
                <w:color w:val="auto"/>
                <w:sz w:val="24"/>
              </w:rPr>
              <w:t>m</w:t>
            </w:r>
            <w:r>
              <w:rPr>
                <w:color w:val="auto"/>
                <w:sz w:val="24"/>
              </w:rPr>
              <w:t>—活性炭的用量，kg（</w:t>
            </w:r>
            <w:r>
              <w:rPr>
                <w:rFonts w:hint="eastAsia"/>
                <w:color w:val="auto"/>
                <w:sz w:val="24"/>
              </w:rPr>
              <w:t>本</w:t>
            </w:r>
            <w:r>
              <w:rPr>
                <w:color w:val="auto"/>
                <w:sz w:val="24"/>
              </w:rPr>
              <w:t>项目活性炭</w:t>
            </w:r>
            <w:r>
              <w:rPr>
                <w:rFonts w:hint="eastAsia"/>
                <w:color w:val="auto"/>
                <w:sz w:val="24"/>
              </w:rPr>
              <w:t>单次</w:t>
            </w:r>
            <w:r>
              <w:rPr>
                <w:color w:val="auto"/>
                <w:sz w:val="24"/>
              </w:rPr>
              <w:t>装</w:t>
            </w:r>
            <w:r>
              <w:rPr>
                <w:rFonts w:hint="eastAsia"/>
                <w:color w:val="auto"/>
                <w:sz w:val="24"/>
              </w:rPr>
              <w:t>填</w:t>
            </w:r>
            <w:r>
              <w:rPr>
                <w:color w:val="auto"/>
                <w:sz w:val="24"/>
              </w:rPr>
              <w:t>量</w:t>
            </w:r>
            <w:r>
              <w:rPr>
                <w:rFonts w:hint="eastAsia"/>
                <w:color w:val="auto"/>
                <w:sz w:val="24"/>
              </w:rPr>
              <w:t>取</w:t>
            </w:r>
            <w:r>
              <w:rPr>
                <w:rFonts w:hint="eastAsia"/>
                <w:color w:val="auto"/>
                <w:sz w:val="24"/>
                <w:lang w:val="en-US" w:eastAsia="zh-CN"/>
              </w:rPr>
              <w:t>400kg</w:t>
            </w:r>
            <w:r>
              <w:rPr>
                <w:color w:val="auto"/>
                <w:sz w:val="24"/>
              </w:rPr>
              <w:t>）；</w:t>
            </w:r>
          </w:p>
          <w:p w14:paraId="184EACB1">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hint="eastAsia"/>
                <w:color w:val="auto"/>
                <w:sz w:val="24"/>
              </w:rPr>
            </w:pPr>
            <w:r>
              <w:rPr>
                <w:color w:val="auto"/>
                <w:sz w:val="24"/>
              </w:rPr>
              <w:t>s—动态吸附量，%</w:t>
            </w:r>
            <w:r>
              <w:rPr>
                <w:rFonts w:hint="eastAsia"/>
                <w:color w:val="auto"/>
                <w:sz w:val="24"/>
              </w:rPr>
              <w:t>，</w:t>
            </w:r>
            <w:r>
              <w:rPr>
                <w:color w:val="auto"/>
                <w:sz w:val="24"/>
              </w:rPr>
              <w:t>（</w:t>
            </w:r>
            <w:r>
              <w:rPr>
                <w:rFonts w:hint="eastAsia"/>
                <w:color w:val="auto"/>
                <w:sz w:val="24"/>
              </w:rPr>
              <w:t>本项目动态吸附量取</w:t>
            </w:r>
            <w:r>
              <w:rPr>
                <w:rFonts w:hint="eastAsia"/>
                <w:color w:val="auto"/>
                <w:sz w:val="24"/>
                <w:lang w:val="en-US" w:eastAsia="zh-CN"/>
              </w:rPr>
              <w:t>20</w:t>
            </w:r>
            <w:r>
              <w:rPr>
                <w:color w:val="auto"/>
                <w:sz w:val="24"/>
              </w:rPr>
              <w:t>%）</w:t>
            </w:r>
            <w:r>
              <w:rPr>
                <w:rFonts w:hint="eastAsia"/>
                <w:color w:val="auto"/>
                <w:sz w:val="24"/>
              </w:rPr>
              <w:t>；</w:t>
            </w:r>
          </w:p>
          <w:p w14:paraId="64A66DE5">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hint="eastAsia" w:eastAsia="宋体"/>
                <w:color w:val="auto"/>
                <w:sz w:val="24"/>
                <w:lang w:eastAsia="zh-CN"/>
              </w:rPr>
            </w:pPr>
            <w:r>
              <w:rPr>
                <w:color w:val="auto"/>
                <w:sz w:val="24"/>
              </w:rPr>
              <w:t>c—活性炭削减的VOCs浓度，mg/m</w:t>
            </w:r>
            <w:r>
              <w:rPr>
                <w:color w:val="auto"/>
                <w:sz w:val="24"/>
                <w:vertAlign w:val="superscript"/>
              </w:rPr>
              <w:t>3</w:t>
            </w:r>
            <w:r>
              <w:rPr>
                <w:color w:val="auto"/>
                <w:sz w:val="24"/>
              </w:rPr>
              <w:t>；（</w:t>
            </w:r>
            <w:r>
              <w:rPr>
                <w:rFonts w:hint="eastAsia"/>
                <w:color w:val="auto"/>
                <w:sz w:val="24"/>
              </w:rPr>
              <w:t>本项目中为</w:t>
            </w:r>
            <w:r>
              <w:rPr>
                <w:rFonts w:hint="eastAsia"/>
                <w:color w:val="auto"/>
                <w:sz w:val="24"/>
                <w:lang w:val="en-US" w:eastAsia="zh-CN"/>
              </w:rPr>
              <w:t>9.95</w:t>
            </w:r>
            <w:r>
              <w:rPr>
                <w:color w:val="auto"/>
                <w:sz w:val="24"/>
              </w:rPr>
              <w:t>mg/m</w:t>
            </w:r>
            <w:r>
              <w:rPr>
                <w:color w:val="auto"/>
                <w:sz w:val="24"/>
                <w:vertAlign w:val="superscript"/>
              </w:rPr>
              <w:t>3</w:t>
            </w:r>
            <w:r>
              <w:rPr>
                <w:color w:val="auto"/>
                <w:sz w:val="24"/>
              </w:rPr>
              <w:t>）</w:t>
            </w:r>
            <w:r>
              <w:rPr>
                <w:rFonts w:hint="eastAsia"/>
                <w:color w:val="auto"/>
                <w:sz w:val="24"/>
                <w:lang w:eastAsia="zh-CN"/>
              </w:rPr>
              <w:t>；</w:t>
            </w:r>
          </w:p>
          <w:p w14:paraId="2FB2E0DE">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hint="eastAsia" w:eastAsia="宋体"/>
                <w:color w:val="auto"/>
                <w:sz w:val="24"/>
                <w:lang w:eastAsia="zh-CN"/>
              </w:rPr>
            </w:pPr>
            <w:r>
              <w:rPr>
                <w:color w:val="auto"/>
                <w:sz w:val="24"/>
              </w:rPr>
              <w:t>Q—风量，单位m</w:t>
            </w:r>
            <w:r>
              <w:rPr>
                <w:color w:val="auto"/>
                <w:sz w:val="24"/>
                <w:vertAlign w:val="superscript"/>
              </w:rPr>
              <w:t>3</w:t>
            </w:r>
            <w:r>
              <w:rPr>
                <w:color w:val="auto"/>
                <w:sz w:val="24"/>
              </w:rPr>
              <w:t>/h；（</w:t>
            </w:r>
            <w:r>
              <w:rPr>
                <w:rFonts w:hint="eastAsia"/>
                <w:color w:val="auto"/>
                <w:sz w:val="24"/>
              </w:rPr>
              <w:t>本项目中为</w:t>
            </w:r>
            <w:r>
              <w:rPr>
                <w:rFonts w:hint="eastAsia"/>
                <w:color w:val="auto"/>
                <w:sz w:val="24"/>
                <w:lang w:val="en-US" w:eastAsia="zh-CN"/>
              </w:rPr>
              <w:t>64</w:t>
            </w:r>
            <w:r>
              <w:rPr>
                <w:color w:val="auto"/>
                <w:sz w:val="24"/>
              </w:rPr>
              <w:t>00m</w:t>
            </w:r>
            <w:r>
              <w:rPr>
                <w:color w:val="auto"/>
                <w:sz w:val="24"/>
                <w:vertAlign w:val="superscript"/>
              </w:rPr>
              <w:t>3</w:t>
            </w:r>
            <w:r>
              <w:rPr>
                <w:color w:val="auto"/>
                <w:sz w:val="24"/>
              </w:rPr>
              <w:t>/h）</w:t>
            </w:r>
            <w:r>
              <w:rPr>
                <w:rFonts w:hint="eastAsia"/>
                <w:color w:val="auto"/>
                <w:sz w:val="24"/>
                <w:lang w:eastAsia="zh-CN"/>
              </w:rPr>
              <w:t>；</w:t>
            </w:r>
          </w:p>
          <w:p w14:paraId="53A51444">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hint="eastAsia"/>
                <w:color w:val="auto"/>
                <w:sz w:val="24"/>
              </w:rPr>
            </w:pPr>
            <w:r>
              <w:rPr>
                <w:color w:val="auto"/>
                <w:sz w:val="24"/>
              </w:rPr>
              <w:t>t—运行时间，单位h/d。（</w:t>
            </w:r>
            <w:r>
              <w:rPr>
                <w:rFonts w:hint="eastAsia"/>
                <w:color w:val="auto"/>
                <w:sz w:val="24"/>
              </w:rPr>
              <w:t>本项目中为</w:t>
            </w:r>
            <w:r>
              <w:rPr>
                <w:rFonts w:hint="eastAsia"/>
                <w:color w:val="auto"/>
                <w:sz w:val="24"/>
                <w:lang w:val="en-US" w:eastAsia="zh-CN"/>
              </w:rPr>
              <w:t>24</w:t>
            </w:r>
            <w:r>
              <w:rPr>
                <w:color w:val="auto"/>
                <w:sz w:val="24"/>
              </w:rPr>
              <w:t>h</w:t>
            </w:r>
            <w:r>
              <w:rPr>
                <w:rFonts w:hint="eastAsia"/>
                <w:color w:val="auto"/>
                <w:sz w:val="24"/>
              </w:rPr>
              <w:t>/d</w:t>
            </w:r>
            <w:r>
              <w:rPr>
                <w:color w:val="auto"/>
                <w:sz w:val="24"/>
              </w:rPr>
              <w:t>）</w:t>
            </w:r>
            <w:r>
              <w:rPr>
                <w:rFonts w:hint="eastAsia"/>
                <w:color w:val="auto"/>
                <w:sz w:val="24"/>
              </w:rPr>
              <w:t>。</w:t>
            </w:r>
          </w:p>
          <w:p w14:paraId="5BC4910F">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color w:val="auto"/>
                <w:sz w:val="24"/>
              </w:rPr>
            </w:pPr>
            <w:r>
              <w:rPr>
                <w:color w:val="auto"/>
                <w:sz w:val="24"/>
              </w:rPr>
              <w:t>经计算，理论</w:t>
            </w:r>
            <w:r>
              <w:rPr>
                <w:rFonts w:hint="eastAsia"/>
                <w:color w:val="auto"/>
                <w:sz w:val="24"/>
              </w:rPr>
              <w:t>上，本</w:t>
            </w:r>
            <w:r>
              <w:rPr>
                <w:color w:val="auto"/>
                <w:sz w:val="24"/>
              </w:rPr>
              <w:t>项目活性炭更换周期为</w:t>
            </w:r>
            <w:r>
              <w:rPr>
                <w:rFonts w:hint="eastAsia"/>
                <w:color w:val="auto"/>
                <w:sz w:val="24"/>
                <w:lang w:val="en-US" w:eastAsia="zh-CN"/>
              </w:rPr>
              <w:t>52.35</w:t>
            </w:r>
            <w:r>
              <w:rPr>
                <w:rFonts w:hint="eastAsia"/>
                <w:color w:val="auto"/>
                <w:sz w:val="24"/>
              </w:rPr>
              <w:t>天更换一次</w:t>
            </w:r>
            <w:r>
              <w:rPr>
                <w:color w:val="auto"/>
                <w:sz w:val="24"/>
              </w:rPr>
              <w:t>，</w:t>
            </w:r>
            <w:r>
              <w:rPr>
                <w:rFonts w:hint="eastAsia"/>
                <w:color w:val="auto"/>
                <w:sz w:val="24"/>
              </w:rPr>
              <w:t>平均每年更换</w:t>
            </w:r>
            <w:r>
              <w:rPr>
                <w:rFonts w:hint="eastAsia"/>
                <w:color w:val="auto"/>
                <w:sz w:val="24"/>
                <w:lang w:val="en-US" w:eastAsia="zh-CN"/>
              </w:rPr>
              <w:t>6</w:t>
            </w:r>
            <w:r>
              <w:rPr>
                <w:rFonts w:hint="eastAsia"/>
                <w:color w:val="auto"/>
                <w:sz w:val="24"/>
              </w:rPr>
              <w:t>次。本项目活性炭单次</w:t>
            </w:r>
            <w:r>
              <w:rPr>
                <w:color w:val="auto"/>
                <w:sz w:val="24"/>
              </w:rPr>
              <w:t>装</w:t>
            </w:r>
            <w:r>
              <w:rPr>
                <w:rFonts w:hint="eastAsia"/>
                <w:color w:val="auto"/>
                <w:sz w:val="24"/>
              </w:rPr>
              <w:t>填</w:t>
            </w:r>
            <w:r>
              <w:rPr>
                <w:color w:val="auto"/>
                <w:sz w:val="24"/>
              </w:rPr>
              <w:t>量</w:t>
            </w:r>
            <w:r>
              <w:rPr>
                <w:rFonts w:hint="eastAsia"/>
                <w:color w:val="auto"/>
                <w:sz w:val="24"/>
              </w:rPr>
              <w:t>取</w:t>
            </w:r>
            <w:r>
              <w:rPr>
                <w:rFonts w:hint="eastAsia"/>
                <w:color w:val="auto"/>
                <w:sz w:val="24"/>
                <w:lang w:val="en-US" w:eastAsia="zh-CN"/>
              </w:rPr>
              <w:t>0.4</w:t>
            </w:r>
            <w:r>
              <w:rPr>
                <w:rFonts w:hint="eastAsia"/>
                <w:color w:val="auto"/>
                <w:sz w:val="24"/>
              </w:rPr>
              <w:t>t，则活性炭年使用量共为</w:t>
            </w:r>
            <w:r>
              <w:rPr>
                <w:rFonts w:hint="eastAsia"/>
                <w:color w:val="auto"/>
                <w:sz w:val="24"/>
                <w:lang w:val="en-US" w:eastAsia="zh-CN"/>
              </w:rPr>
              <w:t>2.4</w:t>
            </w:r>
            <w:r>
              <w:rPr>
                <w:rFonts w:hint="eastAsia"/>
                <w:color w:val="auto"/>
                <w:sz w:val="24"/>
              </w:rPr>
              <w:t>t，活性炭的吸附处理效率约为90%，本项目被活性炭吸附的有机废气量约</w:t>
            </w:r>
            <w:r>
              <w:rPr>
                <w:rFonts w:hint="eastAsia"/>
                <w:color w:val="auto"/>
                <w:sz w:val="24"/>
                <w:lang w:val="en-US" w:eastAsia="zh-CN"/>
              </w:rPr>
              <w:t>0.46</w:t>
            </w:r>
            <w:r>
              <w:rPr>
                <w:rFonts w:hint="eastAsia"/>
                <w:color w:val="auto"/>
                <w:sz w:val="24"/>
              </w:rPr>
              <w:t>t/a，则废活性炭产生量约为</w:t>
            </w:r>
            <w:r>
              <w:rPr>
                <w:rFonts w:hint="eastAsia"/>
                <w:color w:val="auto"/>
                <w:sz w:val="24"/>
                <w:lang w:val="en-US" w:eastAsia="zh-CN"/>
              </w:rPr>
              <w:t>2.86</w:t>
            </w:r>
            <w:r>
              <w:rPr>
                <w:rFonts w:hint="eastAsia"/>
                <w:color w:val="auto"/>
                <w:sz w:val="24"/>
              </w:rPr>
              <w:t>t/a。废活性炭属于危险废物，危废类别为HW49，危废代码为900-039-49，收集后暂存于厂区内危废暂存库内，定期委托有资质单位处置。</w:t>
            </w:r>
          </w:p>
          <w:p w14:paraId="65A9902F">
            <w:pPr>
              <w:pStyle w:val="2"/>
              <w:keepNext w:val="0"/>
              <w:keepLines w:val="0"/>
              <w:pageBreakBefore w:val="0"/>
              <w:widowControl w:val="0"/>
              <w:kinsoku/>
              <w:wordWrap/>
              <w:overflowPunct/>
              <w:topLinePunct w:val="0"/>
              <w:bidi w:val="0"/>
              <w:snapToGrid/>
              <w:spacing w:line="360" w:lineRule="auto"/>
              <w:ind w:leftChars="0" w:firstLine="480" w:firstLineChars="200"/>
              <w:jc w:val="both"/>
              <w:textAlignment w:val="auto"/>
              <w:rPr>
                <w:rFonts w:hint="default" w:ascii="Times New Roman" w:hAnsi="Times New Roman"/>
                <w:b w:val="0"/>
                <w:bCs/>
                <w:color w:val="auto"/>
                <w:sz w:val="24"/>
                <w:shd w:val="clear" w:color="auto" w:fill="auto"/>
                <w:lang w:val="en-US" w:eastAsia="zh-CN"/>
              </w:rPr>
            </w:pPr>
            <w:r>
              <w:rPr>
                <w:rFonts w:hint="eastAsia" w:ascii="Times New Roman" w:hAnsi="Times New Roman"/>
                <w:b w:val="0"/>
                <w:bCs/>
                <w:color w:val="auto"/>
                <w:sz w:val="24"/>
                <w:shd w:val="clear" w:color="auto" w:fill="auto"/>
                <w:lang w:eastAsia="zh-CN"/>
              </w:rPr>
              <w:t>（</w:t>
            </w:r>
            <w:r>
              <w:rPr>
                <w:rFonts w:hint="eastAsia" w:ascii="Times New Roman" w:hAnsi="Times New Roman"/>
                <w:b w:val="0"/>
                <w:bCs/>
                <w:color w:val="auto"/>
                <w:sz w:val="24"/>
                <w:shd w:val="clear" w:color="auto" w:fill="auto"/>
                <w:lang w:val="en-US" w:eastAsia="zh-CN"/>
              </w:rPr>
              <w:t>9</w:t>
            </w:r>
            <w:r>
              <w:rPr>
                <w:rFonts w:hint="eastAsia" w:ascii="Times New Roman" w:hAnsi="Times New Roman"/>
                <w:b w:val="0"/>
                <w:bCs/>
                <w:color w:val="auto"/>
                <w:sz w:val="24"/>
                <w:shd w:val="clear" w:color="auto" w:fill="auto"/>
                <w:lang w:eastAsia="zh-CN"/>
              </w:rPr>
              <w:t>）</w:t>
            </w:r>
            <w:r>
              <w:rPr>
                <w:rFonts w:hint="eastAsia" w:ascii="Times New Roman" w:hAnsi="Times New Roman"/>
                <w:b w:val="0"/>
                <w:bCs/>
                <w:color w:val="auto"/>
                <w:sz w:val="24"/>
                <w:shd w:val="clear" w:color="auto" w:fill="auto"/>
                <w:lang w:val="en-US" w:eastAsia="zh-CN"/>
              </w:rPr>
              <w:t>生活垃圾</w:t>
            </w:r>
          </w:p>
          <w:p w14:paraId="191FEDB2">
            <w:pPr>
              <w:pStyle w:val="6"/>
              <w:keepNext w:val="0"/>
              <w:keepLines w:val="0"/>
              <w:pageBreakBefore w:val="0"/>
              <w:widowControl w:val="0"/>
              <w:kinsoku/>
              <w:wordWrap/>
              <w:overflowPunct/>
              <w:topLinePunct w:val="0"/>
              <w:bidi w:val="0"/>
              <w:snapToGrid/>
              <w:spacing w:after="0" w:line="360" w:lineRule="auto"/>
              <w:ind w:left="0" w:leftChars="0" w:firstLine="480" w:firstLineChars="200"/>
              <w:jc w:val="both"/>
              <w:textAlignment w:val="auto"/>
              <w:rPr>
                <w:rFonts w:hint="default" w:ascii="Times New Roman" w:hAnsi="Times New Roman"/>
                <w:b w:val="0"/>
                <w:bCs/>
                <w:color w:val="auto"/>
                <w:sz w:val="24"/>
                <w:szCs w:val="24"/>
                <w:shd w:val="clear" w:color="auto" w:fill="auto"/>
                <w:lang w:val="en-US" w:eastAsia="zh-CN"/>
              </w:rPr>
            </w:pPr>
            <w:r>
              <w:rPr>
                <w:rFonts w:hint="eastAsia" w:ascii="Times New Roman" w:hAnsi="Times New Roman"/>
                <w:b w:val="0"/>
                <w:bCs/>
                <w:color w:val="auto"/>
                <w:sz w:val="24"/>
                <w:shd w:val="clear" w:color="auto" w:fill="auto"/>
              </w:rPr>
              <w:t>本项目定员</w:t>
            </w:r>
            <w:r>
              <w:rPr>
                <w:rFonts w:hint="eastAsia"/>
                <w:b w:val="0"/>
                <w:bCs/>
                <w:color w:val="auto"/>
                <w:sz w:val="24"/>
                <w:shd w:val="clear" w:color="auto" w:fill="auto"/>
                <w:lang w:val="en-US" w:eastAsia="zh-CN"/>
              </w:rPr>
              <w:t>30</w:t>
            </w:r>
            <w:r>
              <w:rPr>
                <w:rFonts w:hint="eastAsia" w:ascii="Times New Roman" w:hAnsi="Times New Roman"/>
                <w:b w:val="0"/>
                <w:bCs/>
                <w:color w:val="auto"/>
                <w:sz w:val="24"/>
                <w:shd w:val="clear" w:color="auto" w:fill="auto"/>
              </w:rPr>
              <w:t>人，年生产</w:t>
            </w:r>
            <w:r>
              <w:rPr>
                <w:rFonts w:hint="eastAsia"/>
                <w:b w:val="0"/>
                <w:bCs/>
                <w:color w:val="auto"/>
                <w:sz w:val="24"/>
                <w:shd w:val="clear" w:color="auto" w:fill="auto"/>
                <w:lang w:val="en-US" w:eastAsia="zh-CN"/>
              </w:rPr>
              <w:t>300</w:t>
            </w:r>
            <w:r>
              <w:rPr>
                <w:rFonts w:hint="eastAsia" w:ascii="Times New Roman" w:hAnsi="Times New Roman"/>
                <w:b w:val="0"/>
                <w:bCs/>
                <w:color w:val="auto"/>
                <w:sz w:val="24"/>
                <w:shd w:val="clear" w:color="auto" w:fill="auto"/>
              </w:rPr>
              <w:t>天，生活垃圾产量按0.5kg/人•天计算，则年生活垃圾产量为</w:t>
            </w:r>
            <w:r>
              <w:rPr>
                <w:rFonts w:hint="eastAsia"/>
                <w:b w:val="0"/>
                <w:bCs/>
                <w:color w:val="auto"/>
                <w:sz w:val="24"/>
                <w:shd w:val="clear" w:color="auto" w:fill="auto"/>
                <w:lang w:val="en-US" w:eastAsia="zh-CN"/>
              </w:rPr>
              <w:t>4.5</w:t>
            </w:r>
            <w:r>
              <w:rPr>
                <w:rFonts w:hint="eastAsia" w:ascii="Times New Roman" w:hAnsi="Times New Roman"/>
                <w:b w:val="0"/>
                <w:bCs/>
                <w:color w:val="auto"/>
                <w:sz w:val="24"/>
                <w:shd w:val="clear" w:color="auto" w:fill="auto"/>
              </w:rPr>
              <w:t>t/a。委托当地环卫部门统一清运处</w:t>
            </w:r>
            <w:r>
              <w:rPr>
                <w:rFonts w:hint="eastAsia"/>
                <w:b w:val="0"/>
                <w:bCs/>
                <w:color w:val="auto"/>
                <w:sz w:val="24"/>
                <w:shd w:val="clear" w:color="auto" w:fill="auto"/>
                <w:lang w:val="en-US" w:eastAsia="zh-CN"/>
              </w:rPr>
              <w:t>置</w:t>
            </w:r>
            <w:r>
              <w:rPr>
                <w:rFonts w:hint="eastAsia" w:ascii="Times New Roman" w:hAnsi="Times New Roman"/>
                <w:b w:val="0"/>
                <w:bCs/>
                <w:color w:val="auto"/>
                <w:sz w:val="24"/>
                <w:shd w:val="clear" w:color="auto" w:fill="auto"/>
              </w:rPr>
              <w:t>。</w:t>
            </w:r>
          </w:p>
          <w:p w14:paraId="0B1B7433">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ind w:firstLine="482" w:firstLineChars="200"/>
              <w:textAlignment w:val="auto"/>
              <w:rPr>
                <w:rFonts w:hint="default"/>
                <w:color w:val="auto"/>
                <w:lang w:val="en-US" w:eastAsia="zh-CN"/>
              </w:rPr>
            </w:pPr>
          </w:p>
        </w:tc>
      </w:tr>
    </w:tbl>
    <w:p w14:paraId="730536C0">
      <w:pPr>
        <w:pStyle w:val="6"/>
        <w:rPr>
          <w:color w:val="auto"/>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5051"/>
      </w:tblGrid>
      <w:tr w14:paraId="33FCCB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75" w:hRule="atLeast"/>
          <w:jc w:val="center"/>
        </w:trPr>
        <w:tc>
          <w:tcPr>
            <w:tcW w:w="575" w:type="dxa"/>
            <w:noWrap w:val="0"/>
            <w:vAlign w:val="center"/>
          </w:tcPr>
          <w:p w14:paraId="26908E95">
            <w:pPr>
              <w:adjustRightInd w:val="0"/>
              <w:snapToGrid w:val="0"/>
              <w:jc w:val="center"/>
              <w:rPr>
                <w:rFonts w:ascii="宋体" w:hAnsi="宋体" w:cs="宋体"/>
                <w:color w:val="auto"/>
                <w:szCs w:val="21"/>
              </w:rPr>
            </w:pPr>
          </w:p>
        </w:tc>
        <w:tc>
          <w:tcPr>
            <w:tcW w:w="15051" w:type="dxa"/>
            <w:noWrap w:val="0"/>
            <w:vAlign w:val="top"/>
          </w:tcPr>
          <w:p w14:paraId="551531DC">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ascii="Times New Roman" w:hAnsi="Times New Roman"/>
                <w:b/>
                <w:bCs/>
                <w:color w:val="auto"/>
                <w:sz w:val="21"/>
                <w:szCs w:val="21"/>
              </w:rPr>
            </w:pPr>
            <w:r>
              <w:rPr>
                <w:rFonts w:ascii="Times New Roman" w:hAnsi="Times New Roman"/>
                <w:b/>
                <w:bCs/>
                <w:color w:val="auto"/>
                <w:sz w:val="21"/>
                <w:szCs w:val="21"/>
              </w:rPr>
              <w:t>表4-</w:t>
            </w:r>
            <w:r>
              <w:rPr>
                <w:rFonts w:hint="eastAsia" w:ascii="Times New Roman" w:hAnsi="Times New Roman"/>
                <w:b/>
                <w:bCs/>
                <w:color w:val="auto"/>
                <w:sz w:val="21"/>
                <w:szCs w:val="21"/>
                <w:lang w:val="en-US" w:eastAsia="zh-CN"/>
              </w:rPr>
              <w:t xml:space="preserve">20  </w:t>
            </w:r>
            <w:r>
              <w:rPr>
                <w:rFonts w:ascii="Times New Roman" w:hAnsi="Times New Roman"/>
                <w:b/>
                <w:bCs/>
                <w:color w:val="auto"/>
                <w:sz w:val="21"/>
                <w:szCs w:val="21"/>
              </w:rPr>
              <w:t>项目固废产生及处置情况一览表</w:t>
            </w:r>
          </w:p>
          <w:tbl>
            <w:tblPr>
              <w:tblStyle w:val="23"/>
              <w:tblW w:w="1463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349"/>
              <w:gridCol w:w="1443"/>
              <w:gridCol w:w="660"/>
              <w:gridCol w:w="510"/>
              <w:gridCol w:w="1086"/>
              <w:gridCol w:w="870"/>
              <w:gridCol w:w="1343"/>
              <w:gridCol w:w="735"/>
              <w:gridCol w:w="886"/>
              <w:gridCol w:w="931"/>
              <w:gridCol w:w="871"/>
              <w:gridCol w:w="1261"/>
              <w:gridCol w:w="2262"/>
            </w:tblGrid>
            <w:tr w14:paraId="482E38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dxa"/>
                  <w:noWrap w:val="0"/>
                  <w:vAlign w:val="center"/>
                </w:tcPr>
                <w:p w14:paraId="1D47DD6D">
                  <w:pPr>
                    <w:adjustRightInd w:val="0"/>
                    <w:snapToGrid w:val="0"/>
                    <w:jc w:val="center"/>
                    <w:rPr>
                      <w:color w:val="auto"/>
                      <w:szCs w:val="18"/>
                    </w:rPr>
                  </w:pPr>
                  <w:r>
                    <w:rPr>
                      <w:color w:val="auto"/>
                      <w:szCs w:val="18"/>
                    </w:rPr>
                    <w:t>序号</w:t>
                  </w:r>
                </w:p>
              </w:tc>
              <w:tc>
                <w:tcPr>
                  <w:tcW w:w="1349" w:type="dxa"/>
                  <w:noWrap w:val="0"/>
                  <w:vAlign w:val="center"/>
                </w:tcPr>
                <w:p w14:paraId="3D01B5E9">
                  <w:pPr>
                    <w:adjustRightInd w:val="0"/>
                    <w:snapToGrid w:val="0"/>
                    <w:jc w:val="center"/>
                    <w:rPr>
                      <w:color w:val="auto"/>
                      <w:szCs w:val="18"/>
                    </w:rPr>
                  </w:pPr>
                  <w:r>
                    <w:rPr>
                      <w:color w:val="auto"/>
                      <w:szCs w:val="18"/>
                    </w:rPr>
                    <w:t>固废名称</w:t>
                  </w:r>
                </w:p>
              </w:tc>
              <w:tc>
                <w:tcPr>
                  <w:tcW w:w="1443" w:type="dxa"/>
                  <w:noWrap w:val="0"/>
                  <w:vAlign w:val="center"/>
                </w:tcPr>
                <w:p w14:paraId="31592EB2">
                  <w:pPr>
                    <w:adjustRightInd w:val="0"/>
                    <w:snapToGrid w:val="0"/>
                    <w:jc w:val="center"/>
                    <w:rPr>
                      <w:color w:val="auto"/>
                      <w:szCs w:val="18"/>
                    </w:rPr>
                  </w:pPr>
                  <w:r>
                    <w:rPr>
                      <w:color w:val="auto"/>
                      <w:szCs w:val="18"/>
                    </w:rPr>
                    <w:t>产生环节</w:t>
                  </w:r>
                </w:p>
              </w:tc>
              <w:tc>
                <w:tcPr>
                  <w:tcW w:w="660" w:type="dxa"/>
                  <w:noWrap w:val="0"/>
                  <w:vAlign w:val="center"/>
                </w:tcPr>
                <w:p w14:paraId="0FD835E2">
                  <w:pPr>
                    <w:adjustRightInd w:val="0"/>
                    <w:snapToGrid w:val="0"/>
                    <w:jc w:val="center"/>
                    <w:rPr>
                      <w:color w:val="auto"/>
                      <w:szCs w:val="18"/>
                    </w:rPr>
                  </w:pPr>
                  <w:r>
                    <w:rPr>
                      <w:color w:val="auto"/>
                      <w:szCs w:val="18"/>
                    </w:rPr>
                    <w:t>属性</w:t>
                  </w:r>
                </w:p>
              </w:tc>
              <w:tc>
                <w:tcPr>
                  <w:tcW w:w="510" w:type="dxa"/>
                  <w:noWrap w:val="0"/>
                  <w:vAlign w:val="center"/>
                </w:tcPr>
                <w:p w14:paraId="373DE52B">
                  <w:pPr>
                    <w:adjustRightInd w:val="0"/>
                    <w:snapToGrid w:val="0"/>
                    <w:jc w:val="center"/>
                    <w:rPr>
                      <w:color w:val="auto"/>
                      <w:szCs w:val="18"/>
                    </w:rPr>
                  </w:pPr>
                  <w:r>
                    <w:rPr>
                      <w:color w:val="auto"/>
                      <w:szCs w:val="18"/>
                    </w:rPr>
                    <w:t>性状</w:t>
                  </w:r>
                </w:p>
              </w:tc>
              <w:tc>
                <w:tcPr>
                  <w:tcW w:w="1086" w:type="dxa"/>
                  <w:noWrap w:val="0"/>
                  <w:vAlign w:val="center"/>
                </w:tcPr>
                <w:p w14:paraId="3D959CCC">
                  <w:pPr>
                    <w:adjustRightInd w:val="0"/>
                    <w:snapToGrid w:val="0"/>
                    <w:jc w:val="center"/>
                    <w:rPr>
                      <w:color w:val="auto"/>
                      <w:szCs w:val="18"/>
                    </w:rPr>
                  </w:pPr>
                  <w:r>
                    <w:rPr>
                      <w:color w:val="auto"/>
                      <w:szCs w:val="18"/>
                    </w:rPr>
                    <w:t>有害成分</w:t>
                  </w:r>
                </w:p>
              </w:tc>
              <w:tc>
                <w:tcPr>
                  <w:tcW w:w="870" w:type="dxa"/>
                  <w:noWrap w:val="0"/>
                  <w:vAlign w:val="center"/>
                </w:tcPr>
                <w:p w14:paraId="78919B80">
                  <w:pPr>
                    <w:adjustRightInd w:val="0"/>
                    <w:snapToGrid w:val="0"/>
                    <w:jc w:val="center"/>
                    <w:rPr>
                      <w:color w:val="auto"/>
                      <w:szCs w:val="18"/>
                    </w:rPr>
                  </w:pPr>
                  <w:r>
                    <w:rPr>
                      <w:rFonts w:hint="eastAsia"/>
                      <w:color w:val="auto"/>
                      <w:szCs w:val="18"/>
                    </w:rPr>
                    <w:t>废物</w:t>
                  </w:r>
                  <w:r>
                    <w:rPr>
                      <w:color w:val="auto"/>
                      <w:szCs w:val="18"/>
                    </w:rPr>
                    <w:t>类别</w:t>
                  </w:r>
                </w:p>
              </w:tc>
              <w:tc>
                <w:tcPr>
                  <w:tcW w:w="1343" w:type="dxa"/>
                  <w:noWrap w:val="0"/>
                  <w:vAlign w:val="center"/>
                </w:tcPr>
                <w:p w14:paraId="6D5EC5C7">
                  <w:pPr>
                    <w:adjustRightInd w:val="0"/>
                    <w:snapToGrid w:val="0"/>
                    <w:jc w:val="center"/>
                    <w:rPr>
                      <w:color w:val="auto"/>
                      <w:szCs w:val="18"/>
                    </w:rPr>
                  </w:pPr>
                  <w:r>
                    <w:rPr>
                      <w:rFonts w:hint="eastAsia"/>
                      <w:color w:val="auto"/>
                      <w:szCs w:val="18"/>
                    </w:rPr>
                    <w:t>废物</w:t>
                  </w:r>
                  <w:r>
                    <w:rPr>
                      <w:color w:val="auto"/>
                      <w:szCs w:val="18"/>
                    </w:rPr>
                    <w:t>代码</w:t>
                  </w:r>
                </w:p>
              </w:tc>
              <w:tc>
                <w:tcPr>
                  <w:tcW w:w="735" w:type="dxa"/>
                  <w:noWrap w:val="0"/>
                  <w:vAlign w:val="center"/>
                </w:tcPr>
                <w:p w14:paraId="31DC4552">
                  <w:pPr>
                    <w:adjustRightInd w:val="0"/>
                    <w:snapToGrid w:val="0"/>
                    <w:jc w:val="center"/>
                    <w:rPr>
                      <w:color w:val="auto"/>
                      <w:szCs w:val="18"/>
                    </w:rPr>
                  </w:pPr>
                  <w:r>
                    <w:rPr>
                      <w:color w:val="auto"/>
                      <w:szCs w:val="18"/>
                    </w:rPr>
                    <w:t>危险</w:t>
                  </w:r>
                </w:p>
                <w:p w14:paraId="4A3C02E8">
                  <w:pPr>
                    <w:adjustRightInd w:val="0"/>
                    <w:snapToGrid w:val="0"/>
                    <w:jc w:val="center"/>
                    <w:rPr>
                      <w:color w:val="auto"/>
                      <w:szCs w:val="18"/>
                    </w:rPr>
                  </w:pPr>
                  <w:r>
                    <w:rPr>
                      <w:color w:val="auto"/>
                      <w:szCs w:val="18"/>
                    </w:rPr>
                    <w:t>特性</w:t>
                  </w:r>
                </w:p>
              </w:tc>
              <w:tc>
                <w:tcPr>
                  <w:tcW w:w="886" w:type="dxa"/>
                  <w:noWrap w:val="0"/>
                  <w:vAlign w:val="center"/>
                </w:tcPr>
                <w:p w14:paraId="2F1F5BA7">
                  <w:pPr>
                    <w:adjustRightInd w:val="0"/>
                    <w:snapToGrid w:val="0"/>
                    <w:jc w:val="center"/>
                    <w:rPr>
                      <w:color w:val="auto"/>
                      <w:szCs w:val="18"/>
                    </w:rPr>
                  </w:pPr>
                  <w:r>
                    <w:rPr>
                      <w:color w:val="auto"/>
                      <w:szCs w:val="18"/>
                    </w:rPr>
                    <w:t>产生量</w:t>
                  </w:r>
                </w:p>
                <w:p w14:paraId="195BF961">
                  <w:pPr>
                    <w:adjustRightInd w:val="0"/>
                    <w:snapToGrid w:val="0"/>
                    <w:jc w:val="center"/>
                    <w:rPr>
                      <w:color w:val="auto"/>
                      <w:szCs w:val="18"/>
                    </w:rPr>
                  </w:pPr>
                  <w:r>
                    <w:rPr>
                      <w:rFonts w:hint="eastAsia"/>
                      <w:color w:val="auto"/>
                      <w:szCs w:val="18"/>
                      <w:lang w:eastAsia="zh-CN"/>
                    </w:rPr>
                    <w:t>(</w:t>
                  </w:r>
                  <w:r>
                    <w:rPr>
                      <w:color w:val="auto"/>
                      <w:szCs w:val="18"/>
                    </w:rPr>
                    <w:t>t/a</w:t>
                  </w:r>
                  <w:r>
                    <w:rPr>
                      <w:rFonts w:hint="eastAsia"/>
                      <w:color w:val="auto"/>
                      <w:szCs w:val="18"/>
                      <w:lang w:eastAsia="zh-CN"/>
                    </w:rPr>
                    <w:t>)</w:t>
                  </w:r>
                </w:p>
              </w:tc>
              <w:tc>
                <w:tcPr>
                  <w:tcW w:w="931" w:type="dxa"/>
                  <w:noWrap w:val="0"/>
                  <w:vAlign w:val="center"/>
                </w:tcPr>
                <w:p w14:paraId="7818DD10">
                  <w:pPr>
                    <w:adjustRightInd w:val="0"/>
                    <w:snapToGrid w:val="0"/>
                    <w:jc w:val="center"/>
                    <w:rPr>
                      <w:color w:val="auto"/>
                      <w:szCs w:val="18"/>
                    </w:rPr>
                  </w:pPr>
                  <w:r>
                    <w:rPr>
                      <w:color w:val="auto"/>
                      <w:szCs w:val="18"/>
                    </w:rPr>
                    <w:t>利用量</w:t>
                  </w:r>
                </w:p>
                <w:p w14:paraId="4B2C4A14">
                  <w:pPr>
                    <w:pStyle w:val="6"/>
                    <w:spacing w:after="0"/>
                    <w:ind w:left="0" w:leftChars="0" w:firstLine="0" w:firstLineChars="0"/>
                    <w:jc w:val="center"/>
                    <w:rPr>
                      <w:color w:val="auto"/>
                      <w:sz w:val="21"/>
                      <w:szCs w:val="18"/>
                    </w:rPr>
                  </w:pPr>
                  <w:r>
                    <w:rPr>
                      <w:rFonts w:hint="eastAsia"/>
                      <w:color w:val="auto"/>
                      <w:sz w:val="21"/>
                      <w:szCs w:val="18"/>
                      <w:lang w:eastAsia="zh-CN"/>
                    </w:rPr>
                    <w:t>(</w:t>
                  </w:r>
                  <w:r>
                    <w:rPr>
                      <w:color w:val="auto"/>
                      <w:sz w:val="21"/>
                      <w:szCs w:val="18"/>
                    </w:rPr>
                    <w:t>t/a</w:t>
                  </w:r>
                  <w:r>
                    <w:rPr>
                      <w:rFonts w:hint="eastAsia"/>
                      <w:color w:val="auto"/>
                      <w:sz w:val="21"/>
                      <w:szCs w:val="18"/>
                      <w:lang w:eastAsia="zh-CN"/>
                    </w:rPr>
                    <w:t>)</w:t>
                  </w:r>
                </w:p>
              </w:tc>
              <w:tc>
                <w:tcPr>
                  <w:tcW w:w="871" w:type="dxa"/>
                  <w:noWrap w:val="0"/>
                  <w:vAlign w:val="center"/>
                </w:tcPr>
                <w:p w14:paraId="241FA154">
                  <w:pPr>
                    <w:adjustRightInd w:val="0"/>
                    <w:snapToGrid w:val="0"/>
                    <w:jc w:val="center"/>
                    <w:rPr>
                      <w:color w:val="auto"/>
                      <w:szCs w:val="18"/>
                    </w:rPr>
                  </w:pPr>
                  <w:r>
                    <w:rPr>
                      <w:color w:val="auto"/>
                      <w:szCs w:val="18"/>
                    </w:rPr>
                    <w:t>处置量</w:t>
                  </w:r>
                </w:p>
                <w:p w14:paraId="08453B5E">
                  <w:pPr>
                    <w:pStyle w:val="6"/>
                    <w:spacing w:after="0"/>
                    <w:ind w:left="0" w:leftChars="0" w:firstLine="0" w:firstLineChars="0"/>
                    <w:jc w:val="center"/>
                    <w:rPr>
                      <w:color w:val="auto"/>
                      <w:sz w:val="21"/>
                      <w:szCs w:val="18"/>
                    </w:rPr>
                  </w:pPr>
                  <w:r>
                    <w:rPr>
                      <w:rFonts w:hint="eastAsia"/>
                      <w:color w:val="auto"/>
                      <w:sz w:val="21"/>
                      <w:szCs w:val="18"/>
                      <w:lang w:eastAsia="zh-CN"/>
                    </w:rPr>
                    <w:t>(</w:t>
                  </w:r>
                  <w:r>
                    <w:rPr>
                      <w:color w:val="auto"/>
                      <w:sz w:val="21"/>
                      <w:szCs w:val="18"/>
                    </w:rPr>
                    <w:t>t/a</w:t>
                  </w:r>
                  <w:r>
                    <w:rPr>
                      <w:rFonts w:hint="eastAsia"/>
                      <w:color w:val="auto"/>
                      <w:sz w:val="21"/>
                      <w:szCs w:val="18"/>
                      <w:lang w:eastAsia="zh-CN"/>
                    </w:rPr>
                    <w:t>)</w:t>
                  </w:r>
                </w:p>
              </w:tc>
              <w:tc>
                <w:tcPr>
                  <w:tcW w:w="1261" w:type="dxa"/>
                  <w:noWrap w:val="0"/>
                  <w:vAlign w:val="center"/>
                </w:tcPr>
                <w:p w14:paraId="480321F8">
                  <w:pPr>
                    <w:adjustRightInd w:val="0"/>
                    <w:snapToGrid w:val="0"/>
                    <w:jc w:val="center"/>
                    <w:rPr>
                      <w:color w:val="auto"/>
                      <w:szCs w:val="18"/>
                    </w:rPr>
                  </w:pPr>
                  <w:r>
                    <w:rPr>
                      <w:color w:val="auto"/>
                      <w:szCs w:val="18"/>
                    </w:rPr>
                    <w:t>贮存方式</w:t>
                  </w:r>
                </w:p>
              </w:tc>
              <w:tc>
                <w:tcPr>
                  <w:tcW w:w="2262" w:type="dxa"/>
                  <w:noWrap w:val="0"/>
                  <w:vAlign w:val="center"/>
                </w:tcPr>
                <w:p w14:paraId="6697AD6E">
                  <w:pPr>
                    <w:adjustRightInd w:val="0"/>
                    <w:snapToGrid w:val="0"/>
                    <w:jc w:val="center"/>
                    <w:rPr>
                      <w:color w:val="auto"/>
                      <w:szCs w:val="18"/>
                    </w:rPr>
                  </w:pPr>
                  <w:r>
                    <w:rPr>
                      <w:color w:val="auto"/>
                      <w:szCs w:val="18"/>
                    </w:rPr>
                    <w:t>利用处置方式和去向</w:t>
                  </w:r>
                </w:p>
              </w:tc>
            </w:tr>
            <w:tr w14:paraId="2E0A70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6" w:type="dxa"/>
                  <w:noWrap w:val="0"/>
                  <w:vAlign w:val="center"/>
                </w:tcPr>
                <w:p w14:paraId="439D19FC">
                  <w:pPr>
                    <w:numPr>
                      <w:ilvl w:val="0"/>
                      <w:numId w:val="14"/>
                    </w:numPr>
                    <w:adjustRightInd w:val="0"/>
                    <w:snapToGrid w:val="0"/>
                    <w:ind w:left="0" w:leftChars="0" w:firstLine="0" w:firstLineChars="0"/>
                    <w:jc w:val="center"/>
                    <w:rPr>
                      <w:color w:val="auto"/>
                      <w:szCs w:val="18"/>
                    </w:rPr>
                  </w:pPr>
                </w:p>
              </w:tc>
              <w:tc>
                <w:tcPr>
                  <w:tcW w:w="1349" w:type="dxa"/>
                  <w:noWrap w:val="0"/>
                  <w:vAlign w:val="center"/>
                </w:tcPr>
                <w:p w14:paraId="7BB60F15">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ascii="Times New Roman" w:hAnsi="Times New Roman" w:cs="Times New Roman"/>
                      <w:b w:val="0"/>
                      <w:color w:val="auto"/>
                      <w:sz w:val="21"/>
                      <w:szCs w:val="18"/>
                    </w:rPr>
                  </w:pPr>
                  <w:r>
                    <w:rPr>
                      <w:rFonts w:hint="eastAsia"/>
                      <w:color w:val="auto"/>
                      <w:sz w:val="21"/>
                      <w:lang w:val="en-US" w:eastAsia="zh-CN"/>
                    </w:rPr>
                    <w:t>玻璃边角料</w:t>
                  </w:r>
                </w:p>
              </w:tc>
              <w:tc>
                <w:tcPr>
                  <w:tcW w:w="1443" w:type="dxa"/>
                  <w:noWrap w:val="0"/>
                  <w:vAlign w:val="center"/>
                </w:tcPr>
                <w:p w14:paraId="1D6980C9">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Cs w:val="18"/>
                      <w:lang w:val="en-US"/>
                    </w:rPr>
                  </w:pPr>
                  <w:r>
                    <w:rPr>
                      <w:rFonts w:hint="eastAsia"/>
                      <w:color w:val="auto"/>
                      <w:sz w:val="21"/>
                      <w:lang w:val="en-US" w:eastAsia="zh-CN"/>
                    </w:rPr>
                    <w:t>切割、钻孔、开挖、钢化</w:t>
                  </w:r>
                </w:p>
              </w:tc>
              <w:tc>
                <w:tcPr>
                  <w:tcW w:w="660" w:type="dxa"/>
                  <w:vMerge w:val="restart"/>
                  <w:noWrap w:val="0"/>
                  <w:vAlign w:val="center"/>
                </w:tcPr>
                <w:p w14:paraId="43E8925E">
                  <w:pPr>
                    <w:adjustRightInd w:val="0"/>
                    <w:snapToGrid w:val="0"/>
                    <w:jc w:val="center"/>
                    <w:rPr>
                      <w:color w:val="auto"/>
                      <w:szCs w:val="18"/>
                    </w:rPr>
                  </w:pPr>
                  <w:r>
                    <w:rPr>
                      <w:rFonts w:hint="eastAsia"/>
                      <w:color w:val="auto"/>
                      <w:szCs w:val="18"/>
                    </w:rPr>
                    <w:t>一般固废</w:t>
                  </w:r>
                </w:p>
              </w:tc>
              <w:tc>
                <w:tcPr>
                  <w:tcW w:w="510" w:type="dxa"/>
                  <w:noWrap w:val="0"/>
                  <w:vAlign w:val="center"/>
                </w:tcPr>
                <w:p w14:paraId="6FACEC0F">
                  <w:pPr>
                    <w:adjustRightInd w:val="0"/>
                    <w:snapToGrid w:val="0"/>
                    <w:jc w:val="center"/>
                    <w:rPr>
                      <w:color w:val="auto"/>
                      <w:szCs w:val="18"/>
                    </w:rPr>
                  </w:pPr>
                  <w:r>
                    <w:rPr>
                      <w:rFonts w:hint="eastAsia"/>
                      <w:color w:val="auto"/>
                      <w:szCs w:val="18"/>
                    </w:rPr>
                    <w:t>固</w:t>
                  </w:r>
                </w:p>
              </w:tc>
              <w:tc>
                <w:tcPr>
                  <w:tcW w:w="1086" w:type="dxa"/>
                  <w:noWrap w:val="0"/>
                  <w:vAlign w:val="center"/>
                </w:tcPr>
                <w:p w14:paraId="1B7ED466">
                  <w:pPr>
                    <w:adjustRightInd w:val="0"/>
                    <w:snapToGrid w:val="0"/>
                    <w:jc w:val="center"/>
                    <w:rPr>
                      <w:rFonts w:cs="宋体"/>
                      <w:color w:val="auto"/>
                      <w:szCs w:val="18"/>
                    </w:rPr>
                  </w:pPr>
                  <w:r>
                    <w:rPr>
                      <w:rFonts w:hint="eastAsia" w:cs="宋体"/>
                      <w:color w:val="auto"/>
                      <w:szCs w:val="18"/>
                    </w:rPr>
                    <w:t>/</w:t>
                  </w:r>
                </w:p>
              </w:tc>
              <w:tc>
                <w:tcPr>
                  <w:tcW w:w="870" w:type="dxa"/>
                  <w:noWrap w:val="0"/>
                  <w:vAlign w:val="center"/>
                </w:tcPr>
                <w:p w14:paraId="41511757">
                  <w:pPr>
                    <w:adjustRightInd w:val="0"/>
                    <w:snapToGrid w:val="0"/>
                    <w:jc w:val="center"/>
                    <w:rPr>
                      <w:rFonts w:hint="default" w:ascii="Times New Roman" w:hAnsi="Times New Roman" w:eastAsia="宋体" w:cs="宋体"/>
                      <w:color w:val="auto"/>
                      <w:kern w:val="2"/>
                      <w:sz w:val="21"/>
                      <w:szCs w:val="18"/>
                      <w:lang w:val="en-US" w:eastAsia="zh-CN" w:bidi="ar-SA"/>
                    </w:rPr>
                  </w:pPr>
                  <w:r>
                    <w:rPr>
                      <w:rFonts w:hint="eastAsia" w:cs="宋体"/>
                      <w:color w:val="auto"/>
                      <w:szCs w:val="18"/>
                      <w:lang w:val="en-US" w:eastAsia="zh-CN"/>
                    </w:rPr>
                    <w:t>SW17</w:t>
                  </w:r>
                </w:p>
              </w:tc>
              <w:tc>
                <w:tcPr>
                  <w:tcW w:w="1343" w:type="dxa"/>
                  <w:noWrap w:val="0"/>
                  <w:vAlign w:val="center"/>
                </w:tcPr>
                <w:p w14:paraId="081372C4">
                  <w:pPr>
                    <w:adjustRightInd w:val="0"/>
                    <w:snapToGrid w:val="0"/>
                    <w:jc w:val="center"/>
                    <w:rPr>
                      <w:rFonts w:hint="default" w:ascii="Times New Roman" w:hAnsi="Times New Roman" w:eastAsia="宋体" w:cs="宋体"/>
                      <w:color w:val="auto"/>
                      <w:kern w:val="2"/>
                      <w:sz w:val="21"/>
                      <w:szCs w:val="18"/>
                      <w:lang w:val="en-US" w:eastAsia="zh-CN" w:bidi="ar-SA"/>
                    </w:rPr>
                  </w:pPr>
                  <w:r>
                    <w:rPr>
                      <w:rFonts w:hint="eastAsia" w:cs="宋体"/>
                      <w:color w:val="auto"/>
                      <w:szCs w:val="18"/>
                      <w:lang w:val="en-US" w:eastAsia="zh-CN"/>
                    </w:rPr>
                    <w:t>900-004-S17</w:t>
                  </w:r>
                </w:p>
              </w:tc>
              <w:tc>
                <w:tcPr>
                  <w:tcW w:w="735" w:type="dxa"/>
                  <w:noWrap w:val="0"/>
                  <w:vAlign w:val="center"/>
                </w:tcPr>
                <w:p w14:paraId="2D239267">
                  <w:pPr>
                    <w:adjustRightInd w:val="0"/>
                    <w:snapToGrid w:val="0"/>
                    <w:jc w:val="center"/>
                    <w:rPr>
                      <w:rFonts w:cs="宋体"/>
                      <w:color w:val="auto"/>
                      <w:szCs w:val="18"/>
                    </w:rPr>
                  </w:pPr>
                  <w:r>
                    <w:rPr>
                      <w:rFonts w:hint="eastAsia" w:cs="宋体"/>
                      <w:color w:val="auto"/>
                      <w:szCs w:val="18"/>
                    </w:rPr>
                    <w:t>/</w:t>
                  </w:r>
                </w:p>
              </w:tc>
              <w:tc>
                <w:tcPr>
                  <w:tcW w:w="886" w:type="dxa"/>
                  <w:noWrap w:val="0"/>
                  <w:vAlign w:val="center"/>
                </w:tcPr>
                <w:p w14:paraId="5324E315">
                  <w:pPr>
                    <w:adjustRightInd w:val="0"/>
                    <w:snapToGrid w:val="0"/>
                    <w:jc w:val="center"/>
                    <w:rPr>
                      <w:rFonts w:hint="default" w:eastAsia="宋体"/>
                      <w:color w:val="auto"/>
                      <w:szCs w:val="18"/>
                      <w:lang w:val="en-US" w:eastAsia="zh-CN"/>
                    </w:rPr>
                  </w:pPr>
                  <w:r>
                    <w:rPr>
                      <w:rFonts w:hint="eastAsia"/>
                      <w:color w:val="auto"/>
                      <w:szCs w:val="18"/>
                      <w:lang w:val="en-US" w:eastAsia="zh-CN"/>
                    </w:rPr>
                    <w:t>81.2</w:t>
                  </w:r>
                </w:p>
              </w:tc>
              <w:tc>
                <w:tcPr>
                  <w:tcW w:w="931" w:type="dxa"/>
                  <w:noWrap w:val="0"/>
                  <w:vAlign w:val="center"/>
                </w:tcPr>
                <w:p w14:paraId="09CC37F2">
                  <w:pPr>
                    <w:adjustRightInd w:val="0"/>
                    <w:snapToGrid w:val="0"/>
                    <w:jc w:val="center"/>
                    <w:rPr>
                      <w:rFonts w:hint="default" w:eastAsia="宋体"/>
                      <w:color w:val="auto"/>
                      <w:kern w:val="2"/>
                      <w:sz w:val="21"/>
                      <w:szCs w:val="18"/>
                      <w:lang w:val="en-US" w:eastAsia="zh-CN" w:bidi="ar-SA"/>
                    </w:rPr>
                  </w:pPr>
                  <w:r>
                    <w:rPr>
                      <w:rFonts w:hint="eastAsia"/>
                      <w:color w:val="auto"/>
                      <w:szCs w:val="18"/>
                      <w:lang w:val="en-US" w:eastAsia="zh-CN"/>
                    </w:rPr>
                    <w:t>81.2</w:t>
                  </w:r>
                </w:p>
              </w:tc>
              <w:tc>
                <w:tcPr>
                  <w:tcW w:w="871" w:type="dxa"/>
                  <w:noWrap w:val="0"/>
                  <w:vAlign w:val="center"/>
                </w:tcPr>
                <w:p w14:paraId="6D35366D">
                  <w:pPr>
                    <w:adjustRightInd w:val="0"/>
                    <w:snapToGrid w:val="0"/>
                    <w:jc w:val="center"/>
                    <w:rPr>
                      <w:color w:val="auto"/>
                      <w:szCs w:val="18"/>
                    </w:rPr>
                  </w:pPr>
                  <w:r>
                    <w:rPr>
                      <w:rFonts w:hint="eastAsia"/>
                      <w:color w:val="auto"/>
                      <w:szCs w:val="18"/>
                    </w:rPr>
                    <w:t>0</w:t>
                  </w:r>
                </w:p>
              </w:tc>
              <w:tc>
                <w:tcPr>
                  <w:tcW w:w="1261" w:type="dxa"/>
                  <w:noWrap w:val="0"/>
                  <w:vAlign w:val="center"/>
                </w:tcPr>
                <w:p w14:paraId="0C6BE848">
                  <w:pPr>
                    <w:adjustRightInd w:val="0"/>
                    <w:snapToGrid w:val="0"/>
                    <w:jc w:val="center"/>
                    <w:rPr>
                      <w:color w:val="auto"/>
                      <w:szCs w:val="18"/>
                    </w:rPr>
                  </w:pPr>
                  <w:r>
                    <w:rPr>
                      <w:rFonts w:hint="eastAsia"/>
                      <w:color w:val="auto"/>
                      <w:szCs w:val="18"/>
                    </w:rPr>
                    <w:t>无包装</w:t>
                  </w:r>
                </w:p>
              </w:tc>
              <w:tc>
                <w:tcPr>
                  <w:tcW w:w="2262" w:type="dxa"/>
                  <w:vMerge w:val="restart"/>
                  <w:noWrap w:val="0"/>
                  <w:vAlign w:val="center"/>
                </w:tcPr>
                <w:p w14:paraId="3333A7C5">
                  <w:pPr>
                    <w:adjustRightInd w:val="0"/>
                    <w:snapToGrid w:val="0"/>
                    <w:jc w:val="center"/>
                    <w:rPr>
                      <w:color w:val="auto"/>
                      <w:szCs w:val="18"/>
                    </w:rPr>
                  </w:pPr>
                  <w:r>
                    <w:rPr>
                      <w:rFonts w:hint="eastAsia"/>
                      <w:color w:val="auto"/>
                      <w:spacing w:val="-11"/>
                      <w:szCs w:val="18"/>
                    </w:rPr>
                    <w:t>外售给废旧资源回收公司</w:t>
                  </w:r>
                  <w:r>
                    <w:rPr>
                      <w:rFonts w:hint="eastAsia"/>
                      <w:color w:val="auto"/>
                      <w:szCs w:val="18"/>
                    </w:rPr>
                    <w:t>综合利用</w:t>
                  </w:r>
                </w:p>
              </w:tc>
            </w:tr>
            <w:tr w14:paraId="6FF0BF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6" w:type="dxa"/>
                  <w:noWrap w:val="0"/>
                  <w:vAlign w:val="center"/>
                </w:tcPr>
                <w:p w14:paraId="742C23D7">
                  <w:pPr>
                    <w:numPr>
                      <w:ilvl w:val="0"/>
                      <w:numId w:val="14"/>
                    </w:numPr>
                    <w:adjustRightInd w:val="0"/>
                    <w:snapToGrid w:val="0"/>
                    <w:ind w:left="0" w:leftChars="0" w:firstLine="0" w:firstLineChars="0"/>
                    <w:jc w:val="center"/>
                    <w:rPr>
                      <w:rFonts w:hint="eastAsia" w:eastAsia="宋体"/>
                      <w:color w:val="auto"/>
                      <w:szCs w:val="18"/>
                      <w:lang w:val="en-US" w:eastAsia="zh-CN"/>
                    </w:rPr>
                  </w:pPr>
                </w:p>
              </w:tc>
              <w:tc>
                <w:tcPr>
                  <w:tcW w:w="1349" w:type="dxa"/>
                  <w:noWrap w:val="0"/>
                  <w:vAlign w:val="center"/>
                </w:tcPr>
                <w:p w14:paraId="4865A3D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b w:val="0"/>
                      <w:color w:val="auto"/>
                      <w:sz w:val="21"/>
                      <w:szCs w:val="18"/>
                      <w:lang w:val="en-US" w:eastAsia="zh-CN"/>
                    </w:rPr>
                  </w:pPr>
                  <w:r>
                    <w:rPr>
                      <w:rFonts w:hint="eastAsia"/>
                      <w:color w:val="auto"/>
                      <w:sz w:val="21"/>
                      <w:lang w:val="en-US" w:eastAsia="zh-CN"/>
                    </w:rPr>
                    <w:t>不合格品</w:t>
                  </w:r>
                </w:p>
              </w:tc>
              <w:tc>
                <w:tcPr>
                  <w:tcW w:w="1443" w:type="dxa"/>
                  <w:noWrap w:val="0"/>
                  <w:vAlign w:val="center"/>
                </w:tcPr>
                <w:p w14:paraId="2559BAF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Cs w:val="18"/>
                      <w:lang w:val="en-US" w:eastAsia="zh-CN"/>
                    </w:rPr>
                  </w:pPr>
                  <w:r>
                    <w:rPr>
                      <w:rFonts w:hint="eastAsia"/>
                      <w:color w:val="auto"/>
                      <w:sz w:val="21"/>
                      <w:lang w:val="en-US" w:eastAsia="zh-CN"/>
                    </w:rPr>
                    <w:t>检验</w:t>
                  </w:r>
                </w:p>
              </w:tc>
              <w:tc>
                <w:tcPr>
                  <w:tcW w:w="660" w:type="dxa"/>
                  <w:vMerge w:val="continue"/>
                  <w:noWrap w:val="0"/>
                  <w:vAlign w:val="center"/>
                </w:tcPr>
                <w:p w14:paraId="43B40708">
                  <w:pPr>
                    <w:adjustRightInd w:val="0"/>
                    <w:snapToGrid w:val="0"/>
                    <w:jc w:val="center"/>
                    <w:rPr>
                      <w:rFonts w:hint="eastAsia"/>
                      <w:color w:val="auto"/>
                      <w:szCs w:val="18"/>
                    </w:rPr>
                  </w:pPr>
                </w:p>
              </w:tc>
              <w:tc>
                <w:tcPr>
                  <w:tcW w:w="510" w:type="dxa"/>
                  <w:noWrap w:val="0"/>
                  <w:vAlign w:val="center"/>
                </w:tcPr>
                <w:p w14:paraId="50A9D91D">
                  <w:pPr>
                    <w:adjustRightInd w:val="0"/>
                    <w:snapToGrid w:val="0"/>
                    <w:jc w:val="center"/>
                    <w:rPr>
                      <w:rFonts w:hint="eastAsia" w:eastAsia="宋体"/>
                      <w:color w:val="auto"/>
                      <w:szCs w:val="18"/>
                      <w:lang w:val="en-US" w:eastAsia="zh-CN"/>
                    </w:rPr>
                  </w:pPr>
                  <w:r>
                    <w:rPr>
                      <w:rFonts w:hint="eastAsia"/>
                      <w:color w:val="auto"/>
                      <w:szCs w:val="18"/>
                      <w:lang w:val="en-US" w:eastAsia="zh-CN"/>
                    </w:rPr>
                    <w:t>固</w:t>
                  </w:r>
                </w:p>
              </w:tc>
              <w:tc>
                <w:tcPr>
                  <w:tcW w:w="1086" w:type="dxa"/>
                  <w:noWrap w:val="0"/>
                  <w:vAlign w:val="center"/>
                </w:tcPr>
                <w:p w14:paraId="5B8682FA">
                  <w:pPr>
                    <w:adjustRightInd w:val="0"/>
                    <w:snapToGrid w:val="0"/>
                    <w:jc w:val="center"/>
                    <w:rPr>
                      <w:rFonts w:hint="eastAsia" w:eastAsia="宋体" w:cs="宋体"/>
                      <w:color w:val="auto"/>
                      <w:szCs w:val="18"/>
                      <w:lang w:val="en-US" w:eastAsia="zh-CN"/>
                    </w:rPr>
                  </w:pPr>
                  <w:r>
                    <w:rPr>
                      <w:rFonts w:hint="eastAsia" w:cs="宋体"/>
                      <w:color w:val="auto"/>
                      <w:szCs w:val="18"/>
                      <w:lang w:val="en-US" w:eastAsia="zh-CN"/>
                    </w:rPr>
                    <w:t>/</w:t>
                  </w:r>
                </w:p>
              </w:tc>
              <w:tc>
                <w:tcPr>
                  <w:tcW w:w="870" w:type="dxa"/>
                  <w:noWrap w:val="0"/>
                  <w:vAlign w:val="center"/>
                </w:tcPr>
                <w:p w14:paraId="25EA8AAD">
                  <w:pPr>
                    <w:adjustRightInd w:val="0"/>
                    <w:snapToGrid w:val="0"/>
                    <w:jc w:val="center"/>
                    <w:rPr>
                      <w:rFonts w:hint="eastAsia" w:eastAsia="宋体" w:cs="宋体"/>
                      <w:color w:val="auto"/>
                      <w:szCs w:val="18"/>
                      <w:lang w:val="en-US" w:eastAsia="zh-CN"/>
                    </w:rPr>
                  </w:pPr>
                  <w:r>
                    <w:rPr>
                      <w:rFonts w:hint="eastAsia" w:cs="宋体"/>
                      <w:color w:val="auto"/>
                      <w:szCs w:val="18"/>
                      <w:lang w:val="en-US" w:eastAsia="zh-CN"/>
                    </w:rPr>
                    <w:t>SW17</w:t>
                  </w:r>
                </w:p>
              </w:tc>
              <w:tc>
                <w:tcPr>
                  <w:tcW w:w="1343" w:type="dxa"/>
                  <w:noWrap w:val="0"/>
                  <w:vAlign w:val="center"/>
                </w:tcPr>
                <w:p w14:paraId="27DAF297">
                  <w:pPr>
                    <w:adjustRightInd w:val="0"/>
                    <w:snapToGrid w:val="0"/>
                    <w:jc w:val="center"/>
                    <w:rPr>
                      <w:rFonts w:hint="default" w:eastAsia="宋体" w:cs="宋体"/>
                      <w:color w:val="auto"/>
                      <w:szCs w:val="18"/>
                      <w:lang w:val="en-US" w:eastAsia="zh-CN"/>
                    </w:rPr>
                  </w:pPr>
                  <w:r>
                    <w:rPr>
                      <w:rFonts w:hint="eastAsia" w:cs="宋体"/>
                      <w:color w:val="auto"/>
                      <w:szCs w:val="18"/>
                      <w:lang w:val="en-US" w:eastAsia="zh-CN"/>
                    </w:rPr>
                    <w:t>900-004-S17</w:t>
                  </w:r>
                </w:p>
              </w:tc>
              <w:tc>
                <w:tcPr>
                  <w:tcW w:w="735" w:type="dxa"/>
                  <w:noWrap w:val="0"/>
                  <w:vAlign w:val="center"/>
                </w:tcPr>
                <w:p w14:paraId="149BEF37">
                  <w:pPr>
                    <w:adjustRightInd w:val="0"/>
                    <w:snapToGrid w:val="0"/>
                    <w:jc w:val="center"/>
                    <w:rPr>
                      <w:rFonts w:hint="default" w:eastAsia="宋体" w:cs="宋体"/>
                      <w:color w:val="auto"/>
                      <w:szCs w:val="18"/>
                      <w:lang w:val="en-US" w:eastAsia="zh-CN"/>
                    </w:rPr>
                  </w:pPr>
                  <w:r>
                    <w:rPr>
                      <w:rFonts w:hint="eastAsia" w:cs="宋体"/>
                      <w:color w:val="auto"/>
                      <w:szCs w:val="18"/>
                      <w:lang w:val="en-US" w:eastAsia="zh-CN"/>
                    </w:rPr>
                    <w:t>/</w:t>
                  </w:r>
                </w:p>
              </w:tc>
              <w:tc>
                <w:tcPr>
                  <w:tcW w:w="886" w:type="dxa"/>
                  <w:noWrap w:val="0"/>
                  <w:vAlign w:val="center"/>
                </w:tcPr>
                <w:p w14:paraId="3DA62246">
                  <w:pPr>
                    <w:adjustRightInd w:val="0"/>
                    <w:snapToGrid w:val="0"/>
                    <w:jc w:val="center"/>
                    <w:rPr>
                      <w:rFonts w:hint="default"/>
                      <w:color w:val="auto"/>
                      <w:szCs w:val="18"/>
                      <w:lang w:val="en-US" w:eastAsia="zh-CN"/>
                    </w:rPr>
                  </w:pPr>
                  <w:r>
                    <w:rPr>
                      <w:rFonts w:hint="eastAsia"/>
                      <w:color w:val="auto"/>
                      <w:szCs w:val="18"/>
                      <w:lang w:val="en-US" w:eastAsia="zh-CN"/>
                    </w:rPr>
                    <w:t>3.38</w:t>
                  </w:r>
                </w:p>
              </w:tc>
              <w:tc>
                <w:tcPr>
                  <w:tcW w:w="931" w:type="dxa"/>
                  <w:noWrap w:val="0"/>
                  <w:vAlign w:val="center"/>
                </w:tcPr>
                <w:p w14:paraId="046105F0">
                  <w:pPr>
                    <w:adjustRightInd w:val="0"/>
                    <w:snapToGrid w:val="0"/>
                    <w:jc w:val="center"/>
                    <w:rPr>
                      <w:rFonts w:hint="default"/>
                      <w:color w:val="auto"/>
                      <w:szCs w:val="18"/>
                      <w:lang w:val="en-US" w:eastAsia="zh-CN"/>
                    </w:rPr>
                  </w:pPr>
                  <w:r>
                    <w:rPr>
                      <w:rFonts w:hint="eastAsia"/>
                      <w:color w:val="auto"/>
                      <w:szCs w:val="18"/>
                      <w:lang w:val="en-US" w:eastAsia="zh-CN"/>
                    </w:rPr>
                    <w:t>3.38</w:t>
                  </w:r>
                </w:p>
              </w:tc>
              <w:tc>
                <w:tcPr>
                  <w:tcW w:w="871" w:type="dxa"/>
                  <w:noWrap w:val="0"/>
                  <w:vAlign w:val="center"/>
                </w:tcPr>
                <w:p w14:paraId="0BFD6636">
                  <w:pPr>
                    <w:adjustRightInd w:val="0"/>
                    <w:snapToGrid w:val="0"/>
                    <w:jc w:val="center"/>
                    <w:rPr>
                      <w:rFonts w:hint="eastAsia" w:eastAsia="宋体"/>
                      <w:color w:val="auto"/>
                      <w:szCs w:val="18"/>
                      <w:lang w:val="en-US" w:eastAsia="zh-CN"/>
                    </w:rPr>
                  </w:pPr>
                  <w:r>
                    <w:rPr>
                      <w:rFonts w:hint="eastAsia"/>
                      <w:color w:val="auto"/>
                      <w:szCs w:val="18"/>
                      <w:lang w:val="en-US" w:eastAsia="zh-CN"/>
                    </w:rPr>
                    <w:t>0</w:t>
                  </w:r>
                </w:p>
              </w:tc>
              <w:tc>
                <w:tcPr>
                  <w:tcW w:w="1261" w:type="dxa"/>
                  <w:noWrap w:val="0"/>
                  <w:vAlign w:val="center"/>
                </w:tcPr>
                <w:p w14:paraId="40AC2A0F">
                  <w:pPr>
                    <w:adjustRightInd w:val="0"/>
                    <w:snapToGrid w:val="0"/>
                    <w:jc w:val="center"/>
                    <w:rPr>
                      <w:rFonts w:hint="eastAsia" w:eastAsia="宋体"/>
                      <w:color w:val="auto"/>
                      <w:szCs w:val="18"/>
                      <w:lang w:val="en-US" w:eastAsia="zh-CN"/>
                    </w:rPr>
                  </w:pPr>
                  <w:r>
                    <w:rPr>
                      <w:rFonts w:hint="eastAsia"/>
                      <w:color w:val="auto"/>
                      <w:szCs w:val="18"/>
                      <w:lang w:val="en-US" w:eastAsia="zh-CN"/>
                    </w:rPr>
                    <w:t>无包装</w:t>
                  </w:r>
                </w:p>
              </w:tc>
              <w:tc>
                <w:tcPr>
                  <w:tcW w:w="2262" w:type="dxa"/>
                  <w:vMerge w:val="continue"/>
                  <w:noWrap w:val="0"/>
                  <w:vAlign w:val="center"/>
                </w:tcPr>
                <w:p w14:paraId="69AC350F">
                  <w:pPr>
                    <w:adjustRightInd w:val="0"/>
                    <w:snapToGrid w:val="0"/>
                    <w:jc w:val="center"/>
                    <w:rPr>
                      <w:rFonts w:hint="default" w:eastAsia="宋体"/>
                      <w:color w:val="auto"/>
                      <w:spacing w:val="-11"/>
                      <w:szCs w:val="18"/>
                      <w:lang w:val="en-US" w:eastAsia="zh-CN"/>
                    </w:rPr>
                  </w:pPr>
                </w:p>
              </w:tc>
            </w:tr>
            <w:tr w14:paraId="3398C9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6" w:type="dxa"/>
                  <w:noWrap w:val="0"/>
                  <w:vAlign w:val="center"/>
                </w:tcPr>
                <w:p w14:paraId="504DB9C9">
                  <w:pPr>
                    <w:numPr>
                      <w:ilvl w:val="0"/>
                      <w:numId w:val="14"/>
                    </w:numPr>
                    <w:adjustRightInd w:val="0"/>
                    <w:snapToGrid w:val="0"/>
                    <w:ind w:left="0" w:leftChars="0" w:firstLine="0" w:firstLineChars="0"/>
                    <w:jc w:val="center"/>
                    <w:rPr>
                      <w:rFonts w:hint="eastAsia"/>
                      <w:color w:val="auto"/>
                      <w:szCs w:val="18"/>
                      <w:lang w:val="en-US" w:eastAsia="zh-CN"/>
                    </w:rPr>
                  </w:pPr>
                </w:p>
              </w:tc>
              <w:tc>
                <w:tcPr>
                  <w:tcW w:w="1349" w:type="dxa"/>
                  <w:noWrap w:val="0"/>
                  <w:vAlign w:val="center"/>
                </w:tcPr>
                <w:p w14:paraId="2D963964">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b w:val="0"/>
                      <w:color w:val="auto"/>
                      <w:sz w:val="21"/>
                      <w:szCs w:val="18"/>
                      <w:lang w:val="en-US" w:eastAsia="zh-CN"/>
                    </w:rPr>
                  </w:pPr>
                  <w:r>
                    <w:rPr>
                      <w:rFonts w:hint="eastAsia"/>
                      <w:color w:val="auto"/>
                      <w:sz w:val="21"/>
                      <w:lang w:val="en-US" w:eastAsia="zh-CN"/>
                    </w:rPr>
                    <w:t>沉渣</w:t>
                  </w:r>
                </w:p>
              </w:tc>
              <w:tc>
                <w:tcPr>
                  <w:tcW w:w="1443" w:type="dxa"/>
                  <w:noWrap w:val="0"/>
                  <w:vAlign w:val="center"/>
                </w:tcPr>
                <w:p w14:paraId="04B330C5">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Cs w:val="18"/>
                      <w:lang w:val="en-US" w:eastAsia="zh-CN"/>
                    </w:rPr>
                  </w:pPr>
                  <w:r>
                    <w:rPr>
                      <w:rFonts w:hint="eastAsia"/>
                      <w:color w:val="auto"/>
                      <w:sz w:val="21"/>
                      <w:lang w:val="en-US" w:eastAsia="zh-CN"/>
                    </w:rPr>
                    <w:t>废水治理</w:t>
                  </w:r>
                </w:p>
              </w:tc>
              <w:tc>
                <w:tcPr>
                  <w:tcW w:w="660" w:type="dxa"/>
                  <w:vMerge w:val="continue"/>
                  <w:noWrap w:val="0"/>
                  <w:vAlign w:val="center"/>
                </w:tcPr>
                <w:p w14:paraId="5D5E9C48">
                  <w:pPr>
                    <w:adjustRightInd w:val="0"/>
                    <w:snapToGrid w:val="0"/>
                    <w:jc w:val="center"/>
                    <w:rPr>
                      <w:rFonts w:hint="eastAsia"/>
                      <w:color w:val="auto"/>
                      <w:szCs w:val="18"/>
                    </w:rPr>
                  </w:pPr>
                </w:p>
              </w:tc>
              <w:tc>
                <w:tcPr>
                  <w:tcW w:w="510" w:type="dxa"/>
                  <w:noWrap w:val="0"/>
                  <w:vAlign w:val="center"/>
                </w:tcPr>
                <w:p w14:paraId="07B47334">
                  <w:pPr>
                    <w:adjustRightInd w:val="0"/>
                    <w:snapToGrid w:val="0"/>
                    <w:jc w:val="center"/>
                    <w:rPr>
                      <w:rFonts w:hint="default"/>
                      <w:color w:val="auto"/>
                      <w:szCs w:val="18"/>
                      <w:lang w:val="en-US" w:eastAsia="zh-CN"/>
                    </w:rPr>
                  </w:pPr>
                  <w:r>
                    <w:rPr>
                      <w:rFonts w:hint="eastAsia"/>
                      <w:color w:val="auto"/>
                      <w:szCs w:val="18"/>
                      <w:lang w:val="en-US" w:eastAsia="zh-CN"/>
                    </w:rPr>
                    <w:t>固</w:t>
                  </w:r>
                </w:p>
              </w:tc>
              <w:tc>
                <w:tcPr>
                  <w:tcW w:w="1086" w:type="dxa"/>
                  <w:noWrap w:val="0"/>
                  <w:vAlign w:val="center"/>
                </w:tcPr>
                <w:p w14:paraId="514BFF0E">
                  <w:pPr>
                    <w:adjustRightInd w:val="0"/>
                    <w:snapToGrid w:val="0"/>
                    <w:jc w:val="center"/>
                    <w:rPr>
                      <w:rFonts w:hint="default" w:cs="宋体"/>
                      <w:color w:val="auto"/>
                      <w:szCs w:val="18"/>
                      <w:lang w:val="en-US" w:eastAsia="zh-CN"/>
                    </w:rPr>
                  </w:pPr>
                  <w:r>
                    <w:rPr>
                      <w:rFonts w:hint="eastAsia" w:cs="宋体"/>
                      <w:color w:val="auto"/>
                      <w:szCs w:val="18"/>
                      <w:lang w:val="en-US" w:eastAsia="zh-CN"/>
                    </w:rPr>
                    <w:t>/</w:t>
                  </w:r>
                </w:p>
              </w:tc>
              <w:tc>
                <w:tcPr>
                  <w:tcW w:w="870" w:type="dxa"/>
                  <w:noWrap w:val="0"/>
                  <w:vAlign w:val="center"/>
                </w:tcPr>
                <w:p w14:paraId="6AFB0502">
                  <w:pPr>
                    <w:adjustRightInd w:val="0"/>
                    <w:snapToGrid w:val="0"/>
                    <w:jc w:val="center"/>
                    <w:rPr>
                      <w:rFonts w:hint="eastAsia" w:cs="宋体"/>
                      <w:color w:val="auto"/>
                      <w:szCs w:val="18"/>
                      <w:lang w:val="en-US" w:eastAsia="zh-CN"/>
                    </w:rPr>
                  </w:pPr>
                  <w:r>
                    <w:rPr>
                      <w:rFonts w:hint="eastAsia" w:cs="宋体"/>
                      <w:color w:val="auto"/>
                      <w:szCs w:val="18"/>
                      <w:lang w:val="en-US" w:eastAsia="zh-CN"/>
                    </w:rPr>
                    <w:t>SW17</w:t>
                  </w:r>
                </w:p>
              </w:tc>
              <w:tc>
                <w:tcPr>
                  <w:tcW w:w="1343" w:type="dxa"/>
                  <w:noWrap w:val="0"/>
                  <w:vAlign w:val="center"/>
                </w:tcPr>
                <w:p w14:paraId="21992D10">
                  <w:pPr>
                    <w:adjustRightInd w:val="0"/>
                    <w:snapToGrid w:val="0"/>
                    <w:jc w:val="center"/>
                    <w:rPr>
                      <w:rFonts w:hint="eastAsia" w:cs="宋体"/>
                      <w:color w:val="auto"/>
                      <w:szCs w:val="18"/>
                      <w:lang w:val="en-US" w:eastAsia="zh-CN"/>
                    </w:rPr>
                  </w:pPr>
                  <w:r>
                    <w:rPr>
                      <w:rFonts w:hint="eastAsia" w:cs="宋体"/>
                      <w:color w:val="auto"/>
                      <w:szCs w:val="18"/>
                      <w:lang w:val="en-US" w:eastAsia="zh-CN"/>
                    </w:rPr>
                    <w:t>900-099-S07</w:t>
                  </w:r>
                </w:p>
              </w:tc>
              <w:tc>
                <w:tcPr>
                  <w:tcW w:w="735" w:type="dxa"/>
                  <w:noWrap w:val="0"/>
                  <w:vAlign w:val="center"/>
                </w:tcPr>
                <w:p w14:paraId="7F01F8A1">
                  <w:pPr>
                    <w:adjustRightInd w:val="0"/>
                    <w:snapToGrid w:val="0"/>
                    <w:jc w:val="center"/>
                    <w:rPr>
                      <w:rFonts w:hint="default" w:cs="宋体"/>
                      <w:color w:val="auto"/>
                      <w:szCs w:val="18"/>
                      <w:lang w:val="en-US" w:eastAsia="zh-CN"/>
                    </w:rPr>
                  </w:pPr>
                  <w:r>
                    <w:rPr>
                      <w:rFonts w:hint="eastAsia" w:cs="宋体"/>
                      <w:color w:val="auto"/>
                      <w:szCs w:val="18"/>
                      <w:lang w:val="en-US" w:eastAsia="zh-CN"/>
                    </w:rPr>
                    <w:t>/</w:t>
                  </w:r>
                </w:p>
              </w:tc>
              <w:tc>
                <w:tcPr>
                  <w:tcW w:w="886" w:type="dxa"/>
                  <w:noWrap w:val="0"/>
                  <w:vAlign w:val="center"/>
                </w:tcPr>
                <w:p w14:paraId="58B9C74D">
                  <w:pPr>
                    <w:adjustRightInd w:val="0"/>
                    <w:snapToGrid w:val="0"/>
                    <w:jc w:val="center"/>
                    <w:rPr>
                      <w:rFonts w:hint="default"/>
                      <w:color w:val="auto"/>
                      <w:szCs w:val="18"/>
                      <w:lang w:val="en-US" w:eastAsia="zh-CN"/>
                    </w:rPr>
                  </w:pPr>
                  <w:r>
                    <w:rPr>
                      <w:rFonts w:hint="eastAsia"/>
                      <w:color w:val="auto"/>
                      <w:szCs w:val="18"/>
                      <w:lang w:val="en-US" w:eastAsia="zh-CN"/>
                    </w:rPr>
                    <w:t>1.56</w:t>
                  </w:r>
                </w:p>
              </w:tc>
              <w:tc>
                <w:tcPr>
                  <w:tcW w:w="931" w:type="dxa"/>
                  <w:noWrap w:val="0"/>
                  <w:vAlign w:val="center"/>
                </w:tcPr>
                <w:p w14:paraId="79B9208E">
                  <w:pPr>
                    <w:adjustRightInd w:val="0"/>
                    <w:snapToGrid w:val="0"/>
                    <w:jc w:val="center"/>
                    <w:rPr>
                      <w:rFonts w:hint="default"/>
                      <w:color w:val="auto"/>
                      <w:szCs w:val="18"/>
                      <w:lang w:val="en-US" w:eastAsia="zh-CN"/>
                    </w:rPr>
                  </w:pPr>
                  <w:r>
                    <w:rPr>
                      <w:rFonts w:hint="eastAsia"/>
                      <w:color w:val="auto"/>
                      <w:szCs w:val="18"/>
                      <w:lang w:val="en-US" w:eastAsia="zh-CN"/>
                    </w:rPr>
                    <w:t>1.56</w:t>
                  </w:r>
                </w:p>
              </w:tc>
              <w:tc>
                <w:tcPr>
                  <w:tcW w:w="871" w:type="dxa"/>
                  <w:noWrap w:val="0"/>
                  <w:vAlign w:val="center"/>
                </w:tcPr>
                <w:p w14:paraId="22E13085">
                  <w:pPr>
                    <w:adjustRightInd w:val="0"/>
                    <w:snapToGrid w:val="0"/>
                    <w:jc w:val="center"/>
                    <w:rPr>
                      <w:rFonts w:hint="default"/>
                      <w:color w:val="auto"/>
                      <w:szCs w:val="18"/>
                      <w:lang w:val="en-US" w:eastAsia="zh-CN"/>
                    </w:rPr>
                  </w:pPr>
                  <w:r>
                    <w:rPr>
                      <w:rFonts w:hint="eastAsia"/>
                      <w:color w:val="auto"/>
                      <w:szCs w:val="18"/>
                      <w:lang w:val="en-US" w:eastAsia="zh-CN"/>
                    </w:rPr>
                    <w:t>0</w:t>
                  </w:r>
                </w:p>
              </w:tc>
              <w:tc>
                <w:tcPr>
                  <w:tcW w:w="1261" w:type="dxa"/>
                  <w:noWrap w:val="0"/>
                  <w:vAlign w:val="center"/>
                </w:tcPr>
                <w:p w14:paraId="551E92D9">
                  <w:pPr>
                    <w:adjustRightInd w:val="0"/>
                    <w:snapToGrid w:val="0"/>
                    <w:jc w:val="center"/>
                    <w:rPr>
                      <w:rFonts w:hint="default"/>
                      <w:color w:val="auto"/>
                      <w:szCs w:val="18"/>
                      <w:lang w:val="en-US" w:eastAsia="zh-CN"/>
                    </w:rPr>
                  </w:pPr>
                  <w:r>
                    <w:rPr>
                      <w:rFonts w:hint="eastAsia"/>
                      <w:color w:val="auto"/>
                      <w:szCs w:val="18"/>
                      <w:lang w:val="en-US" w:eastAsia="zh-CN"/>
                    </w:rPr>
                    <w:t>无包装</w:t>
                  </w:r>
                </w:p>
              </w:tc>
              <w:tc>
                <w:tcPr>
                  <w:tcW w:w="2262" w:type="dxa"/>
                  <w:vMerge w:val="continue"/>
                  <w:noWrap w:val="0"/>
                  <w:vAlign w:val="center"/>
                </w:tcPr>
                <w:p w14:paraId="28431E87">
                  <w:pPr>
                    <w:adjustRightInd w:val="0"/>
                    <w:snapToGrid w:val="0"/>
                    <w:jc w:val="center"/>
                    <w:rPr>
                      <w:rFonts w:hint="default" w:eastAsia="宋体"/>
                      <w:color w:val="auto"/>
                      <w:spacing w:val="-11"/>
                      <w:szCs w:val="18"/>
                      <w:lang w:val="en-US" w:eastAsia="zh-CN"/>
                    </w:rPr>
                  </w:pPr>
                </w:p>
              </w:tc>
            </w:tr>
            <w:tr w14:paraId="158681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6" w:type="dxa"/>
                  <w:noWrap w:val="0"/>
                  <w:vAlign w:val="center"/>
                </w:tcPr>
                <w:p w14:paraId="24AC49DD">
                  <w:pPr>
                    <w:numPr>
                      <w:ilvl w:val="0"/>
                      <w:numId w:val="14"/>
                    </w:numPr>
                    <w:adjustRightInd w:val="0"/>
                    <w:snapToGrid w:val="0"/>
                    <w:ind w:left="0" w:leftChars="0" w:firstLine="0" w:firstLineChars="0"/>
                    <w:jc w:val="center"/>
                    <w:rPr>
                      <w:rFonts w:hint="eastAsia"/>
                      <w:color w:val="auto"/>
                      <w:kern w:val="2"/>
                      <w:sz w:val="21"/>
                      <w:szCs w:val="18"/>
                      <w:lang w:val="en-US" w:eastAsia="zh-CN" w:bidi="ar-SA"/>
                    </w:rPr>
                  </w:pPr>
                </w:p>
              </w:tc>
              <w:tc>
                <w:tcPr>
                  <w:tcW w:w="1349" w:type="dxa"/>
                  <w:noWrap w:val="0"/>
                  <w:vAlign w:val="center"/>
                </w:tcPr>
                <w:p w14:paraId="06CA7BF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ascii="Times New Roman" w:hAnsi="Times New Roman" w:cs="Times New Roman"/>
                      <w:b w:val="0"/>
                      <w:color w:val="auto"/>
                      <w:sz w:val="21"/>
                      <w:szCs w:val="18"/>
                    </w:rPr>
                  </w:pPr>
                  <w:r>
                    <w:rPr>
                      <w:rFonts w:hint="eastAsia"/>
                      <w:color w:val="auto"/>
                      <w:sz w:val="21"/>
                      <w:lang w:val="en-US" w:eastAsia="zh-CN"/>
                    </w:rPr>
                    <w:t>废包装材料</w:t>
                  </w:r>
                </w:p>
              </w:tc>
              <w:tc>
                <w:tcPr>
                  <w:tcW w:w="1443" w:type="dxa"/>
                  <w:noWrap w:val="0"/>
                  <w:vAlign w:val="center"/>
                </w:tcPr>
                <w:p w14:paraId="7CF6073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Cs w:val="18"/>
                    </w:rPr>
                  </w:pPr>
                  <w:r>
                    <w:rPr>
                      <w:rFonts w:hint="eastAsia"/>
                      <w:color w:val="auto"/>
                      <w:sz w:val="21"/>
                      <w:lang w:val="en-US" w:eastAsia="zh-CN"/>
                    </w:rPr>
                    <w:t>PVB和丁基胶包装</w:t>
                  </w:r>
                </w:p>
              </w:tc>
              <w:tc>
                <w:tcPr>
                  <w:tcW w:w="660" w:type="dxa"/>
                  <w:vMerge w:val="continue"/>
                  <w:noWrap w:val="0"/>
                  <w:vAlign w:val="center"/>
                </w:tcPr>
                <w:p w14:paraId="17541DF6">
                  <w:pPr>
                    <w:adjustRightInd w:val="0"/>
                    <w:snapToGrid w:val="0"/>
                    <w:jc w:val="center"/>
                    <w:rPr>
                      <w:rFonts w:hint="default"/>
                      <w:color w:val="auto"/>
                      <w:szCs w:val="18"/>
                      <w:lang w:val="en-US" w:eastAsia="zh-CN"/>
                    </w:rPr>
                  </w:pPr>
                </w:p>
              </w:tc>
              <w:tc>
                <w:tcPr>
                  <w:tcW w:w="510" w:type="dxa"/>
                  <w:noWrap w:val="0"/>
                  <w:vAlign w:val="center"/>
                </w:tcPr>
                <w:p w14:paraId="0F420E10">
                  <w:pPr>
                    <w:adjustRightInd w:val="0"/>
                    <w:snapToGrid w:val="0"/>
                    <w:jc w:val="center"/>
                    <w:rPr>
                      <w:color w:val="auto"/>
                      <w:szCs w:val="18"/>
                    </w:rPr>
                  </w:pPr>
                  <w:r>
                    <w:rPr>
                      <w:rFonts w:hint="eastAsia"/>
                      <w:color w:val="auto"/>
                      <w:szCs w:val="18"/>
                    </w:rPr>
                    <w:t>固</w:t>
                  </w:r>
                </w:p>
              </w:tc>
              <w:tc>
                <w:tcPr>
                  <w:tcW w:w="1086" w:type="dxa"/>
                  <w:noWrap w:val="0"/>
                  <w:vAlign w:val="center"/>
                </w:tcPr>
                <w:p w14:paraId="02AEDEDA">
                  <w:pPr>
                    <w:adjustRightInd w:val="0"/>
                    <w:snapToGrid w:val="0"/>
                    <w:jc w:val="center"/>
                    <w:rPr>
                      <w:rFonts w:hint="eastAsia" w:eastAsia="宋体"/>
                      <w:color w:val="auto"/>
                      <w:szCs w:val="18"/>
                      <w:lang w:val="en-US" w:eastAsia="zh-CN"/>
                    </w:rPr>
                  </w:pPr>
                  <w:r>
                    <w:rPr>
                      <w:rFonts w:hint="eastAsia"/>
                      <w:color w:val="auto"/>
                      <w:szCs w:val="18"/>
                      <w:lang w:val="en-US" w:eastAsia="zh-CN"/>
                    </w:rPr>
                    <w:t>/</w:t>
                  </w:r>
                </w:p>
              </w:tc>
              <w:tc>
                <w:tcPr>
                  <w:tcW w:w="870" w:type="dxa"/>
                  <w:noWrap w:val="0"/>
                  <w:vAlign w:val="center"/>
                </w:tcPr>
                <w:p w14:paraId="6139E52C">
                  <w:pPr>
                    <w:adjustRightInd w:val="0"/>
                    <w:snapToGrid w:val="0"/>
                    <w:jc w:val="center"/>
                    <w:rPr>
                      <w:color w:val="auto"/>
                      <w:spacing w:val="-11"/>
                      <w:szCs w:val="18"/>
                    </w:rPr>
                  </w:pPr>
                  <w:r>
                    <w:rPr>
                      <w:rFonts w:hint="eastAsia" w:cs="宋体"/>
                      <w:color w:val="auto"/>
                      <w:szCs w:val="18"/>
                      <w:lang w:val="en-US" w:eastAsia="zh-CN"/>
                    </w:rPr>
                    <w:t>SW17</w:t>
                  </w:r>
                </w:p>
              </w:tc>
              <w:tc>
                <w:tcPr>
                  <w:tcW w:w="1343" w:type="dxa"/>
                  <w:noWrap w:val="0"/>
                  <w:vAlign w:val="center"/>
                </w:tcPr>
                <w:p w14:paraId="6208B2D8">
                  <w:pPr>
                    <w:adjustRightInd w:val="0"/>
                    <w:snapToGrid w:val="0"/>
                    <w:jc w:val="center"/>
                    <w:rPr>
                      <w:color w:val="auto"/>
                      <w:spacing w:val="-11"/>
                      <w:szCs w:val="18"/>
                    </w:rPr>
                  </w:pPr>
                  <w:r>
                    <w:rPr>
                      <w:rFonts w:hint="eastAsia" w:cs="宋体"/>
                      <w:color w:val="auto"/>
                      <w:szCs w:val="18"/>
                      <w:lang w:val="en-US" w:eastAsia="zh-CN"/>
                    </w:rPr>
                    <w:t>900-003-S17</w:t>
                  </w:r>
                </w:p>
              </w:tc>
              <w:tc>
                <w:tcPr>
                  <w:tcW w:w="735" w:type="dxa"/>
                  <w:noWrap w:val="0"/>
                  <w:vAlign w:val="center"/>
                </w:tcPr>
                <w:p w14:paraId="060FB10C">
                  <w:pPr>
                    <w:adjustRightInd w:val="0"/>
                    <w:snapToGrid w:val="0"/>
                    <w:jc w:val="center"/>
                    <w:rPr>
                      <w:rFonts w:hint="eastAsia" w:eastAsia="宋体"/>
                      <w:color w:val="auto"/>
                      <w:szCs w:val="18"/>
                      <w:lang w:val="en-US" w:eastAsia="zh-CN"/>
                    </w:rPr>
                  </w:pPr>
                  <w:r>
                    <w:rPr>
                      <w:rFonts w:hint="eastAsia"/>
                      <w:color w:val="auto"/>
                      <w:szCs w:val="18"/>
                      <w:lang w:val="en-US" w:eastAsia="zh-CN"/>
                    </w:rPr>
                    <w:t>/</w:t>
                  </w:r>
                </w:p>
              </w:tc>
              <w:tc>
                <w:tcPr>
                  <w:tcW w:w="886" w:type="dxa"/>
                  <w:noWrap w:val="0"/>
                  <w:vAlign w:val="center"/>
                </w:tcPr>
                <w:p w14:paraId="769D80AC">
                  <w:pPr>
                    <w:adjustRightInd w:val="0"/>
                    <w:snapToGrid w:val="0"/>
                    <w:jc w:val="center"/>
                    <w:rPr>
                      <w:rFonts w:hint="default" w:ascii="Times New Roman" w:hAnsi="Times New Roman" w:eastAsia="宋体" w:cs="Times New Roman"/>
                      <w:color w:val="auto"/>
                      <w:szCs w:val="18"/>
                      <w:lang w:val="en-US" w:eastAsia="zh-CN"/>
                    </w:rPr>
                  </w:pPr>
                  <w:r>
                    <w:rPr>
                      <w:rFonts w:hint="eastAsia" w:cs="Times New Roman"/>
                      <w:color w:val="auto"/>
                      <w:szCs w:val="18"/>
                      <w:lang w:val="en-US" w:eastAsia="zh-CN"/>
                    </w:rPr>
                    <w:t>0.02</w:t>
                  </w:r>
                </w:p>
              </w:tc>
              <w:tc>
                <w:tcPr>
                  <w:tcW w:w="931" w:type="dxa"/>
                  <w:noWrap w:val="0"/>
                  <w:vAlign w:val="center"/>
                </w:tcPr>
                <w:p w14:paraId="49BE0EAF">
                  <w:pPr>
                    <w:adjustRightInd w:val="0"/>
                    <w:snapToGrid w:val="0"/>
                    <w:jc w:val="center"/>
                    <w:rPr>
                      <w:rFonts w:hint="eastAsia" w:ascii="Times New Roman" w:hAnsi="Times New Roman" w:eastAsia="宋体" w:cs="Times New Roman"/>
                      <w:color w:val="auto"/>
                      <w:szCs w:val="18"/>
                      <w:lang w:val="en-US" w:eastAsia="zh-CN"/>
                    </w:rPr>
                  </w:pPr>
                  <w:r>
                    <w:rPr>
                      <w:rFonts w:hint="eastAsia" w:cs="Times New Roman"/>
                      <w:color w:val="auto"/>
                      <w:szCs w:val="18"/>
                      <w:lang w:val="en-US" w:eastAsia="zh-CN"/>
                    </w:rPr>
                    <w:t>0.02</w:t>
                  </w:r>
                </w:p>
              </w:tc>
              <w:tc>
                <w:tcPr>
                  <w:tcW w:w="871" w:type="dxa"/>
                  <w:noWrap w:val="0"/>
                  <w:vAlign w:val="center"/>
                </w:tcPr>
                <w:p w14:paraId="4F3884E3">
                  <w:pPr>
                    <w:adjustRightInd w:val="0"/>
                    <w:snapToGrid w:val="0"/>
                    <w:jc w:val="center"/>
                    <w:rPr>
                      <w:rFonts w:hint="default" w:ascii="Times New Roman" w:hAnsi="Times New Roman" w:eastAsia="宋体" w:cs="Times New Roman"/>
                      <w:color w:val="auto"/>
                      <w:szCs w:val="18"/>
                      <w:lang w:val="en-US" w:eastAsia="zh-CN"/>
                    </w:rPr>
                  </w:pPr>
                  <w:r>
                    <w:rPr>
                      <w:rFonts w:hint="eastAsia" w:cs="Times New Roman"/>
                      <w:color w:val="auto"/>
                      <w:szCs w:val="18"/>
                      <w:lang w:val="en-US" w:eastAsia="zh-CN"/>
                    </w:rPr>
                    <w:t>0</w:t>
                  </w:r>
                </w:p>
              </w:tc>
              <w:tc>
                <w:tcPr>
                  <w:tcW w:w="1261" w:type="dxa"/>
                  <w:noWrap w:val="0"/>
                  <w:vAlign w:val="center"/>
                </w:tcPr>
                <w:p w14:paraId="3E79AE22">
                  <w:pPr>
                    <w:adjustRightInd w:val="0"/>
                    <w:snapToGrid w:val="0"/>
                    <w:jc w:val="center"/>
                    <w:rPr>
                      <w:rFonts w:hint="eastAsia" w:eastAsia="宋体"/>
                      <w:color w:val="auto"/>
                      <w:szCs w:val="18"/>
                      <w:lang w:val="en-US" w:eastAsia="zh-CN"/>
                    </w:rPr>
                  </w:pPr>
                  <w:r>
                    <w:rPr>
                      <w:rFonts w:hint="eastAsia"/>
                      <w:color w:val="auto"/>
                      <w:szCs w:val="18"/>
                      <w:lang w:val="en-US" w:eastAsia="zh-CN"/>
                    </w:rPr>
                    <w:t>袋装</w:t>
                  </w:r>
                </w:p>
              </w:tc>
              <w:tc>
                <w:tcPr>
                  <w:tcW w:w="2262" w:type="dxa"/>
                  <w:vMerge w:val="continue"/>
                  <w:noWrap w:val="0"/>
                  <w:vAlign w:val="center"/>
                </w:tcPr>
                <w:p w14:paraId="4C3B1199">
                  <w:pPr>
                    <w:adjustRightInd w:val="0"/>
                    <w:snapToGrid w:val="0"/>
                    <w:jc w:val="center"/>
                    <w:rPr>
                      <w:color w:val="auto"/>
                      <w:szCs w:val="18"/>
                    </w:rPr>
                  </w:pPr>
                </w:p>
              </w:tc>
            </w:tr>
            <w:tr w14:paraId="089CB7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6" w:type="dxa"/>
                  <w:noWrap w:val="0"/>
                  <w:vAlign w:val="center"/>
                </w:tcPr>
                <w:p w14:paraId="7C48CEED">
                  <w:pPr>
                    <w:numPr>
                      <w:ilvl w:val="0"/>
                      <w:numId w:val="14"/>
                    </w:numPr>
                    <w:adjustRightInd w:val="0"/>
                    <w:snapToGrid w:val="0"/>
                    <w:ind w:left="0" w:leftChars="0" w:firstLine="0" w:firstLineChars="0"/>
                    <w:jc w:val="center"/>
                    <w:rPr>
                      <w:rFonts w:hint="eastAsia"/>
                      <w:color w:val="auto"/>
                      <w:kern w:val="2"/>
                      <w:sz w:val="21"/>
                      <w:szCs w:val="18"/>
                      <w:lang w:val="en-US" w:eastAsia="zh-CN" w:bidi="ar-SA"/>
                    </w:rPr>
                  </w:pPr>
                </w:p>
              </w:tc>
              <w:tc>
                <w:tcPr>
                  <w:tcW w:w="1349" w:type="dxa"/>
                  <w:noWrap w:val="0"/>
                  <w:vAlign w:val="center"/>
                </w:tcPr>
                <w:p w14:paraId="3183C7E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eastAsia="zh-CN"/>
                    </w:rPr>
                  </w:pPr>
                  <w:r>
                    <w:rPr>
                      <w:rFonts w:hint="eastAsia"/>
                      <w:color w:val="auto"/>
                      <w:sz w:val="21"/>
                      <w:lang w:val="en-US" w:eastAsia="zh-CN"/>
                    </w:rPr>
                    <w:t>铝边角料</w:t>
                  </w:r>
                </w:p>
              </w:tc>
              <w:tc>
                <w:tcPr>
                  <w:tcW w:w="1443" w:type="dxa"/>
                  <w:noWrap w:val="0"/>
                  <w:vAlign w:val="center"/>
                </w:tcPr>
                <w:p w14:paraId="70C56D59">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lang w:val="en-US" w:eastAsia="zh-CN"/>
                    </w:rPr>
                  </w:pPr>
                  <w:r>
                    <w:rPr>
                      <w:rFonts w:hint="eastAsia"/>
                      <w:color w:val="auto"/>
                      <w:sz w:val="21"/>
                      <w:lang w:val="en-US" w:eastAsia="zh-CN"/>
                    </w:rPr>
                    <w:t>折弯裁切</w:t>
                  </w:r>
                </w:p>
              </w:tc>
              <w:tc>
                <w:tcPr>
                  <w:tcW w:w="660" w:type="dxa"/>
                  <w:vMerge w:val="continue"/>
                  <w:noWrap w:val="0"/>
                  <w:vAlign w:val="center"/>
                </w:tcPr>
                <w:p w14:paraId="775D67C6">
                  <w:pPr>
                    <w:adjustRightInd w:val="0"/>
                    <w:snapToGrid w:val="0"/>
                    <w:jc w:val="center"/>
                    <w:rPr>
                      <w:rFonts w:hint="default"/>
                      <w:color w:val="auto"/>
                      <w:szCs w:val="18"/>
                      <w:lang w:val="en-US" w:eastAsia="zh-CN"/>
                    </w:rPr>
                  </w:pPr>
                </w:p>
              </w:tc>
              <w:tc>
                <w:tcPr>
                  <w:tcW w:w="510" w:type="dxa"/>
                  <w:noWrap w:val="0"/>
                  <w:vAlign w:val="center"/>
                </w:tcPr>
                <w:p w14:paraId="506E27A0">
                  <w:pPr>
                    <w:adjustRightInd w:val="0"/>
                    <w:snapToGrid w:val="0"/>
                    <w:jc w:val="center"/>
                    <w:rPr>
                      <w:rFonts w:hint="eastAsia" w:eastAsia="宋体"/>
                      <w:color w:val="auto"/>
                      <w:szCs w:val="18"/>
                      <w:lang w:val="en-US" w:eastAsia="zh-CN"/>
                    </w:rPr>
                  </w:pPr>
                  <w:r>
                    <w:rPr>
                      <w:rFonts w:hint="eastAsia"/>
                      <w:color w:val="auto"/>
                      <w:szCs w:val="18"/>
                      <w:lang w:val="en-US" w:eastAsia="zh-CN"/>
                    </w:rPr>
                    <w:t>固</w:t>
                  </w:r>
                </w:p>
              </w:tc>
              <w:tc>
                <w:tcPr>
                  <w:tcW w:w="1086" w:type="dxa"/>
                  <w:noWrap w:val="0"/>
                  <w:vAlign w:val="center"/>
                </w:tcPr>
                <w:p w14:paraId="30D8E8EC">
                  <w:pPr>
                    <w:adjustRightInd w:val="0"/>
                    <w:snapToGrid w:val="0"/>
                    <w:jc w:val="center"/>
                    <w:rPr>
                      <w:rFonts w:hint="default"/>
                      <w:color w:val="auto"/>
                      <w:szCs w:val="18"/>
                      <w:lang w:val="en-US" w:eastAsia="zh-CN"/>
                    </w:rPr>
                  </w:pPr>
                  <w:r>
                    <w:rPr>
                      <w:rFonts w:hint="eastAsia"/>
                      <w:color w:val="auto"/>
                      <w:szCs w:val="18"/>
                      <w:lang w:val="en-US" w:eastAsia="zh-CN"/>
                    </w:rPr>
                    <w:t>/</w:t>
                  </w:r>
                </w:p>
              </w:tc>
              <w:tc>
                <w:tcPr>
                  <w:tcW w:w="870" w:type="dxa"/>
                  <w:noWrap w:val="0"/>
                  <w:vAlign w:val="center"/>
                </w:tcPr>
                <w:p w14:paraId="48268278">
                  <w:pPr>
                    <w:pStyle w:val="30"/>
                    <w:bidi w:val="0"/>
                    <w:rPr>
                      <w:rFonts w:hint="default" w:ascii="Times New Roman" w:hAnsi="Times New Roman" w:cs="Times New Roman"/>
                      <w:color w:val="auto"/>
                      <w:spacing w:val="-11"/>
                      <w:szCs w:val="18"/>
                    </w:rPr>
                  </w:pPr>
                  <w:r>
                    <w:rPr>
                      <w:rFonts w:hint="default" w:ascii="Times New Roman" w:hAnsi="Times New Roman" w:cs="Times New Roman"/>
                      <w:color w:val="auto"/>
                      <w:lang w:val="en-US" w:eastAsia="zh-CN"/>
                    </w:rPr>
                    <w:t>SW17</w:t>
                  </w:r>
                </w:p>
              </w:tc>
              <w:tc>
                <w:tcPr>
                  <w:tcW w:w="1343" w:type="dxa"/>
                  <w:noWrap w:val="0"/>
                  <w:vAlign w:val="center"/>
                </w:tcPr>
                <w:p w14:paraId="02F85E26">
                  <w:pPr>
                    <w:pStyle w:val="30"/>
                    <w:bidi w:val="0"/>
                    <w:rPr>
                      <w:rFonts w:hint="default" w:ascii="Times New Roman" w:hAnsi="Times New Roman" w:cs="Times New Roman"/>
                      <w:color w:val="auto"/>
                      <w:spacing w:val="-11"/>
                      <w:szCs w:val="18"/>
                    </w:rPr>
                  </w:pPr>
                  <w:r>
                    <w:rPr>
                      <w:rFonts w:hint="default" w:ascii="Times New Roman" w:hAnsi="Times New Roman" w:cs="Times New Roman"/>
                      <w:color w:val="auto"/>
                      <w:lang w:val="en-US" w:eastAsia="zh-CN"/>
                    </w:rPr>
                    <w:t>900-002-S17</w:t>
                  </w:r>
                </w:p>
              </w:tc>
              <w:tc>
                <w:tcPr>
                  <w:tcW w:w="735" w:type="dxa"/>
                  <w:noWrap w:val="0"/>
                  <w:vAlign w:val="center"/>
                </w:tcPr>
                <w:p w14:paraId="3C9F0CD8">
                  <w:pPr>
                    <w:adjustRightInd w:val="0"/>
                    <w:snapToGrid w:val="0"/>
                    <w:jc w:val="center"/>
                    <w:rPr>
                      <w:rFonts w:hint="eastAsia" w:eastAsia="宋体"/>
                      <w:color w:val="auto"/>
                      <w:szCs w:val="18"/>
                      <w:lang w:val="en-US" w:eastAsia="zh-CN"/>
                    </w:rPr>
                  </w:pPr>
                  <w:r>
                    <w:rPr>
                      <w:rFonts w:hint="eastAsia"/>
                      <w:color w:val="auto"/>
                      <w:szCs w:val="18"/>
                      <w:lang w:val="en-US" w:eastAsia="zh-CN"/>
                    </w:rPr>
                    <w:t>/</w:t>
                  </w:r>
                </w:p>
              </w:tc>
              <w:tc>
                <w:tcPr>
                  <w:tcW w:w="886" w:type="dxa"/>
                  <w:noWrap w:val="0"/>
                  <w:vAlign w:val="center"/>
                </w:tcPr>
                <w:p w14:paraId="0DD567A3">
                  <w:pPr>
                    <w:adjustRightInd w:val="0"/>
                    <w:snapToGrid w:val="0"/>
                    <w:jc w:val="center"/>
                    <w:rPr>
                      <w:rFonts w:hint="default" w:ascii="Times New Roman" w:hAnsi="Times New Roman" w:eastAsia="宋体" w:cs="Times New Roman"/>
                      <w:color w:val="auto"/>
                      <w:szCs w:val="18"/>
                      <w:lang w:val="en-US" w:eastAsia="zh-CN"/>
                    </w:rPr>
                  </w:pPr>
                  <w:r>
                    <w:rPr>
                      <w:rFonts w:hint="eastAsia" w:cs="Times New Roman"/>
                      <w:color w:val="auto"/>
                      <w:szCs w:val="18"/>
                      <w:lang w:val="en-US" w:eastAsia="zh-CN"/>
                    </w:rPr>
                    <w:t>0.04</w:t>
                  </w:r>
                </w:p>
              </w:tc>
              <w:tc>
                <w:tcPr>
                  <w:tcW w:w="931" w:type="dxa"/>
                  <w:noWrap w:val="0"/>
                  <w:vAlign w:val="center"/>
                </w:tcPr>
                <w:p w14:paraId="195C6995">
                  <w:pPr>
                    <w:adjustRightInd w:val="0"/>
                    <w:snapToGrid w:val="0"/>
                    <w:jc w:val="center"/>
                    <w:rPr>
                      <w:rFonts w:hint="eastAsia" w:ascii="Times New Roman" w:hAnsi="Times New Roman" w:eastAsia="宋体" w:cs="Times New Roman"/>
                      <w:color w:val="auto"/>
                      <w:szCs w:val="18"/>
                      <w:lang w:val="en-US" w:eastAsia="zh-CN"/>
                    </w:rPr>
                  </w:pPr>
                  <w:r>
                    <w:rPr>
                      <w:rFonts w:hint="eastAsia" w:cs="Times New Roman"/>
                      <w:color w:val="auto"/>
                      <w:szCs w:val="18"/>
                      <w:lang w:val="en-US" w:eastAsia="zh-CN"/>
                    </w:rPr>
                    <w:t>0.04</w:t>
                  </w:r>
                </w:p>
              </w:tc>
              <w:tc>
                <w:tcPr>
                  <w:tcW w:w="871" w:type="dxa"/>
                  <w:noWrap w:val="0"/>
                  <w:vAlign w:val="center"/>
                </w:tcPr>
                <w:p w14:paraId="1346D8EE">
                  <w:pPr>
                    <w:adjustRightInd w:val="0"/>
                    <w:snapToGrid w:val="0"/>
                    <w:jc w:val="center"/>
                    <w:rPr>
                      <w:rFonts w:hint="default" w:ascii="Times New Roman" w:hAnsi="Times New Roman" w:eastAsia="宋体" w:cs="Times New Roman"/>
                      <w:color w:val="auto"/>
                      <w:szCs w:val="18"/>
                      <w:lang w:val="en-US" w:eastAsia="zh-CN"/>
                    </w:rPr>
                  </w:pPr>
                  <w:r>
                    <w:rPr>
                      <w:rFonts w:hint="eastAsia" w:cs="Times New Roman"/>
                      <w:color w:val="auto"/>
                      <w:szCs w:val="18"/>
                      <w:lang w:val="en-US" w:eastAsia="zh-CN"/>
                    </w:rPr>
                    <w:t>0</w:t>
                  </w:r>
                </w:p>
              </w:tc>
              <w:tc>
                <w:tcPr>
                  <w:tcW w:w="1261" w:type="dxa"/>
                  <w:noWrap w:val="0"/>
                  <w:vAlign w:val="center"/>
                </w:tcPr>
                <w:p w14:paraId="27C8B6B8">
                  <w:pPr>
                    <w:adjustRightInd w:val="0"/>
                    <w:snapToGrid w:val="0"/>
                    <w:jc w:val="center"/>
                    <w:rPr>
                      <w:rFonts w:hint="default"/>
                      <w:color w:val="auto"/>
                      <w:szCs w:val="18"/>
                      <w:lang w:val="en-US" w:eastAsia="zh-CN"/>
                    </w:rPr>
                  </w:pPr>
                  <w:r>
                    <w:rPr>
                      <w:rFonts w:hint="eastAsia"/>
                      <w:color w:val="auto"/>
                      <w:szCs w:val="18"/>
                      <w:lang w:val="en-US" w:eastAsia="zh-CN"/>
                    </w:rPr>
                    <w:t>袋装</w:t>
                  </w:r>
                </w:p>
              </w:tc>
              <w:tc>
                <w:tcPr>
                  <w:tcW w:w="2262" w:type="dxa"/>
                  <w:vMerge w:val="continue"/>
                  <w:noWrap w:val="0"/>
                  <w:vAlign w:val="center"/>
                </w:tcPr>
                <w:p w14:paraId="3BF061D9">
                  <w:pPr>
                    <w:adjustRightInd w:val="0"/>
                    <w:snapToGrid w:val="0"/>
                    <w:jc w:val="center"/>
                    <w:rPr>
                      <w:color w:val="auto"/>
                      <w:szCs w:val="18"/>
                    </w:rPr>
                  </w:pPr>
                </w:p>
              </w:tc>
            </w:tr>
            <w:tr w14:paraId="610879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426" w:type="dxa"/>
                  <w:noWrap w:val="0"/>
                  <w:vAlign w:val="center"/>
                </w:tcPr>
                <w:p w14:paraId="4473E1BB">
                  <w:pPr>
                    <w:numPr>
                      <w:ilvl w:val="0"/>
                      <w:numId w:val="14"/>
                    </w:numPr>
                    <w:adjustRightInd w:val="0"/>
                    <w:snapToGrid w:val="0"/>
                    <w:ind w:left="0" w:leftChars="0" w:firstLine="0" w:firstLineChars="0"/>
                    <w:jc w:val="center"/>
                    <w:rPr>
                      <w:rFonts w:hint="default"/>
                      <w:color w:val="auto"/>
                      <w:szCs w:val="18"/>
                      <w:lang w:val="en-US" w:eastAsia="zh-CN"/>
                    </w:rPr>
                  </w:pPr>
                </w:p>
              </w:tc>
              <w:tc>
                <w:tcPr>
                  <w:tcW w:w="1349" w:type="dxa"/>
                  <w:noWrap w:val="0"/>
                  <w:vAlign w:val="center"/>
                </w:tcPr>
                <w:p w14:paraId="4983DCCC">
                  <w:pPr>
                    <w:pStyle w:val="30"/>
                    <w:bidi w:val="0"/>
                    <w:ind w:firstLine="0" w:firstLineChars="0"/>
                    <w:rPr>
                      <w:rFonts w:hint="eastAsia" w:ascii="Times New Roman" w:hAnsi="Times New Roman" w:eastAsia="宋体" w:cs="Times New Roman"/>
                      <w:b w:val="0"/>
                      <w:color w:val="auto"/>
                      <w:sz w:val="21"/>
                      <w:szCs w:val="18"/>
                      <w:lang w:val="en-US" w:eastAsia="zh-CN"/>
                    </w:rPr>
                  </w:pPr>
                  <w:r>
                    <w:rPr>
                      <w:rFonts w:hint="eastAsia"/>
                      <w:color w:val="auto"/>
                      <w:lang w:val="en-US" w:eastAsia="zh-CN"/>
                    </w:rPr>
                    <w:t>废硅酮胶包装桶</w:t>
                  </w:r>
                </w:p>
              </w:tc>
              <w:tc>
                <w:tcPr>
                  <w:tcW w:w="1443" w:type="dxa"/>
                  <w:noWrap w:val="0"/>
                  <w:vAlign w:val="center"/>
                </w:tcPr>
                <w:p w14:paraId="5B5960B3">
                  <w:pPr>
                    <w:pStyle w:val="30"/>
                    <w:bidi w:val="0"/>
                    <w:ind w:firstLine="0" w:firstLineChars="0"/>
                    <w:rPr>
                      <w:rFonts w:hint="eastAsia" w:eastAsia="宋体"/>
                      <w:color w:val="auto"/>
                      <w:szCs w:val="18"/>
                      <w:lang w:val="en-US" w:eastAsia="zh-CN"/>
                    </w:rPr>
                  </w:pPr>
                  <w:r>
                    <w:rPr>
                      <w:rFonts w:hint="eastAsia"/>
                      <w:color w:val="auto"/>
                      <w:lang w:val="en-US" w:eastAsia="zh-CN"/>
                    </w:rPr>
                    <w:t>硅酮胶外包装</w:t>
                  </w:r>
                </w:p>
              </w:tc>
              <w:tc>
                <w:tcPr>
                  <w:tcW w:w="660" w:type="dxa"/>
                  <w:vMerge w:val="continue"/>
                  <w:noWrap w:val="0"/>
                  <w:vAlign w:val="center"/>
                </w:tcPr>
                <w:p w14:paraId="3791F9C0">
                  <w:pPr>
                    <w:adjustRightInd w:val="0"/>
                    <w:snapToGrid w:val="0"/>
                    <w:jc w:val="center"/>
                    <w:rPr>
                      <w:rFonts w:hint="eastAsia"/>
                      <w:color w:val="auto"/>
                      <w:szCs w:val="18"/>
                    </w:rPr>
                  </w:pPr>
                </w:p>
              </w:tc>
              <w:tc>
                <w:tcPr>
                  <w:tcW w:w="510" w:type="dxa"/>
                  <w:noWrap w:val="0"/>
                  <w:vAlign w:val="center"/>
                </w:tcPr>
                <w:p w14:paraId="632E194B">
                  <w:pPr>
                    <w:adjustRightInd w:val="0"/>
                    <w:snapToGrid w:val="0"/>
                    <w:jc w:val="center"/>
                    <w:rPr>
                      <w:rFonts w:hint="eastAsia" w:eastAsia="宋体"/>
                      <w:color w:val="auto"/>
                      <w:szCs w:val="18"/>
                      <w:lang w:val="en-US" w:eastAsia="zh-CN"/>
                    </w:rPr>
                  </w:pPr>
                  <w:r>
                    <w:rPr>
                      <w:rFonts w:hint="eastAsia"/>
                      <w:color w:val="auto"/>
                      <w:szCs w:val="18"/>
                      <w:lang w:val="en-US" w:eastAsia="zh-CN"/>
                    </w:rPr>
                    <w:t>固</w:t>
                  </w:r>
                </w:p>
              </w:tc>
              <w:tc>
                <w:tcPr>
                  <w:tcW w:w="1086" w:type="dxa"/>
                  <w:noWrap w:val="0"/>
                  <w:vAlign w:val="center"/>
                </w:tcPr>
                <w:p w14:paraId="0020B394">
                  <w:pPr>
                    <w:adjustRightInd w:val="0"/>
                    <w:snapToGrid w:val="0"/>
                    <w:jc w:val="center"/>
                    <w:rPr>
                      <w:rFonts w:hint="default" w:eastAsia="宋体"/>
                      <w:color w:val="auto"/>
                      <w:szCs w:val="18"/>
                      <w:lang w:val="en-US" w:eastAsia="zh-CN"/>
                    </w:rPr>
                  </w:pPr>
                  <w:r>
                    <w:rPr>
                      <w:rFonts w:hint="eastAsia"/>
                      <w:color w:val="auto"/>
                      <w:szCs w:val="18"/>
                      <w:lang w:val="en-US" w:eastAsia="zh-CN"/>
                    </w:rPr>
                    <w:t>/</w:t>
                  </w:r>
                </w:p>
              </w:tc>
              <w:tc>
                <w:tcPr>
                  <w:tcW w:w="870" w:type="dxa"/>
                  <w:noWrap w:val="0"/>
                  <w:vAlign w:val="center"/>
                </w:tcPr>
                <w:p w14:paraId="4A909C84">
                  <w:pPr>
                    <w:pStyle w:val="30"/>
                    <w:bidi w:val="0"/>
                    <w:ind w:firstLine="0" w:firstLineChars="0"/>
                    <w:rPr>
                      <w:rFonts w:hint="default" w:ascii="Times New Roman" w:hAnsi="Times New Roman" w:eastAsia="宋体" w:cs="Times New Roman"/>
                      <w:color w:val="auto"/>
                      <w:spacing w:val="-11"/>
                      <w:szCs w:val="18"/>
                      <w:lang w:val="en-US" w:eastAsia="zh-CN"/>
                    </w:rPr>
                  </w:pPr>
                  <w:r>
                    <w:rPr>
                      <w:rFonts w:hint="default" w:ascii="Times New Roman" w:hAnsi="Times New Roman" w:cs="Times New Roman"/>
                      <w:color w:val="auto"/>
                      <w:spacing w:val="-11"/>
                      <w:szCs w:val="18"/>
                      <w:lang w:val="en-US" w:eastAsia="zh-CN"/>
                    </w:rPr>
                    <w:t>SW59</w:t>
                  </w:r>
                </w:p>
              </w:tc>
              <w:tc>
                <w:tcPr>
                  <w:tcW w:w="1343" w:type="dxa"/>
                  <w:noWrap w:val="0"/>
                  <w:vAlign w:val="center"/>
                </w:tcPr>
                <w:p w14:paraId="0C4415A5">
                  <w:pPr>
                    <w:pStyle w:val="30"/>
                    <w:bidi w:val="0"/>
                    <w:ind w:firstLine="0" w:firstLineChars="0"/>
                    <w:rPr>
                      <w:rFonts w:hint="default" w:ascii="Times New Roman" w:hAnsi="Times New Roman" w:eastAsia="宋体" w:cs="Times New Roman"/>
                      <w:color w:val="auto"/>
                      <w:spacing w:val="-11"/>
                      <w:szCs w:val="18"/>
                      <w:lang w:val="en-US" w:eastAsia="zh-CN"/>
                    </w:rPr>
                  </w:pPr>
                  <w:r>
                    <w:rPr>
                      <w:rFonts w:hint="default" w:ascii="Times New Roman" w:hAnsi="Times New Roman" w:cs="Times New Roman"/>
                      <w:color w:val="auto"/>
                      <w:spacing w:val="-11"/>
                      <w:szCs w:val="18"/>
                      <w:lang w:val="en-US" w:eastAsia="zh-CN"/>
                    </w:rPr>
                    <w:t>900-099-S59</w:t>
                  </w:r>
                </w:p>
              </w:tc>
              <w:tc>
                <w:tcPr>
                  <w:tcW w:w="735" w:type="dxa"/>
                  <w:noWrap w:val="0"/>
                  <w:vAlign w:val="center"/>
                </w:tcPr>
                <w:p w14:paraId="2A1A3269">
                  <w:pPr>
                    <w:pStyle w:val="30"/>
                    <w:bidi w:val="0"/>
                    <w:ind w:firstLine="0" w:firstLineChars="0"/>
                    <w:rPr>
                      <w:rFonts w:hint="default" w:ascii="Times New Roman" w:hAnsi="Times New Roman" w:eastAsia="宋体" w:cs="Times New Roman"/>
                      <w:color w:val="auto"/>
                      <w:szCs w:val="18"/>
                      <w:lang w:val="en-US" w:eastAsia="zh-CN"/>
                    </w:rPr>
                  </w:pPr>
                  <w:r>
                    <w:rPr>
                      <w:rFonts w:hint="default" w:ascii="Times New Roman" w:hAnsi="Times New Roman" w:cs="Times New Roman"/>
                      <w:color w:val="auto"/>
                      <w:szCs w:val="18"/>
                      <w:lang w:val="en-US" w:eastAsia="zh-CN"/>
                    </w:rPr>
                    <w:t>/</w:t>
                  </w:r>
                </w:p>
              </w:tc>
              <w:tc>
                <w:tcPr>
                  <w:tcW w:w="886" w:type="dxa"/>
                  <w:noWrap w:val="0"/>
                  <w:vAlign w:val="center"/>
                </w:tcPr>
                <w:p w14:paraId="0D67CC86">
                  <w:pPr>
                    <w:adjustRightInd w:val="0"/>
                    <w:snapToGrid w:val="0"/>
                    <w:jc w:val="center"/>
                    <w:rPr>
                      <w:rFonts w:hint="default" w:cs="Times New Roman"/>
                      <w:color w:val="auto"/>
                      <w:szCs w:val="18"/>
                      <w:lang w:val="en-US" w:eastAsia="zh-CN"/>
                    </w:rPr>
                  </w:pPr>
                  <w:r>
                    <w:rPr>
                      <w:rFonts w:hint="eastAsia" w:cs="Times New Roman"/>
                      <w:color w:val="auto"/>
                      <w:szCs w:val="18"/>
                      <w:lang w:val="en-US" w:eastAsia="zh-CN"/>
                    </w:rPr>
                    <w:t>0.2</w:t>
                  </w:r>
                </w:p>
              </w:tc>
              <w:tc>
                <w:tcPr>
                  <w:tcW w:w="931" w:type="dxa"/>
                  <w:noWrap w:val="0"/>
                  <w:vAlign w:val="center"/>
                </w:tcPr>
                <w:p w14:paraId="6D92BFFF">
                  <w:pPr>
                    <w:adjustRightInd w:val="0"/>
                    <w:snapToGrid w:val="0"/>
                    <w:jc w:val="center"/>
                    <w:rPr>
                      <w:rFonts w:hint="default" w:ascii="Times New Roman" w:hAnsi="Times New Roman" w:eastAsia="宋体" w:cs="Times New Roman"/>
                      <w:color w:val="auto"/>
                      <w:szCs w:val="18"/>
                      <w:lang w:val="en-US" w:eastAsia="zh-CN"/>
                    </w:rPr>
                  </w:pPr>
                  <w:r>
                    <w:rPr>
                      <w:rFonts w:hint="eastAsia" w:cs="Times New Roman"/>
                      <w:color w:val="auto"/>
                      <w:szCs w:val="18"/>
                      <w:lang w:val="en-US" w:eastAsia="zh-CN"/>
                    </w:rPr>
                    <w:t>0.2</w:t>
                  </w:r>
                </w:p>
              </w:tc>
              <w:tc>
                <w:tcPr>
                  <w:tcW w:w="871" w:type="dxa"/>
                  <w:noWrap w:val="0"/>
                  <w:vAlign w:val="center"/>
                </w:tcPr>
                <w:p w14:paraId="13CB3584">
                  <w:pPr>
                    <w:adjustRightInd w:val="0"/>
                    <w:snapToGrid w:val="0"/>
                    <w:jc w:val="center"/>
                    <w:rPr>
                      <w:rFonts w:hint="default" w:cs="Times New Roman"/>
                      <w:color w:val="auto"/>
                      <w:szCs w:val="18"/>
                      <w:lang w:val="en-US" w:eastAsia="zh-CN"/>
                    </w:rPr>
                  </w:pPr>
                  <w:r>
                    <w:rPr>
                      <w:rFonts w:hint="eastAsia" w:cs="Times New Roman"/>
                      <w:color w:val="auto"/>
                      <w:szCs w:val="18"/>
                      <w:lang w:val="en-US" w:eastAsia="zh-CN"/>
                    </w:rPr>
                    <w:t>0</w:t>
                  </w:r>
                </w:p>
              </w:tc>
              <w:tc>
                <w:tcPr>
                  <w:tcW w:w="1261" w:type="dxa"/>
                  <w:noWrap w:val="0"/>
                  <w:vAlign w:val="center"/>
                </w:tcPr>
                <w:p w14:paraId="4E2D8F08">
                  <w:pPr>
                    <w:adjustRightInd w:val="0"/>
                    <w:snapToGrid w:val="0"/>
                    <w:jc w:val="center"/>
                    <w:rPr>
                      <w:rFonts w:hint="eastAsia" w:eastAsia="宋体"/>
                      <w:color w:val="auto"/>
                      <w:szCs w:val="18"/>
                      <w:lang w:val="en-US" w:eastAsia="zh-CN"/>
                    </w:rPr>
                  </w:pPr>
                  <w:r>
                    <w:rPr>
                      <w:rFonts w:hint="eastAsia"/>
                      <w:color w:val="auto"/>
                      <w:szCs w:val="18"/>
                      <w:lang w:val="en-US" w:eastAsia="zh-CN"/>
                    </w:rPr>
                    <w:t>无包装</w:t>
                  </w:r>
                </w:p>
              </w:tc>
              <w:tc>
                <w:tcPr>
                  <w:tcW w:w="2262" w:type="dxa"/>
                  <w:noWrap w:val="0"/>
                  <w:vAlign w:val="center"/>
                </w:tcPr>
                <w:p w14:paraId="1F1C99EE">
                  <w:pPr>
                    <w:adjustRightInd w:val="0"/>
                    <w:snapToGrid w:val="0"/>
                    <w:jc w:val="center"/>
                    <w:rPr>
                      <w:rFonts w:hint="default" w:eastAsia="宋体"/>
                      <w:color w:val="auto"/>
                      <w:szCs w:val="18"/>
                      <w:lang w:val="en-US" w:eastAsia="zh-CN"/>
                    </w:rPr>
                  </w:pPr>
                  <w:r>
                    <w:rPr>
                      <w:rFonts w:hint="eastAsia"/>
                      <w:color w:val="auto"/>
                      <w:szCs w:val="18"/>
                      <w:lang w:val="en-US" w:eastAsia="zh-CN"/>
                    </w:rPr>
                    <w:t>原料供应商回收</w:t>
                  </w:r>
                </w:p>
              </w:tc>
            </w:tr>
            <w:tr w14:paraId="1C6792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426" w:type="dxa"/>
                  <w:noWrap w:val="0"/>
                  <w:vAlign w:val="center"/>
                </w:tcPr>
                <w:p w14:paraId="7F968613">
                  <w:pPr>
                    <w:numPr>
                      <w:ilvl w:val="0"/>
                      <w:numId w:val="14"/>
                    </w:numPr>
                    <w:adjustRightInd w:val="0"/>
                    <w:snapToGrid w:val="0"/>
                    <w:ind w:left="0" w:leftChars="0" w:firstLine="0" w:firstLineChars="0"/>
                    <w:jc w:val="center"/>
                    <w:rPr>
                      <w:rFonts w:hint="default"/>
                      <w:color w:val="auto"/>
                      <w:szCs w:val="18"/>
                      <w:lang w:val="en-US" w:eastAsia="zh-CN"/>
                    </w:rPr>
                  </w:pPr>
                </w:p>
              </w:tc>
              <w:tc>
                <w:tcPr>
                  <w:tcW w:w="1349" w:type="dxa"/>
                  <w:noWrap w:val="0"/>
                  <w:vAlign w:val="center"/>
                </w:tcPr>
                <w:p w14:paraId="4323F8E1">
                  <w:pPr>
                    <w:pStyle w:val="30"/>
                    <w:bidi w:val="0"/>
                    <w:ind w:firstLine="0" w:firstLineChars="0"/>
                    <w:rPr>
                      <w:rFonts w:hint="eastAsia" w:ascii="Times New Roman" w:hAnsi="Times New Roman" w:eastAsia="宋体" w:cs="Times New Roman"/>
                      <w:b w:val="0"/>
                      <w:color w:val="auto"/>
                      <w:sz w:val="21"/>
                      <w:szCs w:val="18"/>
                      <w:lang w:val="en-US" w:eastAsia="zh-CN"/>
                    </w:rPr>
                  </w:pPr>
                  <w:r>
                    <w:rPr>
                      <w:rFonts w:hint="eastAsia"/>
                      <w:color w:val="auto"/>
                      <w:lang w:val="en-US" w:eastAsia="zh-CN"/>
                    </w:rPr>
                    <w:t>废硅酮胶包装袋</w:t>
                  </w:r>
                </w:p>
              </w:tc>
              <w:tc>
                <w:tcPr>
                  <w:tcW w:w="1443" w:type="dxa"/>
                  <w:noWrap w:val="0"/>
                  <w:vAlign w:val="center"/>
                </w:tcPr>
                <w:p w14:paraId="003C8AC0">
                  <w:pPr>
                    <w:pStyle w:val="30"/>
                    <w:bidi w:val="0"/>
                    <w:ind w:firstLine="0" w:firstLineChars="0"/>
                    <w:rPr>
                      <w:rFonts w:hint="eastAsia" w:eastAsia="宋体"/>
                      <w:color w:val="auto"/>
                      <w:szCs w:val="18"/>
                      <w:lang w:val="en-US" w:eastAsia="zh-CN"/>
                    </w:rPr>
                  </w:pPr>
                  <w:r>
                    <w:rPr>
                      <w:rFonts w:hint="eastAsia"/>
                      <w:color w:val="auto"/>
                      <w:lang w:val="en-US" w:eastAsia="zh-CN"/>
                    </w:rPr>
                    <w:t>硅酮胶内包装</w:t>
                  </w:r>
                </w:p>
              </w:tc>
              <w:tc>
                <w:tcPr>
                  <w:tcW w:w="660" w:type="dxa"/>
                  <w:vMerge w:val="restart"/>
                  <w:noWrap w:val="0"/>
                  <w:vAlign w:val="center"/>
                </w:tcPr>
                <w:p w14:paraId="3FB51F42">
                  <w:pPr>
                    <w:adjustRightInd w:val="0"/>
                    <w:snapToGrid w:val="0"/>
                    <w:jc w:val="center"/>
                    <w:rPr>
                      <w:color w:val="auto"/>
                      <w:szCs w:val="18"/>
                    </w:rPr>
                  </w:pPr>
                  <w:r>
                    <w:rPr>
                      <w:rFonts w:hint="eastAsia"/>
                      <w:color w:val="auto"/>
                      <w:szCs w:val="18"/>
                    </w:rPr>
                    <w:t>危险</w:t>
                  </w:r>
                </w:p>
                <w:p w14:paraId="4B527CB8">
                  <w:pPr>
                    <w:adjustRightInd w:val="0"/>
                    <w:snapToGrid w:val="0"/>
                    <w:jc w:val="center"/>
                    <w:rPr>
                      <w:rFonts w:hint="eastAsia"/>
                      <w:color w:val="auto"/>
                      <w:szCs w:val="18"/>
                    </w:rPr>
                  </w:pPr>
                  <w:r>
                    <w:rPr>
                      <w:rFonts w:hint="eastAsia"/>
                      <w:color w:val="auto"/>
                      <w:szCs w:val="18"/>
                    </w:rPr>
                    <w:t>废物</w:t>
                  </w:r>
                </w:p>
              </w:tc>
              <w:tc>
                <w:tcPr>
                  <w:tcW w:w="510" w:type="dxa"/>
                  <w:noWrap w:val="0"/>
                  <w:vAlign w:val="center"/>
                </w:tcPr>
                <w:p w14:paraId="6B8C291F">
                  <w:pPr>
                    <w:adjustRightInd w:val="0"/>
                    <w:snapToGrid w:val="0"/>
                    <w:jc w:val="center"/>
                    <w:rPr>
                      <w:rFonts w:hint="eastAsia" w:eastAsia="宋体"/>
                      <w:color w:val="auto"/>
                      <w:szCs w:val="18"/>
                      <w:lang w:val="en-US" w:eastAsia="zh-CN"/>
                    </w:rPr>
                  </w:pPr>
                  <w:r>
                    <w:rPr>
                      <w:rFonts w:hint="eastAsia"/>
                      <w:color w:val="auto"/>
                      <w:szCs w:val="18"/>
                      <w:lang w:val="en-US" w:eastAsia="zh-CN"/>
                    </w:rPr>
                    <w:t>固</w:t>
                  </w:r>
                </w:p>
              </w:tc>
              <w:tc>
                <w:tcPr>
                  <w:tcW w:w="1086" w:type="dxa"/>
                  <w:noWrap w:val="0"/>
                  <w:vAlign w:val="center"/>
                </w:tcPr>
                <w:p w14:paraId="22C4B234">
                  <w:pPr>
                    <w:pStyle w:val="30"/>
                    <w:bidi w:val="0"/>
                    <w:ind w:firstLine="0" w:firstLineChars="0"/>
                    <w:rPr>
                      <w:rFonts w:hint="default" w:ascii="Times New Roman" w:hAnsi="Times New Roman" w:cs="Times New Roman"/>
                      <w:color w:val="auto"/>
                      <w:szCs w:val="18"/>
                    </w:rPr>
                  </w:pPr>
                  <w:r>
                    <w:rPr>
                      <w:rFonts w:hint="default" w:ascii="Times New Roman" w:hAnsi="Times New Roman" w:cs="Times New Roman"/>
                      <w:color w:val="auto"/>
                      <w:lang w:val="en-US" w:eastAsia="zh-CN"/>
                    </w:rPr>
                    <w:t>硅酮胶</w:t>
                  </w:r>
                </w:p>
              </w:tc>
              <w:tc>
                <w:tcPr>
                  <w:tcW w:w="870" w:type="dxa"/>
                  <w:noWrap w:val="0"/>
                  <w:vAlign w:val="center"/>
                </w:tcPr>
                <w:p w14:paraId="5325CF25">
                  <w:pPr>
                    <w:pStyle w:val="30"/>
                    <w:bidi w:val="0"/>
                    <w:ind w:firstLine="0" w:firstLineChars="0"/>
                    <w:rPr>
                      <w:rFonts w:hint="default" w:ascii="Times New Roman" w:hAnsi="Times New Roman" w:cs="Times New Roman"/>
                      <w:color w:val="auto"/>
                      <w:spacing w:val="-11"/>
                      <w:szCs w:val="18"/>
                    </w:rPr>
                  </w:pPr>
                  <w:r>
                    <w:rPr>
                      <w:rFonts w:hint="default" w:ascii="Times New Roman" w:hAnsi="Times New Roman" w:cs="Times New Roman"/>
                      <w:color w:val="auto"/>
                    </w:rPr>
                    <w:t>HW49</w:t>
                  </w:r>
                </w:p>
              </w:tc>
              <w:tc>
                <w:tcPr>
                  <w:tcW w:w="1343" w:type="dxa"/>
                  <w:noWrap w:val="0"/>
                  <w:vAlign w:val="center"/>
                </w:tcPr>
                <w:p w14:paraId="45F3B710">
                  <w:pPr>
                    <w:pStyle w:val="30"/>
                    <w:bidi w:val="0"/>
                    <w:ind w:firstLine="0" w:firstLineChars="0"/>
                    <w:rPr>
                      <w:rFonts w:hint="default" w:ascii="Times New Roman" w:hAnsi="Times New Roman" w:cs="Times New Roman"/>
                      <w:color w:val="auto"/>
                      <w:spacing w:val="-11"/>
                      <w:szCs w:val="18"/>
                    </w:rPr>
                  </w:pPr>
                  <w:r>
                    <w:rPr>
                      <w:rFonts w:hint="default" w:ascii="Times New Roman" w:hAnsi="Times New Roman" w:cs="Times New Roman"/>
                      <w:color w:val="auto"/>
                    </w:rPr>
                    <w:t>900-041-49</w:t>
                  </w:r>
                </w:p>
              </w:tc>
              <w:tc>
                <w:tcPr>
                  <w:tcW w:w="735" w:type="dxa"/>
                  <w:noWrap w:val="0"/>
                  <w:vAlign w:val="center"/>
                </w:tcPr>
                <w:p w14:paraId="6AD9B992">
                  <w:pPr>
                    <w:pStyle w:val="30"/>
                    <w:bidi w:val="0"/>
                    <w:ind w:firstLine="0" w:firstLineChars="0"/>
                    <w:rPr>
                      <w:rFonts w:hint="default" w:ascii="Times New Roman" w:hAnsi="Times New Roman" w:cs="Times New Roman"/>
                      <w:color w:val="auto"/>
                      <w:szCs w:val="18"/>
                    </w:rPr>
                  </w:pPr>
                  <w:r>
                    <w:rPr>
                      <w:rFonts w:hint="default" w:ascii="Times New Roman" w:hAnsi="Times New Roman" w:cs="Times New Roman"/>
                      <w:color w:val="auto"/>
                      <w:lang w:val="en-US" w:eastAsia="zh-CN"/>
                    </w:rPr>
                    <w:t>T/In</w:t>
                  </w:r>
                </w:p>
              </w:tc>
              <w:tc>
                <w:tcPr>
                  <w:tcW w:w="886" w:type="dxa"/>
                  <w:noWrap w:val="0"/>
                  <w:vAlign w:val="center"/>
                </w:tcPr>
                <w:p w14:paraId="6C7B8946">
                  <w:pPr>
                    <w:adjustRightInd w:val="0"/>
                    <w:snapToGrid w:val="0"/>
                    <w:jc w:val="center"/>
                    <w:rPr>
                      <w:rFonts w:hint="default" w:cs="Times New Roman"/>
                      <w:color w:val="auto"/>
                      <w:szCs w:val="18"/>
                      <w:lang w:val="en-US" w:eastAsia="zh-CN"/>
                    </w:rPr>
                  </w:pPr>
                  <w:r>
                    <w:rPr>
                      <w:rFonts w:hint="eastAsia" w:cs="Times New Roman"/>
                      <w:color w:val="auto"/>
                      <w:szCs w:val="18"/>
                      <w:lang w:val="en-US" w:eastAsia="zh-CN"/>
                    </w:rPr>
                    <w:t>0.1</w:t>
                  </w:r>
                </w:p>
              </w:tc>
              <w:tc>
                <w:tcPr>
                  <w:tcW w:w="931" w:type="dxa"/>
                  <w:noWrap w:val="0"/>
                  <w:vAlign w:val="center"/>
                </w:tcPr>
                <w:p w14:paraId="304A492E">
                  <w:pPr>
                    <w:adjustRightInd w:val="0"/>
                    <w:snapToGrid w:val="0"/>
                    <w:jc w:val="center"/>
                    <w:rPr>
                      <w:rFonts w:hint="default" w:ascii="Times New Roman" w:hAnsi="Times New Roman" w:eastAsia="宋体" w:cs="Times New Roman"/>
                      <w:color w:val="auto"/>
                      <w:szCs w:val="18"/>
                      <w:lang w:val="en-US" w:eastAsia="zh-CN"/>
                    </w:rPr>
                  </w:pPr>
                  <w:r>
                    <w:rPr>
                      <w:rFonts w:hint="eastAsia" w:cs="Times New Roman"/>
                      <w:color w:val="auto"/>
                      <w:szCs w:val="18"/>
                      <w:lang w:val="en-US" w:eastAsia="zh-CN"/>
                    </w:rPr>
                    <w:t>0</w:t>
                  </w:r>
                </w:p>
              </w:tc>
              <w:tc>
                <w:tcPr>
                  <w:tcW w:w="871" w:type="dxa"/>
                  <w:noWrap w:val="0"/>
                  <w:vAlign w:val="center"/>
                </w:tcPr>
                <w:p w14:paraId="25F4AC56">
                  <w:pPr>
                    <w:adjustRightInd w:val="0"/>
                    <w:snapToGrid w:val="0"/>
                    <w:jc w:val="center"/>
                    <w:rPr>
                      <w:rFonts w:hint="eastAsia" w:cs="Times New Roman"/>
                      <w:color w:val="auto"/>
                      <w:szCs w:val="18"/>
                      <w:lang w:val="en-US" w:eastAsia="zh-CN"/>
                    </w:rPr>
                  </w:pPr>
                  <w:r>
                    <w:rPr>
                      <w:rFonts w:hint="eastAsia" w:cs="Times New Roman"/>
                      <w:color w:val="auto"/>
                      <w:szCs w:val="18"/>
                      <w:lang w:val="en-US" w:eastAsia="zh-CN"/>
                    </w:rPr>
                    <w:t>0.1</w:t>
                  </w:r>
                </w:p>
              </w:tc>
              <w:tc>
                <w:tcPr>
                  <w:tcW w:w="1261" w:type="dxa"/>
                  <w:noWrap w:val="0"/>
                  <w:vAlign w:val="center"/>
                </w:tcPr>
                <w:p w14:paraId="496D8D0F">
                  <w:pPr>
                    <w:adjustRightInd w:val="0"/>
                    <w:snapToGrid w:val="0"/>
                    <w:jc w:val="center"/>
                    <w:rPr>
                      <w:rFonts w:hint="eastAsia" w:eastAsia="宋体"/>
                      <w:color w:val="auto"/>
                      <w:szCs w:val="18"/>
                      <w:lang w:val="en-US" w:eastAsia="zh-CN"/>
                    </w:rPr>
                  </w:pPr>
                  <w:r>
                    <w:rPr>
                      <w:rFonts w:hint="eastAsia"/>
                      <w:color w:val="auto"/>
                      <w:szCs w:val="18"/>
                      <w:lang w:val="en-US" w:eastAsia="zh-CN"/>
                    </w:rPr>
                    <w:t>桶装</w:t>
                  </w:r>
                </w:p>
              </w:tc>
              <w:tc>
                <w:tcPr>
                  <w:tcW w:w="2262" w:type="dxa"/>
                  <w:vMerge w:val="restart"/>
                  <w:noWrap w:val="0"/>
                  <w:vAlign w:val="center"/>
                </w:tcPr>
                <w:p w14:paraId="6BB1DB2A">
                  <w:pPr>
                    <w:adjustRightInd w:val="0"/>
                    <w:snapToGrid w:val="0"/>
                    <w:jc w:val="center"/>
                    <w:rPr>
                      <w:rFonts w:hint="eastAsia"/>
                      <w:color w:val="auto"/>
                      <w:szCs w:val="18"/>
                    </w:rPr>
                  </w:pPr>
                  <w:r>
                    <w:rPr>
                      <w:rFonts w:hint="eastAsia"/>
                      <w:color w:val="auto"/>
                      <w:szCs w:val="18"/>
                    </w:rPr>
                    <w:t>委托有危废处置资质单位处置</w:t>
                  </w:r>
                </w:p>
              </w:tc>
            </w:tr>
            <w:tr w14:paraId="67D0C7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6" w:type="dxa"/>
                  <w:noWrap w:val="0"/>
                  <w:vAlign w:val="center"/>
                </w:tcPr>
                <w:p w14:paraId="73299544">
                  <w:pPr>
                    <w:numPr>
                      <w:ilvl w:val="0"/>
                      <w:numId w:val="14"/>
                    </w:numPr>
                    <w:adjustRightInd w:val="0"/>
                    <w:snapToGrid w:val="0"/>
                    <w:ind w:left="0" w:leftChars="0" w:firstLine="0" w:firstLineChars="0"/>
                    <w:jc w:val="center"/>
                    <w:rPr>
                      <w:rFonts w:hint="default"/>
                      <w:color w:val="auto"/>
                      <w:szCs w:val="18"/>
                      <w:lang w:val="en-US" w:eastAsia="zh-CN"/>
                    </w:rPr>
                  </w:pPr>
                </w:p>
              </w:tc>
              <w:tc>
                <w:tcPr>
                  <w:tcW w:w="1349" w:type="dxa"/>
                  <w:shd w:val="clear" w:color="auto" w:fill="auto"/>
                  <w:noWrap w:val="0"/>
                  <w:vAlign w:val="center"/>
                </w:tcPr>
                <w:p w14:paraId="33EF425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b w:val="0"/>
                      <w:color w:val="auto"/>
                      <w:kern w:val="0"/>
                      <w:sz w:val="21"/>
                      <w:szCs w:val="18"/>
                      <w:lang w:val="en-US" w:eastAsia="zh-CN" w:bidi="ar-SA"/>
                    </w:rPr>
                  </w:pPr>
                  <w:r>
                    <w:rPr>
                      <w:rFonts w:hint="eastAsia"/>
                      <w:color w:val="auto"/>
                      <w:sz w:val="21"/>
                    </w:rPr>
                    <w:t>废活性炭</w:t>
                  </w:r>
                </w:p>
              </w:tc>
              <w:tc>
                <w:tcPr>
                  <w:tcW w:w="1443" w:type="dxa"/>
                  <w:shd w:val="clear" w:color="auto" w:fill="auto"/>
                  <w:noWrap w:val="0"/>
                  <w:vAlign w:val="center"/>
                </w:tcPr>
                <w:p w14:paraId="4F806569">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color w:val="auto"/>
                      <w:kern w:val="0"/>
                      <w:sz w:val="24"/>
                      <w:szCs w:val="18"/>
                      <w:lang w:val="en-US" w:eastAsia="zh-CN" w:bidi="ar-SA"/>
                    </w:rPr>
                  </w:pPr>
                  <w:r>
                    <w:rPr>
                      <w:rFonts w:hint="eastAsia"/>
                      <w:color w:val="auto"/>
                      <w:sz w:val="21"/>
                      <w:lang w:val="en-US" w:eastAsia="zh-CN"/>
                    </w:rPr>
                    <w:t>有机废气治理</w:t>
                  </w:r>
                </w:p>
              </w:tc>
              <w:tc>
                <w:tcPr>
                  <w:tcW w:w="660" w:type="dxa"/>
                  <w:vMerge w:val="continue"/>
                  <w:noWrap w:val="0"/>
                  <w:vAlign w:val="center"/>
                </w:tcPr>
                <w:p w14:paraId="2EBA018F">
                  <w:pPr>
                    <w:adjustRightInd w:val="0"/>
                    <w:snapToGrid w:val="0"/>
                    <w:jc w:val="center"/>
                    <w:rPr>
                      <w:rFonts w:hint="eastAsia"/>
                      <w:color w:val="auto"/>
                      <w:szCs w:val="18"/>
                    </w:rPr>
                  </w:pPr>
                </w:p>
              </w:tc>
              <w:tc>
                <w:tcPr>
                  <w:tcW w:w="510" w:type="dxa"/>
                  <w:noWrap w:val="0"/>
                  <w:vAlign w:val="center"/>
                </w:tcPr>
                <w:p w14:paraId="14440103">
                  <w:pPr>
                    <w:adjustRightInd w:val="0"/>
                    <w:snapToGrid w:val="0"/>
                    <w:jc w:val="center"/>
                    <w:rPr>
                      <w:rFonts w:hint="eastAsia"/>
                      <w:color w:val="auto"/>
                      <w:szCs w:val="18"/>
                      <w:lang w:val="en-US" w:eastAsia="zh-CN"/>
                    </w:rPr>
                  </w:pPr>
                  <w:r>
                    <w:rPr>
                      <w:rFonts w:hint="eastAsia"/>
                      <w:color w:val="auto"/>
                      <w:szCs w:val="18"/>
                      <w:lang w:val="en-US" w:eastAsia="zh-CN"/>
                    </w:rPr>
                    <w:t>固</w:t>
                  </w:r>
                </w:p>
              </w:tc>
              <w:tc>
                <w:tcPr>
                  <w:tcW w:w="1086" w:type="dxa"/>
                  <w:noWrap w:val="0"/>
                  <w:vAlign w:val="center"/>
                </w:tcPr>
                <w:p w14:paraId="2B89182F">
                  <w:pPr>
                    <w:adjustRightInd w:val="0"/>
                    <w:snapToGrid w:val="0"/>
                    <w:jc w:val="center"/>
                    <w:rPr>
                      <w:rFonts w:hint="eastAsia"/>
                      <w:color w:val="auto"/>
                      <w:szCs w:val="18"/>
                      <w:lang w:val="en-US" w:eastAsia="zh-CN"/>
                    </w:rPr>
                  </w:pPr>
                  <w:r>
                    <w:rPr>
                      <w:rFonts w:hint="eastAsia"/>
                      <w:color w:val="auto"/>
                      <w:szCs w:val="18"/>
                    </w:rPr>
                    <w:t>有机废气</w:t>
                  </w:r>
                </w:p>
              </w:tc>
              <w:tc>
                <w:tcPr>
                  <w:tcW w:w="870" w:type="dxa"/>
                  <w:noWrap w:val="0"/>
                  <w:vAlign w:val="center"/>
                </w:tcPr>
                <w:p w14:paraId="70C6487B">
                  <w:pPr>
                    <w:adjustRightInd w:val="0"/>
                    <w:snapToGrid w:val="0"/>
                    <w:jc w:val="center"/>
                    <w:rPr>
                      <w:rFonts w:hint="eastAsia"/>
                      <w:color w:val="auto"/>
                      <w:spacing w:val="-11"/>
                      <w:szCs w:val="18"/>
                      <w:lang w:val="en-US" w:eastAsia="zh-CN"/>
                    </w:rPr>
                  </w:pPr>
                  <w:r>
                    <w:rPr>
                      <w:rFonts w:hint="eastAsia"/>
                      <w:color w:val="auto"/>
                      <w:spacing w:val="-11"/>
                      <w:szCs w:val="18"/>
                    </w:rPr>
                    <w:t>HW49</w:t>
                  </w:r>
                </w:p>
              </w:tc>
              <w:tc>
                <w:tcPr>
                  <w:tcW w:w="1343" w:type="dxa"/>
                  <w:noWrap w:val="0"/>
                  <w:vAlign w:val="center"/>
                </w:tcPr>
                <w:p w14:paraId="5F1E8F0C">
                  <w:pPr>
                    <w:adjustRightInd w:val="0"/>
                    <w:snapToGrid w:val="0"/>
                    <w:jc w:val="center"/>
                    <w:rPr>
                      <w:rFonts w:hint="eastAsia" w:ascii="Times New Roman" w:hAnsi="Times New Roman" w:eastAsia="宋体" w:cs="宋体"/>
                      <w:color w:val="auto"/>
                      <w:szCs w:val="18"/>
                    </w:rPr>
                  </w:pPr>
                  <w:r>
                    <w:rPr>
                      <w:rFonts w:hint="eastAsia"/>
                      <w:color w:val="auto"/>
                      <w:spacing w:val="-11"/>
                      <w:szCs w:val="18"/>
                    </w:rPr>
                    <w:t>900-039-49</w:t>
                  </w:r>
                </w:p>
              </w:tc>
              <w:tc>
                <w:tcPr>
                  <w:tcW w:w="735" w:type="dxa"/>
                  <w:noWrap w:val="0"/>
                  <w:vAlign w:val="center"/>
                </w:tcPr>
                <w:p w14:paraId="2E1727FD">
                  <w:pPr>
                    <w:adjustRightInd w:val="0"/>
                    <w:snapToGrid w:val="0"/>
                    <w:jc w:val="center"/>
                    <w:rPr>
                      <w:rFonts w:hint="eastAsia"/>
                      <w:color w:val="auto"/>
                      <w:szCs w:val="18"/>
                      <w:lang w:val="en-US" w:eastAsia="zh-CN"/>
                    </w:rPr>
                  </w:pPr>
                  <w:r>
                    <w:rPr>
                      <w:rFonts w:hint="eastAsia"/>
                      <w:color w:val="auto"/>
                      <w:szCs w:val="18"/>
                    </w:rPr>
                    <w:t>T</w:t>
                  </w:r>
                </w:p>
              </w:tc>
              <w:tc>
                <w:tcPr>
                  <w:tcW w:w="886" w:type="dxa"/>
                  <w:noWrap w:val="0"/>
                  <w:vAlign w:val="center"/>
                </w:tcPr>
                <w:p w14:paraId="27ADD649">
                  <w:pPr>
                    <w:adjustRightInd w:val="0"/>
                    <w:snapToGrid w:val="0"/>
                    <w:jc w:val="center"/>
                    <w:rPr>
                      <w:rFonts w:hint="default"/>
                      <w:color w:val="auto"/>
                      <w:szCs w:val="18"/>
                      <w:lang w:val="en-US" w:eastAsia="zh-CN"/>
                    </w:rPr>
                  </w:pPr>
                  <w:r>
                    <w:rPr>
                      <w:rFonts w:hint="eastAsia"/>
                      <w:color w:val="auto"/>
                      <w:szCs w:val="18"/>
                      <w:lang w:val="en-US" w:eastAsia="zh-CN"/>
                    </w:rPr>
                    <w:t>2.86</w:t>
                  </w:r>
                </w:p>
              </w:tc>
              <w:tc>
                <w:tcPr>
                  <w:tcW w:w="931" w:type="dxa"/>
                  <w:noWrap w:val="0"/>
                  <w:vAlign w:val="center"/>
                </w:tcPr>
                <w:p w14:paraId="6F0CCFDE">
                  <w:pPr>
                    <w:adjustRightInd w:val="0"/>
                    <w:snapToGrid w:val="0"/>
                    <w:jc w:val="center"/>
                    <w:rPr>
                      <w:rFonts w:hint="eastAsia"/>
                      <w:color w:val="auto"/>
                      <w:szCs w:val="18"/>
                      <w:lang w:val="en-US" w:eastAsia="zh-CN"/>
                    </w:rPr>
                  </w:pPr>
                  <w:r>
                    <w:rPr>
                      <w:rFonts w:hint="eastAsia" w:ascii="Times New Roman" w:hAnsi="Times New Roman" w:eastAsia="宋体" w:cs="Times New Roman"/>
                      <w:color w:val="auto"/>
                      <w:szCs w:val="18"/>
                      <w:lang w:val="en-US" w:eastAsia="zh-CN"/>
                    </w:rPr>
                    <w:t>0</w:t>
                  </w:r>
                </w:p>
              </w:tc>
              <w:tc>
                <w:tcPr>
                  <w:tcW w:w="871" w:type="dxa"/>
                  <w:noWrap w:val="0"/>
                  <w:vAlign w:val="center"/>
                </w:tcPr>
                <w:p w14:paraId="15F02726">
                  <w:pPr>
                    <w:adjustRightInd w:val="0"/>
                    <w:snapToGrid w:val="0"/>
                    <w:jc w:val="center"/>
                    <w:rPr>
                      <w:rFonts w:hint="eastAsia"/>
                      <w:color w:val="auto"/>
                      <w:szCs w:val="18"/>
                      <w:lang w:val="en-US" w:eastAsia="zh-CN"/>
                    </w:rPr>
                  </w:pPr>
                  <w:r>
                    <w:rPr>
                      <w:rFonts w:hint="eastAsia"/>
                      <w:color w:val="auto"/>
                      <w:szCs w:val="18"/>
                      <w:lang w:val="en-US" w:eastAsia="zh-CN"/>
                    </w:rPr>
                    <w:t>2.86</w:t>
                  </w:r>
                </w:p>
              </w:tc>
              <w:tc>
                <w:tcPr>
                  <w:tcW w:w="1261" w:type="dxa"/>
                  <w:noWrap w:val="0"/>
                  <w:vAlign w:val="center"/>
                </w:tcPr>
                <w:p w14:paraId="08BA07B1">
                  <w:pPr>
                    <w:adjustRightInd w:val="0"/>
                    <w:snapToGrid w:val="0"/>
                    <w:jc w:val="center"/>
                    <w:rPr>
                      <w:rFonts w:hint="eastAsia"/>
                      <w:color w:val="auto"/>
                      <w:szCs w:val="18"/>
                      <w:lang w:val="en-US" w:eastAsia="zh-CN"/>
                    </w:rPr>
                  </w:pPr>
                  <w:r>
                    <w:rPr>
                      <w:rFonts w:hint="eastAsia"/>
                      <w:color w:val="auto"/>
                      <w:szCs w:val="18"/>
                    </w:rPr>
                    <w:t>袋装</w:t>
                  </w:r>
                </w:p>
              </w:tc>
              <w:tc>
                <w:tcPr>
                  <w:tcW w:w="2262" w:type="dxa"/>
                  <w:vMerge w:val="continue"/>
                  <w:noWrap w:val="0"/>
                  <w:vAlign w:val="center"/>
                </w:tcPr>
                <w:p w14:paraId="293BDAB5">
                  <w:pPr>
                    <w:adjustRightInd w:val="0"/>
                    <w:snapToGrid w:val="0"/>
                    <w:jc w:val="center"/>
                    <w:rPr>
                      <w:rFonts w:hint="eastAsia"/>
                      <w:color w:val="auto"/>
                      <w:szCs w:val="18"/>
                    </w:rPr>
                  </w:pPr>
                </w:p>
              </w:tc>
            </w:tr>
            <w:tr w14:paraId="1F24CE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6" w:type="dxa"/>
                  <w:noWrap w:val="0"/>
                  <w:vAlign w:val="center"/>
                </w:tcPr>
                <w:p w14:paraId="5706AF4E">
                  <w:pPr>
                    <w:numPr>
                      <w:ilvl w:val="0"/>
                      <w:numId w:val="14"/>
                    </w:numPr>
                    <w:adjustRightInd w:val="0"/>
                    <w:snapToGrid w:val="0"/>
                    <w:ind w:left="0" w:leftChars="0" w:firstLine="0" w:firstLineChars="0"/>
                    <w:jc w:val="center"/>
                    <w:rPr>
                      <w:rFonts w:hint="eastAsia"/>
                      <w:color w:val="auto"/>
                      <w:szCs w:val="18"/>
                      <w:lang w:val="en-US" w:eastAsia="zh-CN"/>
                    </w:rPr>
                  </w:pPr>
                </w:p>
              </w:tc>
              <w:tc>
                <w:tcPr>
                  <w:tcW w:w="1349" w:type="dxa"/>
                  <w:noWrap w:val="0"/>
                  <w:vAlign w:val="center"/>
                </w:tcPr>
                <w:p w14:paraId="482E63A2">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cs="Times New Roman"/>
                      <w:b w:val="0"/>
                      <w:color w:val="auto"/>
                      <w:sz w:val="21"/>
                      <w:szCs w:val="18"/>
                    </w:rPr>
                  </w:pPr>
                  <w:r>
                    <w:rPr>
                      <w:rFonts w:hint="eastAsia"/>
                      <w:color w:val="auto"/>
                      <w:sz w:val="21"/>
                    </w:rPr>
                    <w:t>生活垃圾</w:t>
                  </w:r>
                </w:p>
              </w:tc>
              <w:tc>
                <w:tcPr>
                  <w:tcW w:w="1443" w:type="dxa"/>
                  <w:noWrap w:val="0"/>
                  <w:vAlign w:val="center"/>
                </w:tcPr>
                <w:p w14:paraId="7BA3C27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Cs w:val="18"/>
                    </w:rPr>
                  </w:pPr>
                  <w:r>
                    <w:rPr>
                      <w:rFonts w:hint="eastAsia"/>
                      <w:color w:val="auto"/>
                      <w:sz w:val="21"/>
                    </w:rPr>
                    <w:t>员工工作生活</w:t>
                  </w:r>
                </w:p>
              </w:tc>
              <w:tc>
                <w:tcPr>
                  <w:tcW w:w="660" w:type="dxa"/>
                  <w:noWrap w:val="0"/>
                  <w:vAlign w:val="center"/>
                </w:tcPr>
                <w:p w14:paraId="26200936">
                  <w:pPr>
                    <w:adjustRightInd w:val="0"/>
                    <w:snapToGrid w:val="0"/>
                    <w:jc w:val="center"/>
                    <w:rPr>
                      <w:rFonts w:hint="eastAsia"/>
                      <w:color w:val="auto"/>
                      <w:szCs w:val="18"/>
                      <w:lang w:val="en-US" w:eastAsia="zh-CN"/>
                    </w:rPr>
                  </w:pPr>
                  <w:r>
                    <w:rPr>
                      <w:rFonts w:hint="eastAsia"/>
                      <w:color w:val="auto"/>
                      <w:szCs w:val="18"/>
                      <w:lang w:val="en-US" w:eastAsia="zh-CN"/>
                    </w:rPr>
                    <w:t>生活固废</w:t>
                  </w:r>
                </w:p>
              </w:tc>
              <w:tc>
                <w:tcPr>
                  <w:tcW w:w="510" w:type="dxa"/>
                  <w:noWrap w:val="0"/>
                  <w:vAlign w:val="center"/>
                </w:tcPr>
                <w:p w14:paraId="632C6C5D">
                  <w:pPr>
                    <w:adjustRightInd w:val="0"/>
                    <w:snapToGrid w:val="0"/>
                    <w:jc w:val="center"/>
                    <w:rPr>
                      <w:rFonts w:hint="eastAsia"/>
                      <w:color w:val="auto"/>
                      <w:szCs w:val="18"/>
                    </w:rPr>
                  </w:pPr>
                  <w:r>
                    <w:rPr>
                      <w:rFonts w:hint="eastAsia"/>
                      <w:color w:val="auto"/>
                      <w:szCs w:val="18"/>
                    </w:rPr>
                    <w:t>固</w:t>
                  </w:r>
                </w:p>
              </w:tc>
              <w:tc>
                <w:tcPr>
                  <w:tcW w:w="1086" w:type="dxa"/>
                  <w:noWrap w:val="0"/>
                  <w:vAlign w:val="center"/>
                </w:tcPr>
                <w:p w14:paraId="75F13B97">
                  <w:pPr>
                    <w:adjustRightInd w:val="0"/>
                    <w:snapToGrid w:val="0"/>
                    <w:jc w:val="center"/>
                    <w:rPr>
                      <w:rFonts w:hint="eastAsia"/>
                      <w:color w:val="auto"/>
                      <w:szCs w:val="18"/>
                    </w:rPr>
                  </w:pPr>
                  <w:r>
                    <w:rPr>
                      <w:rFonts w:hint="eastAsia"/>
                      <w:color w:val="auto"/>
                      <w:szCs w:val="18"/>
                    </w:rPr>
                    <w:t>/</w:t>
                  </w:r>
                </w:p>
              </w:tc>
              <w:tc>
                <w:tcPr>
                  <w:tcW w:w="870" w:type="dxa"/>
                  <w:noWrap w:val="0"/>
                  <w:vAlign w:val="center"/>
                </w:tcPr>
                <w:p w14:paraId="5383ACD9">
                  <w:pPr>
                    <w:adjustRightInd w:val="0"/>
                    <w:snapToGrid w:val="0"/>
                    <w:jc w:val="center"/>
                    <w:rPr>
                      <w:rFonts w:hint="eastAsia"/>
                      <w:color w:val="auto"/>
                      <w:spacing w:val="-11"/>
                      <w:szCs w:val="18"/>
                    </w:rPr>
                  </w:pPr>
                  <w:r>
                    <w:rPr>
                      <w:rFonts w:hint="eastAsia"/>
                      <w:color w:val="auto"/>
                      <w:spacing w:val="-11"/>
                      <w:szCs w:val="18"/>
                    </w:rPr>
                    <w:t>/</w:t>
                  </w:r>
                </w:p>
              </w:tc>
              <w:tc>
                <w:tcPr>
                  <w:tcW w:w="1343" w:type="dxa"/>
                  <w:noWrap w:val="0"/>
                  <w:vAlign w:val="center"/>
                </w:tcPr>
                <w:p w14:paraId="4D3721F6">
                  <w:pPr>
                    <w:adjustRightInd w:val="0"/>
                    <w:snapToGrid w:val="0"/>
                    <w:jc w:val="center"/>
                    <w:rPr>
                      <w:rFonts w:hint="eastAsia"/>
                      <w:color w:val="auto"/>
                      <w:spacing w:val="-11"/>
                      <w:szCs w:val="18"/>
                    </w:rPr>
                  </w:pPr>
                  <w:r>
                    <w:rPr>
                      <w:rFonts w:hint="eastAsia"/>
                      <w:color w:val="auto"/>
                      <w:spacing w:val="-11"/>
                      <w:szCs w:val="18"/>
                    </w:rPr>
                    <w:t>/</w:t>
                  </w:r>
                </w:p>
              </w:tc>
              <w:tc>
                <w:tcPr>
                  <w:tcW w:w="735" w:type="dxa"/>
                  <w:noWrap w:val="0"/>
                  <w:vAlign w:val="center"/>
                </w:tcPr>
                <w:p w14:paraId="1E539658">
                  <w:pPr>
                    <w:adjustRightInd w:val="0"/>
                    <w:snapToGrid w:val="0"/>
                    <w:jc w:val="center"/>
                    <w:rPr>
                      <w:rFonts w:hint="eastAsia"/>
                      <w:color w:val="auto"/>
                      <w:szCs w:val="18"/>
                    </w:rPr>
                  </w:pPr>
                  <w:r>
                    <w:rPr>
                      <w:rFonts w:hint="eastAsia"/>
                      <w:color w:val="auto"/>
                      <w:szCs w:val="18"/>
                    </w:rPr>
                    <w:t>/</w:t>
                  </w:r>
                </w:p>
              </w:tc>
              <w:tc>
                <w:tcPr>
                  <w:tcW w:w="886" w:type="dxa"/>
                  <w:noWrap w:val="0"/>
                  <w:vAlign w:val="center"/>
                </w:tcPr>
                <w:p w14:paraId="09A6D135">
                  <w:pPr>
                    <w:adjustRightInd w:val="0"/>
                    <w:snapToGrid w:val="0"/>
                    <w:jc w:val="center"/>
                    <w:rPr>
                      <w:rFonts w:hint="default"/>
                      <w:color w:val="auto"/>
                      <w:szCs w:val="18"/>
                      <w:lang w:val="en-US" w:eastAsia="zh-CN"/>
                    </w:rPr>
                  </w:pPr>
                  <w:r>
                    <w:rPr>
                      <w:rFonts w:hint="eastAsia"/>
                      <w:color w:val="auto"/>
                      <w:szCs w:val="18"/>
                      <w:lang w:val="en-US" w:eastAsia="zh-CN"/>
                    </w:rPr>
                    <w:t>4.5</w:t>
                  </w:r>
                </w:p>
              </w:tc>
              <w:tc>
                <w:tcPr>
                  <w:tcW w:w="931" w:type="dxa"/>
                  <w:noWrap w:val="0"/>
                  <w:vAlign w:val="center"/>
                </w:tcPr>
                <w:p w14:paraId="550F3F92">
                  <w:pPr>
                    <w:adjustRightInd w:val="0"/>
                    <w:snapToGrid w:val="0"/>
                    <w:jc w:val="center"/>
                    <w:rPr>
                      <w:rFonts w:hint="eastAsia"/>
                      <w:color w:val="auto"/>
                      <w:szCs w:val="18"/>
                    </w:rPr>
                  </w:pPr>
                  <w:r>
                    <w:rPr>
                      <w:rFonts w:hint="eastAsia"/>
                      <w:color w:val="auto"/>
                      <w:szCs w:val="18"/>
                    </w:rPr>
                    <w:t>0</w:t>
                  </w:r>
                </w:p>
              </w:tc>
              <w:tc>
                <w:tcPr>
                  <w:tcW w:w="871" w:type="dxa"/>
                  <w:noWrap w:val="0"/>
                  <w:vAlign w:val="center"/>
                </w:tcPr>
                <w:p w14:paraId="0790FB34">
                  <w:pPr>
                    <w:adjustRightInd w:val="0"/>
                    <w:snapToGrid w:val="0"/>
                    <w:jc w:val="center"/>
                    <w:rPr>
                      <w:rFonts w:hint="eastAsia"/>
                      <w:color w:val="auto"/>
                      <w:szCs w:val="18"/>
                      <w:lang w:val="en-US" w:eastAsia="zh-CN"/>
                    </w:rPr>
                  </w:pPr>
                  <w:r>
                    <w:rPr>
                      <w:rFonts w:hint="eastAsia"/>
                      <w:color w:val="auto"/>
                      <w:szCs w:val="18"/>
                      <w:lang w:val="en-US" w:eastAsia="zh-CN"/>
                    </w:rPr>
                    <w:t>4.5</w:t>
                  </w:r>
                </w:p>
              </w:tc>
              <w:tc>
                <w:tcPr>
                  <w:tcW w:w="1261" w:type="dxa"/>
                  <w:noWrap w:val="0"/>
                  <w:vAlign w:val="center"/>
                </w:tcPr>
                <w:p w14:paraId="7506CCD3">
                  <w:pPr>
                    <w:adjustRightInd w:val="0"/>
                    <w:snapToGrid w:val="0"/>
                    <w:jc w:val="center"/>
                    <w:rPr>
                      <w:rFonts w:hint="eastAsia"/>
                      <w:color w:val="auto"/>
                      <w:szCs w:val="18"/>
                    </w:rPr>
                  </w:pPr>
                  <w:r>
                    <w:rPr>
                      <w:rFonts w:hint="eastAsia"/>
                      <w:color w:val="auto"/>
                      <w:szCs w:val="18"/>
                    </w:rPr>
                    <w:t>无包装</w:t>
                  </w:r>
                </w:p>
              </w:tc>
              <w:tc>
                <w:tcPr>
                  <w:tcW w:w="2262" w:type="dxa"/>
                  <w:noWrap w:val="0"/>
                  <w:vAlign w:val="center"/>
                </w:tcPr>
                <w:p w14:paraId="7464D3B0">
                  <w:pPr>
                    <w:adjustRightInd w:val="0"/>
                    <w:snapToGrid w:val="0"/>
                    <w:jc w:val="center"/>
                    <w:rPr>
                      <w:rFonts w:hint="eastAsia"/>
                      <w:color w:val="auto"/>
                      <w:szCs w:val="18"/>
                    </w:rPr>
                  </w:pPr>
                  <w:r>
                    <w:rPr>
                      <w:rFonts w:hint="eastAsia"/>
                      <w:color w:val="auto"/>
                      <w:szCs w:val="18"/>
                    </w:rPr>
                    <w:t>委托环卫人员统一清运</w:t>
                  </w:r>
                </w:p>
              </w:tc>
            </w:tr>
          </w:tbl>
          <w:p w14:paraId="5C3C1E5B">
            <w:pPr>
              <w:pStyle w:val="6"/>
              <w:spacing w:after="0" w:line="500" w:lineRule="exact"/>
              <w:ind w:left="0" w:leftChars="0" w:firstLine="480"/>
              <w:rPr>
                <w:rFonts w:ascii="宋体" w:hAnsi="宋体" w:cs="宋体"/>
                <w:color w:val="auto"/>
                <w:spacing w:val="-11"/>
                <w:sz w:val="21"/>
                <w:szCs w:val="21"/>
              </w:rPr>
            </w:pPr>
            <w:r>
              <w:rPr>
                <w:rFonts w:hint="eastAsia"/>
                <w:color w:val="auto"/>
              </w:rPr>
              <w:t>综上分析，本项目产生的各类固体废物均得到妥善处置，不会产生二次污染，可以实现零排放，不会对周围环境造成明显影响。</w:t>
            </w:r>
          </w:p>
        </w:tc>
      </w:tr>
    </w:tbl>
    <w:p w14:paraId="334A415E">
      <w:pPr>
        <w:adjustRightInd w:val="0"/>
        <w:snapToGrid w:val="0"/>
        <w:jc w:val="center"/>
        <w:rPr>
          <w:rFonts w:ascii="宋体" w:hAnsi="宋体" w:cs="宋体"/>
          <w:color w:val="auto"/>
          <w:szCs w:val="21"/>
        </w:rPr>
        <w:sectPr>
          <w:pgSz w:w="16838" w:h="11905" w:orient="landscape"/>
          <w:pgMar w:top="1531" w:right="1701" w:bottom="1531" w:left="2126" w:header="851" w:footer="850" w:gutter="0"/>
          <w:pgBorders>
            <w:top w:val="none" w:sz="0" w:space="0"/>
            <w:left w:val="none" w:sz="0" w:space="0"/>
            <w:bottom w:val="none" w:sz="0" w:space="0"/>
            <w:right w:val="none" w:sz="0" w:space="0"/>
          </w:pgBorders>
          <w:cols w:space="720" w:num="1"/>
          <w:rtlGutter w:val="0"/>
          <w:docGrid w:linePitch="312" w:charSpace="0"/>
        </w:sectPr>
      </w:pPr>
    </w:p>
    <w:tbl>
      <w:tblPr>
        <w:tblStyle w:val="23"/>
        <w:tblW w:w="8575"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8054"/>
      </w:tblGrid>
      <w:tr w14:paraId="4F2B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2" w:hRule="atLeast"/>
        </w:trPr>
        <w:tc>
          <w:tcPr>
            <w:tcW w:w="521" w:type="dxa"/>
            <w:noWrap w:val="0"/>
            <w:vAlign w:val="top"/>
          </w:tcPr>
          <w:p w14:paraId="4A4E902D">
            <w:pPr>
              <w:pStyle w:val="20"/>
              <w:spacing w:before="0" w:beforeAutospacing="0" w:after="0" w:afterAutospacing="0"/>
              <w:jc w:val="center"/>
              <w:outlineLvl w:val="0"/>
              <w:rPr>
                <w:rFonts w:cs="宋体"/>
                <w:snapToGrid w:val="0"/>
                <w:color w:val="auto"/>
                <w:sz w:val="21"/>
                <w:szCs w:val="21"/>
              </w:rPr>
            </w:pPr>
          </w:p>
        </w:tc>
        <w:tc>
          <w:tcPr>
            <w:tcW w:w="8054" w:type="dxa"/>
            <w:noWrap w:val="0"/>
            <w:vAlign w:val="top"/>
          </w:tcPr>
          <w:p w14:paraId="7268BC1F">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b w:val="0"/>
                <w:bCs w:val="0"/>
                <w:snapToGrid w:val="0"/>
                <w:color w:val="auto"/>
                <w:szCs w:val="24"/>
              </w:rPr>
            </w:pPr>
            <w:r>
              <w:rPr>
                <w:rFonts w:ascii="Times New Roman" w:hAnsi="Times New Roman"/>
                <w:b w:val="0"/>
                <w:bCs w:val="0"/>
                <w:snapToGrid w:val="0"/>
                <w:color w:val="auto"/>
                <w:szCs w:val="24"/>
              </w:rPr>
              <w:t>2、固废管理要求</w:t>
            </w:r>
          </w:p>
          <w:p w14:paraId="36F736D9">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hint="default" w:ascii="Times New Roman" w:hAnsi="Times New Roman" w:cs="Times New Roman"/>
                <w:snapToGrid w:val="0"/>
                <w:color w:val="auto"/>
                <w:szCs w:val="24"/>
              </w:rPr>
            </w:pPr>
            <w:r>
              <w:rPr>
                <w:rFonts w:hint="default" w:ascii="Times New Roman" w:hAnsi="Times New Roman" w:cs="Times New Roman"/>
                <w:snapToGrid w:val="0"/>
                <w:color w:val="auto"/>
                <w:szCs w:val="24"/>
              </w:rPr>
              <w:t>（1）一般固废管理要求</w:t>
            </w:r>
          </w:p>
          <w:p w14:paraId="70D8ED8B">
            <w:pPr>
              <w:pStyle w:val="8"/>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本项目产生的一般工业固废</w:t>
            </w:r>
            <w:r>
              <w:rPr>
                <w:rFonts w:hint="default" w:ascii="Times New Roman" w:hAnsi="Times New Roman" w:cs="Times New Roman"/>
                <w:color w:val="auto"/>
                <w:sz w:val="24"/>
                <w:szCs w:val="24"/>
                <w:lang w:val="en-US" w:eastAsia="zh-CN"/>
              </w:rPr>
              <w:t>为</w:t>
            </w:r>
            <w:r>
              <w:rPr>
                <w:rFonts w:hint="default" w:ascii="Times New Roman" w:hAnsi="Times New Roman" w:cs="Times New Roman"/>
                <w:color w:val="auto"/>
                <w:sz w:val="24"/>
                <w:szCs w:val="24"/>
              </w:rPr>
              <w:t>玻璃边角料、不合格品、沉渣、废包装材料、铝边角料，收集后外售给废旧资源回收公司综合利用</w:t>
            </w:r>
            <w:r>
              <w:rPr>
                <w:rFonts w:hint="eastAsia" w:cs="Times New Roman"/>
                <w:color w:val="auto"/>
                <w:sz w:val="24"/>
                <w:szCs w:val="24"/>
                <w:lang w:eastAsia="zh-CN"/>
              </w:rPr>
              <w:t>；</w:t>
            </w:r>
            <w:r>
              <w:rPr>
                <w:rFonts w:hint="eastAsia" w:cs="Times New Roman"/>
                <w:color w:val="auto"/>
                <w:sz w:val="24"/>
                <w:szCs w:val="24"/>
                <w:lang w:val="en-US" w:eastAsia="zh-CN"/>
              </w:rPr>
              <w:t>废硅酮胶包装桶由原料供应商回收</w:t>
            </w:r>
            <w:r>
              <w:rPr>
                <w:rFonts w:hint="default" w:ascii="Times New Roman" w:hAnsi="Times New Roman" w:cs="Times New Roman"/>
                <w:color w:val="auto"/>
                <w:sz w:val="24"/>
                <w:szCs w:val="24"/>
              </w:rPr>
              <w:t>。一般工业固废收集后暂存于</w:t>
            </w:r>
            <w:r>
              <w:rPr>
                <w:rFonts w:hint="default" w:ascii="Times New Roman" w:hAnsi="Times New Roman" w:cs="Times New Roman"/>
                <w:color w:val="auto"/>
                <w:sz w:val="24"/>
                <w:szCs w:val="24"/>
                <w:lang w:val="en-US" w:eastAsia="zh-CN"/>
              </w:rPr>
              <w:t>生产</w:t>
            </w:r>
            <w:r>
              <w:rPr>
                <w:rFonts w:hint="default" w:ascii="Times New Roman" w:hAnsi="Times New Roman" w:cs="Times New Roman"/>
                <w:color w:val="auto"/>
                <w:sz w:val="24"/>
                <w:szCs w:val="24"/>
              </w:rPr>
              <w:t>厂房内设置的一般固废暂存区，一般固废暂存区面积</w:t>
            </w:r>
            <w:r>
              <w:rPr>
                <w:rFonts w:hint="eastAsia" w:cs="Times New Roman"/>
                <w:color w:val="auto"/>
                <w:sz w:val="24"/>
                <w:szCs w:val="24"/>
                <w:lang w:val="en-US" w:eastAsia="zh-CN"/>
              </w:rPr>
              <w:t>6</w:t>
            </w:r>
            <w:r>
              <w:rPr>
                <w:rFonts w:hint="default" w:ascii="Times New Roman" w:hAnsi="Times New Roman" w:cs="Times New Roman"/>
                <w:color w:val="auto"/>
                <w:sz w:val="24"/>
                <w:szCs w:val="24"/>
                <w:lang w:val="en-US" w:eastAsia="zh-CN"/>
              </w:rPr>
              <w:t>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。一般固废暂存区应按《一般工业固体废物贮存和填埋污染控制标准》（GB18599-2020）要求设置，具体如下：</w:t>
            </w:r>
          </w:p>
          <w:p w14:paraId="407705ED">
            <w:pPr>
              <w:pStyle w:val="8"/>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①必须与将要暂存的一般工业固废的类别相一致。</w:t>
            </w:r>
          </w:p>
          <w:p w14:paraId="167C26D8">
            <w:pPr>
              <w:pStyle w:val="8"/>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②暂存区应做到防风、防雨、防扬散。</w:t>
            </w:r>
          </w:p>
          <w:p w14:paraId="766E099C">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hint="default" w:ascii="Times New Roman" w:hAnsi="Times New Roman" w:cs="Times New Roman"/>
                <w:snapToGrid w:val="0"/>
                <w:color w:val="auto"/>
                <w:szCs w:val="24"/>
              </w:rPr>
            </w:pPr>
            <w:r>
              <w:rPr>
                <w:rFonts w:hint="default" w:ascii="Times New Roman" w:hAnsi="Times New Roman" w:cs="Times New Roman"/>
                <w:color w:val="auto"/>
                <w:kern w:val="2"/>
                <w:szCs w:val="24"/>
              </w:rPr>
              <w:t>③</w:t>
            </w:r>
            <w:r>
              <w:rPr>
                <w:rFonts w:hint="default" w:ascii="Times New Roman" w:hAnsi="Times New Roman" w:cs="Times New Roman"/>
                <w:color w:val="auto"/>
              </w:rPr>
              <w:t>应加强监督管理，禁止危险废物和生活垃圾混入一般固废暂存场所。</w:t>
            </w:r>
          </w:p>
          <w:p w14:paraId="22995029">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hint="default" w:ascii="Times New Roman" w:hAnsi="Times New Roman" w:cs="Times New Roman"/>
                <w:snapToGrid w:val="0"/>
                <w:color w:val="auto"/>
                <w:szCs w:val="24"/>
              </w:rPr>
            </w:pPr>
            <w:r>
              <w:rPr>
                <w:rFonts w:hint="default" w:ascii="Times New Roman" w:hAnsi="Times New Roman" w:cs="Times New Roman"/>
                <w:snapToGrid w:val="0"/>
                <w:color w:val="auto"/>
                <w:szCs w:val="24"/>
              </w:rPr>
              <w:t>（2）危险废物管理要求</w:t>
            </w:r>
          </w:p>
          <w:p w14:paraId="459B248C">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hint="default" w:ascii="Times New Roman" w:hAnsi="Times New Roman" w:cs="Times New Roman"/>
                <w:snapToGrid w:val="0"/>
                <w:color w:val="auto"/>
                <w:szCs w:val="24"/>
              </w:rPr>
            </w:pPr>
            <w:r>
              <w:rPr>
                <w:rFonts w:hint="default" w:ascii="Times New Roman" w:hAnsi="Times New Roman" w:cs="Times New Roman"/>
                <w:snapToGrid w:val="0"/>
                <w:color w:val="auto"/>
                <w:szCs w:val="24"/>
              </w:rPr>
              <w:t>本项目产生的危险废物为</w:t>
            </w:r>
            <w:r>
              <w:rPr>
                <w:rFonts w:hint="eastAsia" w:ascii="Times New Roman" w:hAnsi="Times New Roman" w:cs="Times New Roman"/>
                <w:snapToGrid w:val="0"/>
                <w:color w:val="auto"/>
                <w:szCs w:val="24"/>
                <w:lang w:val="en-US" w:eastAsia="zh-CN"/>
              </w:rPr>
              <w:t>废硅酮胶包装袋、</w:t>
            </w:r>
            <w:r>
              <w:rPr>
                <w:rFonts w:hint="default" w:ascii="Times New Roman" w:hAnsi="Times New Roman" w:cs="Times New Roman"/>
                <w:snapToGrid w:val="0"/>
                <w:color w:val="auto"/>
                <w:szCs w:val="24"/>
              </w:rPr>
              <w:t>废活性炭，对危险废物应按相关要求进行分类收集，根据各类危险废物的相容性、反应性以及包装材料的相容性，选择合适的包装材料进行分类收集，避免危险废物与一般工业固废、生活垃圾等混合，从而避免收集过程的二次污染。</w:t>
            </w:r>
          </w:p>
          <w:p w14:paraId="33949E52">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hint="default" w:ascii="Times New Roman" w:hAnsi="Times New Roman" w:cs="Times New Roman"/>
                <w:snapToGrid w:val="0"/>
                <w:color w:val="auto"/>
                <w:szCs w:val="24"/>
              </w:rPr>
            </w:pPr>
            <w:r>
              <w:rPr>
                <w:rFonts w:hint="default" w:ascii="Times New Roman" w:hAnsi="Times New Roman" w:cs="Times New Roman"/>
                <w:color w:val="auto"/>
                <w:kern w:val="2"/>
                <w:szCs w:val="24"/>
              </w:rPr>
              <w:t>①</w:t>
            </w:r>
            <w:r>
              <w:rPr>
                <w:rFonts w:hint="default" w:ascii="Times New Roman" w:hAnsi="Times New Roman" w:cs="Times New Roman"/>
                <w:snapToGrid w:val="0"/>
                <w:color w:val="auto"/>
                <w:szCs w:val="24"/>
              </w:rPr>
              <w:t>选址可行性</w:t>
            </w:r>
          </w:p>
          <w:p w14:paraId="73DF86AE">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auto"/>
                <w:szCs w:val="24"/>
              </w:rPr>
            </w:pPr>
            <w:r>
              <w:rPr>
                <w:rFonts w:hint="default" w:ascii="Times New Roman" w:hAnsi="Times New Roman" w:cs="Times New Roman"/>
                <w:snapToGrid w:val="0"/>
                <w:color w:val="auto"/>
                <w:szCs w:val="24"/>
              </w:rPr>
              <w:t>本项目设置1个</w:t>
            </w:r>
            <w:r>
              <w:rPr>
                <w:rFonts w:hint="eastAsia" w:ascii="Times New Roman" w:hAnsi="Times New Roman" w:cs="Times New Roman"/>
                <w:snapToGrid w:val="0"/>
                <w:color w:val="auto"/>
                <w:szCs w:val="24"/>
                <w:lang w:eastAsia="zh-CN"/>
              </w:rPr>
              <w:t>危废暂存间</w:t>
            </w:r>
            <w:r>
              <w:rPr>
                <w:rFonts w:hint="default" w:ascii="Times New Roman" w:hAnsi="Times New Roman" w:cs="Times New Roman"/>
                <w:snapToGrid w:val="0"/>
                <w:color w:val="auto"/>
                <w:szCs w:val="24"/>
              </w:rPr>
              <w:t>，面积为</w:t>
            </w:r>
            <w:r>
              <w:rPr>
                <w:rFonts w:hint="default" w:ascii="Times New Roman" w:hAnsi="Times New Roman" w:cs="Times New Roman"/>
                <w:snapToGrid w:val="0"/>
                <w:color w:val="auto"/>
                <w:szCs w:val="24"/>
                <w:lang w:val="en-US" w:eastAsia="zh-CN"/>
              </w:rPr>
              <w:t>20</w:t>
            </w:r>
            <w:r>
              <w:rPr>
                <w:rFonts w:hint="default" w:ascii="Times New Roman" w:hAnsi="Times New Roman" w:cs="Times New Roman"/>
                <w:snapToGrid w:val="0"/>
                <w:color w:val="auto"/>
                <w:szCs w:val="24"/>
              </w:rPr>
              <w:t>m</w:t>
            </w:r>
            <w:r>
              <w:rPr>
                <w:rFonts w:hint="default" w:ascii="Times New Roman" w:hAnsi="Times New Roman" w:cs="Times New Roman"/>
                <w:snapToGrid w:val="0"/>
                <w:color w:val="auto"/>
                <w:szCs w:val="24"/>
                <w:vertAlign w:val="superscript"/>
              </w:rPr>
              <w:t>2</w:t>
            </w:r>
            <w:r>
              <w:rPr>
                <w:rFonts w:hint="default" w:ascii="Times New Roman" w:hAnsi="Times New Roman" w:cs="Times New Roman"/>
                <w:snapToGrid w:val="0"/>
                <w:color w:val="auto"/>
                <w:szCs w:val="24"/>
              </w:rPr>
              <w:t>。</w:t>
            </w:r>
            <w:r>
              <w:rPr>
                <w:rFonts w:hint="eastAsia" w:ascii="Times New Roman" w:hAnsi="Times New Roman" w:cs="Times New Roman"/>
                <w:snapToGrid w:val="0"/>
                <w:color w:val="auto"/>
                <w:szCs w:val="24"/>
                <w:lang w:eastAsia="zh-CN"/>
              </w:rPr>
              <w:t>危废暂存间</w:t>
            </w:r>
            <w:r>
              <w:rPr>
                <w:rFonts w:hint="default" w:ascii="Times New Roman" w:hAnsi="Times New Roman" w:cs="Times New Roman"/>
                <w:snapToGrid w:val="0"/>
                <w:color w:val="auto"/>
                <w:szCs w:val="24"/>
              </w:rPr>
              <w:t>设置在</w:t>
            </w:r>
            <w:r>
              <w:rPr>
                <w:rFonts w:hint="default" w:ascii="Times New Roman" w:hAnsi="Times New Roman" w:cs="Times New Roman"/>
                <w:snapToGrid w:val="0"/>
                <w:color w:val="auto"/>
                <w:szCs w:val="24"/>
                <w:lang w:val="en-US" w:eastAsia="zh-CN"/>
              </w:rPr>
              <w:t>生产</w:t>
            </w:r>
            <w:r>
              <w:rPr>
                <w:rFonts w:hint="default" w:ascii="Times New Roman" w:hAnsi="Times New Roman" w:cs="Times New Roman"/>
                <w:snapToGrid w:val="0"/>
                <w:color w:val="auto"/>
                <w:szCs w:val="24"/>
              </w:rPr>
              <w:t>厂房内。</w:t>
            </w:r>
            <w:r>
              <w:rPr>
                <w:rFonts w:hint="default" w:ascii="Times New Roman" w:hAnsi="Times New Roman" w:eastAsia="宋体" w:cs="Times New Roman"/>
                <w:snapToGrid w:val="0"/>
                <w:color w:val="auto"/>
                <w:szCs w:val="24"/>
              </w:rPr>
              <w:t>对照《危险废物贮存污染控制标准》（GB18597-20</w:t>
            </w:r>
            <w:r>
              <w:rPr>
                <w:rFonts w:hint="default" w:ascii="Times New Roman" w:hAnsi="Times New Roman" w:eastAsia="宋体" w:cs="Times New Roman"/>
                <w:snapToGrid w:val="0"/>
                <w:color w:val="auto"/>
                <w:szCs w:val="24"/>
                <w:lang w:val="en-US" w:eastAsia="zh-CN"/>
              </w:rPr>
              <w:t>23</w:t>
            </w:r>
            <w:r>
              <w:rPr>
                <w:rFonts w:hint="default" w:ascii="Times New Roman" w:hAnsi="Times New Roman" w:eastAsia="宋体" w:cs="Times New Roman"/>
                <w:snapToGrid w:val="0"/>
                <w:color w:val="auto"/>
                <w:szCs w:val="24"/>
              </w:rPr>
              <w:t>）</w:t>
            </w:r>
            <w:r>
              <w:rPr>
                <w:rFonts w:hint="default" w:ascii="Times New Roman" w:hAnsi="Times New Roman" w:cs="Times New Roman"/>
                <w:snapToGrid w:val="0"/>
                <w:color w:val="auto"/>
                <w:szCs w:val="24"/>
              </w:rPr>
              <w:t>，涟水县区域内无活动性断裂，历史上也未曾发生过强烈的破坏性地震，区域稳定性较好。根据《中国地震烈度区划图》（2001），本区地震烈度为7度，符合要求。枯水期调查区潜水位一般在1.7m</w:t>
            </w:r>
            <w:r>
              <w:rPr>
                <w:rFonts w:ascii="Times New Roman" w:hAnsi="Times New Roman"/>
                <w:snapToGrid w:val="0"/>
                <w:color w:val="auto"/>
                <w:szCs w:val="24"/>
              </w:rPr>
              <w:t>～2.9m之间。项目场平标高约为3.5</w:t>
            </w:r>
            <w:r>
              <w:rPr>
                <w:rFonts w:hint="eastAsia" w:ascii="Times New Roman" w:hAnsi="Times New Roman"/>
                <w:snapToGrid w:val="0"/>
                <w:color w:val="auto"/>
                <w:szCs w:val="24"/>
              </w:rPr>
              <w:t>m</w:t>
            </w:r>
            <w:r>
              <w:rPr>
                <w:rFonts w:ascii="Times New Roman" w:hAnsi="Times New Roman"/>
                <w:snapToGrid w:val="0"/>
                <w:color w:val="auto"/>
                <w:szCs w:val="24"/>
              </w:rPr>
              <w:t>～5.0</w:t>
            </w:r>
            <w:r>
              <w:rPr>
                <w:rFonts w:hint="eastAsia" w:ascii="Times New Roman" w:hAnsi="Times New Roman"/>
                <w:snapToGrid w:val="0"/>
                <w:color w:val="auto"/>
                <w:szCs w:val="24"/>
              </w:rPr>
              <w:t>m</w:t>
            </w:r>
            <w:r>
              <w:rPr>
                <w:rFonts w:ascii="Times New Roman" w:hAnsi="Times New Roman"/>
                <w:snapToGrid w:val="0"/>
                <w:color w:val="auto"/>
                <w:szCs w:val="24"/>
              </w:rPr>
              <w:t>，高于区域地下水最高水位，符合要求。危废暂存</w:t>
            </w:r>
            <w:r>
              <w:rPr>
                <w:rFonts w:hint="eastAsia" w:ascii="Times New Roman" w:hAnsi="Times New Roman"/>
                <w:snapToGrid w:val="0"/>
                <w:color w:val="auto"/>
                <w:szCs w:val="24"/>
                <w:lang w:val="en-US" w:eastAsia="zh-CN"/>
              </w:rPr>
              <w:t>间</w:t>
            </w:r>
            <w:r>
              <w:rPr>
                <w:rFonts w:ascii="Times New Roman" w:hAnsi="Times New Roman"/>
                <w:snapToGrid w:val="0"/>
                <w:color w:val="auto"/>
                <w:szCs w:val="24"/>
              </w:rPr>
              <w:t>按照苏环办〔2019〕327号</w:t>
            </w:r>
            <w:r>
              <w:rPr>
                <w:rFonts w:hint="eastAsia" w:ascii="Times New Roman" w:hAnsi="Times New Roman"/>
                <w:snapToGrid w:val="0"/>
                <w:color w:val="auto"/>
                <w:szCs w:val="24"/>
              </w:rPr>
              <w:t>文件</w:t>
            </w:r>
            <w:r>
              <w:rPr>
                <w:rFonts w:hint="eastAsia" w:ascii="Times New Roman" w:hAnsi="Times New Roman"/>
                <w:snapToGrid w:val="0"/>
                <w:color w:val="auto"/>
                <w:szCs w:val="24"/>
                <w:lang w:eastAsia="zh-CN"/>
              </w:rPr>
              <w:t>〈</w:t>
            </w:r>
            <w:r>
              <w:rPr>
                <w:rFonts w:ascii="Times New Roman" w:hAnsi="Times New Roman"/>
                <w:snapToGrid w:val="0"/>
                <w:color w:val="auto"/>
                <w:szCs w:val="24"/>
              </w:rPr>
              <w:t>省生态环境厅关于进一步加强危险废物污染防治工作的实施意见</w:t>
            </w:r>
            <w:r>
              <w:rPr>
                <w:rFonts w:hint="eastAsia" w:ascii="Times New Roman" w:hAnsi="Times New Roman"/>
                <w:snapToGrid w:val="0"/>
                <w:color w:val="auto"/>
                <w:szCs w:val="24"/>
                <w:lang w:eastAsia="zh-CN"/>
              </w:rPr>
              <w:t>〉</w:t>
            </w:r>
            <w:r>
              <w:rPr>
                <w:rFonts w:hint="eastAsia" w:ascii="Times New Roman" w:hAnsi="Times New Roman"/>
                <w:snapToGrid w:val="0"/>
                <w:color w:val="auto"/>
                <w:szCs w:val="24"/>
              </w:rPr>
              <w:t>中</w:t>
            </w:r>
            <w:r>
              <w:rPr>
                <w:rFonts w:ascii="Times New Roman" w:hAnsi="Times New Roman"/>
                <w:snapToGrid w:val="0"/>
                <w:color w:val="auto"/>
                <w:szCs w:val="24"/>
              </w:rPr>
              <w:t>的</w:t>
            </w:r>
            <w:r>
              <w:rPr>
                <w:rFonts w:hint="eastAsia" w:ascii="Times New Roman" w:hAnsi="Times New Roman"/>
                <w:snapToGrid w:val="0"/>
                <w:color w:val="auto"/>
                <w:szCs w:val="24"/>
              </w:rPr>
              <w:t>要求</w:t>
            </w:r>
            <w:r>
              <w:rPr>
                <w:rFonts w:ascii="Times New Roman" w:hAnsi="Times New Roman"/>
                <w:snapToGrid w:val="0"/>
                <w:color w:val="auto"/>
                <w:szCs w:val="24"/>
              </w:rPr>
              <w:t>进行设计。</w:t>
            </w:r>
          </w:p>
          <w:p w14:paraId="29DC5F12">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auto"/>
                <w:szCs w:val="24"/>
              </w:rPr>
            </w:pPr>
            <w:r>
              <w:rPr>
                <w:rFonts w:hint="eastAsia" w:ascii="Times New Roman" w:hAnsi="Times New Roman"/>
                <w:snapToGrid w:val="0"/>
                <w:color w:val="auto"/>
                <w:szCs w:val="24"/>
              </w:rPr>
              <w:t>因此</w:t>
            </w:r>
            <w:r>
              <w:rPr>
                <w:rFonts w:ascii="Times New Roman" w:hAnsi="Times New Roman"/>
                <w:snapToGrid w:val="0"/>
                <w:color w:val="auto"/>
                <w:szCs w:val="24"/>
              </w:rPr>
              <w:t>，本项目危险废物暂存场所选址是可行的。</w:t>
            </w:r>
          </w:p>
          <w:p w14:paraId="48673192">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auto"/>
                <w:szCs w:val="24"/>
              </w:rPr>
            </w:pPr>
            <w:r>
              <w:rPr>
                <w:rFonts w:ascii="Times New Roman" w:hAnsi="Times New Roman"/>
                <w:color w:val="auto"/>
                <w:kern w:val="2"/>
                <w:szCs w:val="24"/>
              </w:rPr>
              <w:t>②</w:t>
            </w:r>
            <w:r>
              <w:rPr>
                <w:rFonts w:ascii="Times New Roman" w:hAnsi="Times New Roman"/>
                <w:snapToGrid w:val="0"/>
                <w:color w:val="auto"/>
                <w:szCs w:val="24"/>
              </w:rPr>
              <w:t>危废暂存场所能力分析</w:t>
            </w:r>
          </w:p>
          <w:p w14:paraId="4E521162">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auto"/>
                <w:szCs w:val="24"/>
              </w:rPr>
            </w:pPr>
            <w:r>
              <w:rPr>
                <w:rFonts w:hint="eastAsia" w:cs="宋体"/>
                <w:snapToGrid w:val="0"/>
                <w:color w:val="auto"/>
                <w:szCs w:val="24"/>
              </w:rPr>
              <w:t>本项目</w:t>
            </w:r>
            <w:r>
              <w:rPr>
                <w:rFonts w:hint="eastAsia" w:ascii="Times New Roman" w:hAnsi="Times New Roman"/>
                <w:snapToGrid w:val="0"/>
                <w:color w:val="auto"/>
                <w:szCs w:val="24"/>
                <w:lang w:eastAsia="zh-CN"/>
              </w:rPr>
              <w:t>危废暂存间</w:t>
            </w:r>
            <w:r>
              <w:rPr>
                <w:rFonts w:ascii="Times New Roman" w:hAnsi="Times New Roman"/>
                <w:snapToGrid w:val="0"/>
                <w:color w:val="auto"/>
                <w:szCs w:val="24"/>
              </w:rPr>
              <w:t>面积为</w:t>
            </w:r>
            <w:r>
              <w:rPr>
                <w:rFonts w:hint="eastAsia" w:ascii="Times New Roman" w:hAnsi="Times New Roman"/>
                <w:snapToGrid w:val="0"/>
                <w:color w:val="auto"/>
                <w:szCs w:val="24"/>
                <w:lang w:val="en-US" w:eastAsia="zh-CN"/>
              </w:rPr>
              <w:t>20</w:t>
            </w:r>
            <w:r>
              <w:rPr>
                <w:rFonts w:ascii="Times New Roman" w:hAnsi="Times New Roman"/>
                <w:snapToGrid w:val="0"/>
                <w:color w:val="auto"/>
                <w:szCs w:val="24"/>
              </w:rPr>
              <w:t>m</w:t>
            </w:r>
            <w:r>
              <w:rPr>
                <w:rFonts w:ascii="Times New Roman" w:hAnsi="Times New Roman"/>
                <w:snapToGrid w:val="0"/>
                <w:color w:val="auto"/>
                <w:szCs w:val="24"/>
                <w:vertAlign w:val="superscript"/>
              </w:rPr>
              <w:t>2</w:t>
            </w:r>
            <w:r>
              <w:rPr>
                <w:rFonts w:ascii="Times New Roman" w:hAnsi="Times New Roman"/>
                <w:snapToGrid w:val="0"/>
                <w:color w:val="auto"/>
                <w:szCs w:val="24"/>
              </w:rPr>
              <w:t>，</w:t>
            </w:r>
            <w:r>
              <w:rPr>
                <w:rFonts w:hint="eastAsia" w:ascii="Times New Roman" w:hAnsi="Times New Roman"/>
                <w:snapToGrid w:val="0"/>
                <w:color w:val="auto"/>
                <w:szCs w:val="24"/>
              </w:rPr>
              <w:t>建设项目危险废物贮存场所基本情况见</w:t>
            </w:r>
            <w:r>
              <w:rPr>
                <w:rFonts w:hint="eastAsia" w:ascii="Times New Roman" w:hAnsi="Times New Roman"/>
                <w:snapToGrid w:val="0"/>
                <w:color w:val="auto"/>
                <w:szCs w:val="24"/>
                <w:lang w:val="en-US" w:eastAsia="zh-CN"/>
              </w:rPr>
              <w:t>下表</w:t>
            </w:r>
            <w:r>
              <w:rPr>
                <w:rFonts w:hint="eastAsia" w:ascii="Times New Roman" w:hAnsi="Times New Roman"/>
                <w:snapToGrid w:val="0"/>
                <w:color w:val="auto"/>
                <w:szCs w:val="24"/>
              </w:rPr>
              <w:t>。</w:t>
            </w:r>
          </w:p>
          <w:p w14:paraId="33A1E964">
            <w:pPr>
              <w:pStyle w:val="20"/>
              <w:spacing w:before="0" w:beforeAutospacing="0" w:after="0" w:afterAutospacing="0" w:line="240" w:lineRule="auto"/>
              <w:ind w:firstLine="422" w:firstLineChars="200"/>
              <w:jc w:val="center"/>
              <w:outlineLvl w:val="0"/>
              <w:rPr>
                <w:rFonts w:ascii="Times New Roman" w:hAnsi="Times New Roman"/>
                <w:b/>
                <w:bCs/>
                <w:snapToGrid w:val="0"/>
                <w:color w:val="auto"/>
                <w:sz w:val="21"/>
                <w:szCs w:val="21"/>
              </w:rPr>
            </w:pPr>
            <w:r>
              <w:rPr>
                <w:rFonts w:hint="eastAsia" w:ascii="Times New Roman" w:hAnsi="Times New Roman"/>
                <w:b/>
                <w:bCs/>
                <w:snapToGrid w:val="0"/>
                <w:color w:val="auto"/>
                <w:sz w:val="21"/>
                <w:szCs w:val="21"/>
              </w:rPr>
              <w:t>表4-</w:t>
            </w:r>
            <w:r>
              <w:rPr>
                <w:rFonts w:hint="eastAsia" w:ascii="Times New Roman" w:hAnsi="Times New Roman"/>
                <w:b/>
                <w:bCs/>
                <w:snapToGrid w:val="0"/>
                <w:color w:val="auto"/>
                <w:sz w:val="21"/>
                <w:szCs w:val="21"/>
                <w:lang w:val="en-US" w:eastAsia="zh-CN"/>
              </w:rPr>
              <w:t xml:space="preserve">21  </w:t>
            </w:r>
            <w:r>
              <w:rPr>
                <w:rFonts w:hint="eastAsia" w:ascii="Times New Roman" w:hAnsi="Times New Roman"/>
                <w:b/>
                <w:bCs/>
                <w:snapToGrid w:val="0"/>
                <w:color w:val="auto"/>
                <w:sz w:val="21"/>
                <w:szCs w:val="21"/>
              </w:rPr>
              <w:t>建设项目危险废物贮存场所基本情况</w:t>
            </w:r>
          </w:p>
          <w:tbl>
            <w:tblPr>
              <w:tblStyle w:val="23"/>
              <w:tblW w:w="7873"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52"/>
              <w:gridCol w:w="1275"/>
              <w:gridCol w:w="776"/>
              <w:gridCol w:w="1196"/>
              <w:gridCol w:w="854"/>
              <w:gridCol w:w="613"/>
              <w:gridCol w:w="822"/>
              <w:gridCol w:w="869"/>
              <w:gridCol w:w="590"/>
            </w:tblGrid>
            <w:tr w14:paraId="73C9E9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noWrap w:val="0"/>
                  <w:vAlign w:val="center"/>
                </w:tcPr>
                <w:p w14:paraId="11C8BABC">
                  <w:pPr>
                    <w:pStyle w:val="20"/>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序</w:t>
                  </w:r>
                </w:p>
                <w:p w14:paraId="30BCDEE4">
                  <w:pPr>
                    <w:pStyle w:val="20"/>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号</w:t>
                  </w:r>
                </w:p>
              </w:tc>
              <w:tc>
                <w:tcPr>
                  <w:tcW w:w="452" w:type="dxa"/>
                  <w:noWrap w:val="0"/>
                  <w:vAlign w:val="center"/>
                </w:tcPr>
                <w:p w14:paraId="6D5349E0">
                  <w:pPr>
                    <w:pStyle w:val="20"/>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名称</w:t>
                  </w:r>
                </w:p>
              </w:tc>
              <w:tc>
                <w:tcPr>
                  <w:tcW w:w="1275" w:type="dxa"/>
                  <w:noWrap w:val="0"/>
                  <w:vAlign w:val="center"/>
                </w:tcPr>
                <w:p w14:paraId="022EF350">
                  <w:pPr>
                    <w:pStyle w:val="20"/>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危险废物</w:t>
                  </w:r>
                </w:p>
                <w:p w14:paraId="152CD9C3">
                  <w:pPr>
                    <w:pStyle w:val="20"/>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名称</w:t>
                  </w:r>
                </w:p>
              </w:tc>
              <w:tc>
                <w:tcPr>
                  <w:tcW w:w="776" w:type="dxa"/>
                  <w:noWrap w:val="0"/>
                  <w:vAlign w:val="center"/>
                </w:tcPr>
                <w:p w14:paraId="01DEDB97">
                  <w:pPr>
                    <w:pStyle w:val="20"/>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危险</w:t>
                  </w:r>
                </w:p>
                <w:p w14:paraId="2DB6A2B7">
                  <w:pPr>
                    <w:pStyle w:val="20"/>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废物</w:t>
                  </w:r>
                </w:p>
                <w:p w14:paraId="1D83184A">
                  <w:pPr>
                    <w:pStyle w:val="20"/>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类别</w:t>
                  </w:r>
                </w:p>
              </w:tc>
              <w:tc>
                <w:tcPr>
                  <w:tcW w:w="1196" w:type="dxa"/>
                  <w:noWrap w:val="0"/>
                  <w:vAlign w:val="center"/>
                </w:tcPr>
                <w:p w14:paraId="22F7245E">
                  <w:pPr>
                    <w:pStyle w:val="20"/>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危险废物</w:t>
                  </w:r>
                </w:p>
                <w:p w14:paraId="2DECA2A6">
                  <w:pPr>
                    <w:pStyle w:val="20"/>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代码</w:t>
                  </w:r>
                </w:p>
              </w:tc>
              <w:tc>
                <w:tcPr>
                  <w:tcW w:w="854" w:type="dxa"/>
                  <w:noWrap w:val="0"/>
                  <w:vAlign w:val="center"/>
                </w:tcPr>
                <w:p w14:paraId="2916D4CA">
                  <w:pPr>
                    <w:pStyle w:val="20"/>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贮存</w:t>
                  </w:r>
                </w:p>
                <w:p w14:paraId="093C3486">
                  <w:pPr>
                    <w:pStyle w:val="20"/>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方式</w:t>
                  </w:r>
                </w:p>
              </w:tc>
              <w:tc>
                <w:tcPr>
                  <w:tcW w:w="613" w:type="dxa"/>
                  <w:noWrap w:val="0"/>
                  <w:vAlign w:val="center"/>
                </w:tcPr>
                <w:p w14:paraId="15FD5B5F">
                  <w:pPr>
                    <w:pStyle w:val="20"/>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贮存</w:t>
                  </w:r>
                </w:p>
                <w:p w14:paraId="52FB6BAF">
                  <w:pPr>
                    <w:pStyle w:val="20"/>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能力</w:t>
                  </w:r>
                </w:p>
              </w:tc>
              <w:tc>
                <w:tcPr>
                  <w:tcW w:w="822" w:type="dxa"/>
                  <w:noWrap w:val="0"/>
                  <w:vAlign w:val="center"/>
                </w:tcPr>
                <w:p w14:paraId="769130A5">
                  <w:pPr>
                    <w:pStyle w:val="20"/>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占地</w:t>
                  </w:r>
                </w:p>
                <w:p w14:paraId="1DF5E356">
                  <w:pPr>
                    <w:pStyle w:val="20"/>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面积</w:t>
                  </w:r>
                </w:p>
              </w:tc>
              <w:tc>
                <w:tcPr>
                  <w:tcW w:w="869" w:type="dxa"/>
                  <w:noWrap w:val="0"/>
                  <w:vAlign w:val="center"/>
                </w:tcPr>
                <w:p w14:paraId="52187E77">
                  <w:pPr>
                    <w:pStyle w:val="20"/>
                    <w:spacing w:before="0" w:beforeAutospacing="0" w:after="0" w:afterAutospacing="0"/>
                    <w:jc w:val="center"/>
                    <w:outlineLvl w:val="0"/>
                    <w:rPr>
                      <w:rFonts w:hint="eastAsia" w:ascii="Times New Roman" w:hAnsi="Times New Roman"/>
                      <w:snapToGrid w:val="0"/>
                      <w:color w:val="auto"/>
                      <w:sz w:val="21"/>
                      <w:szCs w:val="24"/>
                    </w:rPr>
                  </w:pPr>
                  <w:r>
                    <w:rPr>
                      <w:rFonts w:hint="eastAsia" w:ascii="Times New Roman" w:hAnsi="Times New Roman"/>
                      <w:snapToGrid w:val="0"/>
                      <w:color w:val="auto"/>
                      <w:sz w:val="21"/>
                      <w:szCs w:val="24"/>
                    </w:rPr>
                    <w:t>位置</w:t>
                  </w:r>
                </w:p>
              </w:tc>
              <w:tc>
                <w:tcPr>
                  <w:tcW w:w="590" w:type="dxa"/>
                  <w:noWrap w:val="0"/>
                  <w:vAlign w:val="center"/>
                </w:tcPr>
                <w:p w14:paraId="66A369A0">
                  <w:pPr>
                    <w:pStyle w:val="20"/>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贮存周期</w:t>
                  </w:r>
                </w:p>
              </w:tc>
            </w:tr>
            <w:tr w14:paraId="367825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26" w:type="dxa"/>
                  <w:noWrap w:val="0"/>
                  <w:vAlign w:val="center"/>
                </w:tcPr>
                <w:p w14:paraId="703C9F51">
                  <w:pPr>
                    <w:pStyle w:val="20"/>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1</w:t>
                  </w:r>
                </w:p>
              </w:tc>
              <w:tc>
                <w:tcPr>
                  <w:tcW w:w="452" w:type="dxa"/>
                  <w:vMerge w:val="restart"/>
                  <w:noWrap w:val="0"/>
                  <w:vAlign w:val="center"/>
                </w:tcPr>
                <w:p w14:paraId="281C267E">
                  <w:pPr>
                    <w:pStyle w:val="20"/>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危废</w:t>
                  </w:r>
                </w:p>
                <w:p w14:paraId="796C0494">
                  <w:pPr>
                    <w:pStyle w:val="20"/>
                    <w:spacing w:before="0" w:beforeAutospacing="0" w:after="0" w:afterAutospacing="0"/>
                    <w:jc w:val="center"/>
                    <w:outlineLvl w:val="0"/>
                    <w:rPr>
                      <w:rFonts w:hint="eastAsia" w:ascii="Times New Roman" w:hAnsi="Times New Roman" w:eastAsia="宋体"/>
                      <w:snapToGrid w:val="0"/>
                      <w:color w:val="auto"/>
                      <w:sz w:val="21"/>
                      <w:szCs w:val="24"/>
                      <w:lang w:eastAsia="zh-CN"/>
                    </w:rPr>
                  </w:pPr>
                  <w:r>
                    <w:rPr>
                      <w:rFonts w:hint="eastAsia" w:ascii="Times New Roman" w:hAnsi="Times New Roman"/>
                      <w:snapToGrid w:val="0"/>
                      <w:color w:val="auto"/>
                      <w:sz w:val="21"/>
                      <w:szCs w:val="24"/>
                      <w:lang w:val="en-US" w:eastAsia="zh-CN"/>
                    </w:rPr>
                    <w:t>暂存间</w:t>
                  </w:r>
                </w:p>
              </w:tc>
              <w:tc>
                <w:tcPr>
                  <w:tcW w:w="1275" w:type="dxa"/>
                  <w:noWrap w:val="0"/>
                  <w:vAlign w:val="center"/>
                </w:tcPr>
                <w:p w14:paraId="09071271">
                  <w:pPr>
                    <w:pStyle w:val="30"/>
                    <w:bidi w:val="0"/>
                    <w:ind w:firstLine="0" w:firstLineChars="0"/>
                    <w:rPr>
                      <w:rFonts w:ascii="Times New Roman" w:hAnsi="Times New Roman"/>
                      <w:snapToGrid w:val="0"/>
                      <w:color w:val="auto"/>
                      <w:sz w:val="21"/>
                      <w:szCs w:val="24"/>
                    </w:rPr>
                  </w:pPr>
                  <w:r>
                    <w:rPr>
                      <w:rFonts w:hint="eastAsia"/>
                      <w:color w:val="auto"/>
                      <w:lang w:val="en-US" w:eastAsia="zh-CN"/>
                    </w:rPr>
                    <w:t>废硅酮胶包装袋</w:t>
                  </w:r>
                </w:p>
              </w:tc>
              <w:tc>
                <w:tcPr>
                  <w:tcW w:w="776" w:type="dxa"/>
                  <w:noWrap w:val="0"/>
                  <w:vAlign w:val="center"/>
                </w:tcPr>
                <w:p w14:paraId="0F931531">
                  <w:pPr>
                    <w:pStyle w:val="30"/>
                    <w:bidi w:val="0"/>
                    <w:ind w:firstLine="0" w:firstLineChars="0"/>
                    <w:rPr>
                      <w:rFonts w:ascii="Times New Roman" w:hAnsi="Times New Roman"/>
                      <w:snapToGrid w:val="0"/>
                      <w:color w:val="auto"/>
                      <w:sz w:val="21"/>
                      <w:szCs w:val="24"/>
                    </w:rPr>
                  </w:pPr>
                  <w:r>
                    <w:rPr>
                      <w:rFonts w:hint="default" w:ascii="Times New Roman" w:hAnsi="Times New Roman" w:cs="Times New Roman"/>
                      <w:color w:val="auto"/>
                    </w:rPr>
                    <w:t>HW49</w:t>
                  </w:r>
                </w:p>
              </w:tc>
              <w:tc>
                <w:tcPr>
                  <w:tcW w:w="1196" w:type="dxa"/>
                  <w:noWrap w:val="0"/>
                  <w:vAlign w:val="center"/>
                </w:tcPr>
                <w:p w14:paraId="66624223">
                  <w:pPr>
                    <w:pStyle w:val="30"/>
                    <w:bidi w:val="0"/>
                    <w:ind w:firstLine="0" w:firstLineChars="0"/>
                    <w:rPr>
                      <w:rFonts w:ascii="Times New Roman" w:hAnsi="Times New Roman"/>
                      <w:snapToGrid w:val="0"/>
                      <w:color w:val="auto"/>
                      <w:sz w:val="21"/>
                      <w:szCs w:val="24"/>
                    </w:rPr>
                  </w:pPr>
                  <w:r>
                    <w:rPr>
                      <w:rFonts w:hint="default" w:ascii="Times New Roman" w:hAnsi="Times New Roman" w:cs="Times New Roman"/>
                      <w:color w:val="auto"/>
                    </w:rPr>
                    <w:t>900-041-49</w:t>
                  </w:r>
                </w:p>
              </w:tc>
              <w:tc>
                <w:tcPr>
                  <w:tcW w:w="854" w:type="dxa"/>
                  <w:noWrap w:val="0"/>
                  <w:vAlign w:val="center"/>
                </w:tcPr>
                <w:p w14:paraId="5E63BD15">
                  <w:pPr>
                    <w:adjustRightInd w:val="0"/>
                    <w:snapToGrid w:val="0"/>
                    <w:jc w:val="center"/>
                    <w:rPr>
                      <w:rFonts w:ascii="Times New Roman" w:hAnsi="Times New Roman"/>
                      <w:snapToGrid w:val="0"/>
                      <w:color w:val="auto"/>
                      <w:sz w:val="21"/>
                      <w:szCs w:val="24"/>
                    </w:rPr>
                  </w:pPr>
                  <w:r>
                    <w:rPr>
                      <w:rFonts w:hint="eastAsia"/>
                      <w:color w:val="auto"/>
                      <w:szCs w:val="18"/>
                      <w:lang w:val="en-US" w:eastAsia="zh-CN"/>
                    </w:rPr>
                    <w:t>桶装</w:t>
                  </w:r>
                </w:p>
              </w:tc>
              <w:tc>
                <w:tcPr>
                  <w:tcW w:w="613" w:type="dxa"/>
                  <w:vMerge w:val="restart"/>
                  <w:noWrap w:val="0"/>
                  <w:vAlign w:val="center"/>
                </w:tcPr>
                <w:p w14:paraId="6F7EAA5E">
                  <w:pPr>
                    <w:pStyle w:val="20"/>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lang w:val="en-US" w:eastAsia="zh-CN"/>
                    </w:rPr>
                    <w:t>20</w:t>
                  </w:r>
                  <w:r>
                    <w:rPr>
                      <w:rFonts w:hint="eastAsia" w:ascii="Times New Roman" w:hAnsi="Times New Roman"/>
                      <w:snapToGrid w:val="0"/>
                      <w:color w:val="auto"/>
                      <w:sz w:val="21"/>
                      <w:szCs w:val="24"/>
                    </w:rPr>
                    <w:t>t</w:t>
                  </w:r>
                </w:p>
              </w:tc>
              <w:tc>
                <w:tcPr>
                  <w:tcW w:w="822" w:type="dxa"/>
                  <w:vMerge w:val="restart"/>
                  <w:noWrap w:val="0"/>
                  <w:vAlign w:val="center"/>
                </w:tcPr>
                <w:p w14:paraId="2D72863F">
                  <w:pPr>
                    <w:pStyle w:val="20"/>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lang w:val="en-US" w:eastAsia="zh-CN"/>
                    </w:rPr>
                    <w:t>20</w:t>
                  </w:r>
                  <w:r>
                    <w:rPr>
                      <w:rFonts w:hint="eastAsia" w:ascii="Times New Roman" w:hAnsi="Times New Roman"/>
                      <w:snapToGrid w:val="0"/>
                      <w:color w:val="auto"/>
                      <w:sz w:val="21"/>
                      <w:szCs w:val="24"/>
                    </w:rPr>
                    <w:t>m</w:t>
                  </w:r>
                  <w:r>
                    <w:rPr>
                      <w:rFonts w:hint="eastAsia" w:ascii="Times New Roman" w:hAnsi="Times New Roman"/>
                      <w:snapToGrid w:val="0"/>
                      <w:color w:val="auto"/>
                      <w:sz w:val="21"/>
                      <w:szCs w:val="24"/>
                      <w:vertAlign w:val="superscript"/>
                    </w:rPr>
                    <w:t>2</w:t>
                  </w:r>
                </w:p>
              </w:tc>
              <w:tc>
                <w:tcPr>
                  <w:tcW w:w="869" w:type="dxa"/>
                  <w:vMerge w:val="restart"/>
                  <w:noWrap w:val="0"/>
                  <w:vAlign w:val="center"/>
                </w:tcPr>
                <w:p w14:paraId="279AAEAD">
                  <w:pPr>
                    <w:pStyle w:val="20"/>
                    <w:spacing w:before="0" w:beforeAutospacing="0" w:after="0" w:afterAutospacing="0"/>
                    <w:jc w:val="center"/>
                    <w:outlineLvl w:val="0"/>
                    <w:rPr>
                      <w:rFonts w:hint="eastAsia" w:ascii="Times New Roman" w:hAnsi="Times New Roman" w:eastAsia="宋体"/>
                      <w:snapToGrid w:val="0"/>
                      <w:color w:val="auto"/>
                      <w:sz w:val="21"/>
                      <w:szCs w:val="24"/>
                      <w:lang w:eastAsia="zh-CN"/>
                    </w:rPr>
                  </w:pPr>
                  <w:r>
                    <w:rPr>
                      <w:rFonts w:hint="eastAsia" w:ascii="Times New Roman" w:hAnsi="Times New Roman"/>
                      <w:snapToGrid w:val="0"/>
                      <w:color w:val="auto"/>
                      <w:sz w:val="21"/>
                      <w:szCs w:val="24"/>
                    </w:rPr>
                    <w:t>位于</w:t>
                  </w:r>
                  <w:r>
                    <w:rPr>
                      <w:rFonts w:hint="eastAsia" w:ascii="Times New Roman" w:hAnsi="Times New Roman"/>
                      <w:snapToGrid w:val="0"/>
                      <w:color w:val="auto"/>
                      <w:sz w:val="21"/>
                      <w:szCs w:val="24"/>
                      <w:lang w:val="en-US" w:eastAsia="zh-CN"/>
                    </w:rPr>
                    <w:t>生产厂房</w:t>
                  </w:r>
                </w:p>
              </w:tc>
              <w:tc>
                <w:tcPr>
                  <w:tcW w:w="590" w:type="dxa"/>
                  <w:vMerge w:val="restart"/>
                  <w:noWrap w:val="0"/>
                  <w:vAlign w:val="center"/>
                </w:tcPr>
                <w:p w14:paraId="795482F6">
                  <w:pPr>
                    <w:pStyle w:val="20"/>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lang w:val="en-US" w:eastAsia="zh-CN"/>
                    </w:rPr>
                    <w:t>6</w:t>
                  </w:r>
                  <w:r>
                    <w:rPr>
                      <w:rFonts w:hint="eastAsia" w:ascii="Times New Roman" w:hAnsi="Times New Roman"/>
                      <w:snapToGrid w:val="0"/>
                      <w:color w:val="auto"/>
                      <w:sz w:val="21"/>
                      <w:szCs w:val="24"/>
                    </w:rPr>
                    <w:t>个月</w:t>
                  </w:r>
                </w:p>
              </w:tc>
            </w:tr>
            <w:tr w14:paraId="292B23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426" w:type="dxa"/>
                  <w:noWrap w:val="0"/>
                  <w:vAlign w:val="center"/>
                </w:tcPr>
                <w:p w14:paraId="76F4A688">
                  <w:pPr>
                    <w:pStyle w:val="20"/>
                    <w:spacing w:before="0" w:beforeAutospacing="0" w:after="0" w:afterAutospacing="0"/>
                    <w:jc w:val="center"/>
                    <w:outlineLvl w:val="0"/>
                    <w:rPr>
                      <w:rFonts w:hint="eastAsia" w:ascii="Times New Roman" w:hAnsi="Times New Roman" w:eastAsia="宋体"/>
                      <w:snapToGrid w:val="0"/>
                      <w:color w:val="auto"/>
                      <w:sz w:val="21"/>
                      <w:szCs w:val="24"/>
                      <w:lang w:val="en-US" w:eastAsia="zh-CN"/>
                    </w:rPr>
                  </w:pPr>
                  <w:r>
                    <w:rPr>
                      <w:rFonts w:hint="eastAsia" w:ascii="Times New Roman" w:hAnsi="Times New Roman"/>
                      <w:snapToGrid w:val="0"/>
                      <w:color w:val="auto"/>
                      <w:sz w:val="21"/>
                      <w:szCs w:val="24"/>
                      <w:lang w:val="en-US" w:eastAsia="zh-CN"/>
                    </w:rPr>
                    <w:t>2</w:t>
                  </w:r>
                </w:p>
              </w:tc>
              <w:tc>
                <w:tcPr>
                  <w:tcW w:w="452" w:type="dxa"/>
                  <w:vMerge w:val="continue"/>
                  <w:noWrap w:val="0"/>
                  <w:vAlign w:val="center"/>
                </w:tcPr>
                <w:p w14:paraId="7022E5CE">
                  <w:pPr>
                    <w:pStyle w:val="20"/>
                    <w:spacing w:before="0" w:beforeAutospacing="0" w:after="0" w:afterAutospacing="0"/>
                    <w:jc w:val="center"/>
                    <w:outlineLvl w:val="0"/>
                    <w:rPr>
                      <w:rFonts w:hint="eastAsia" w:ascii="Times New Roman" w:hAnsi="Times New Roman"/>
                      <w:snapToGrid w:val="0"/>
                      <w:color w:val="auto"/>
                      <w:sz w:val="21"/>
                      <w:szCs w:val="24"/>
                    </w:rPr>
                  </w:pPr>
                </w:p>
              </w:tc>
              <w:tc>
                <w:tcPr>
                  <w:tcW w:w="1275" w:type="dxa"/>
                  <w:noWrap w:val="0"/>
                  <w:vAlign w:val="center"/>
                </w:tcPr>
                <w:p w14:paraId="2DAF306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snapToGrid w:val="0"/>
                      <w:color w:val="auto"/>
                      <w:sz w:val="21"/>
                      <w:szCs w:val="24"/>
                    </w:rPr>
                  </w:pPr>
                  <w:r>
                    <w:rPr>
                      <w:rFonts w:hint="eastAsia"/>
                      <w:color w:val="auto"/>
                      <w:sz w:val="21"/>
                    </w:rPr>
                    <w:t>废活性炭</w:t>
                  </w:r>
                </w:p>
              </w:tc>
              <w:tc>
                <w:tcPr>
                  <w:tcW w:w="776" w:type="dxa"/>
                  <w:noWrap w:val="0"/>
                  <w:vAlign w:val="center"/>
                </w:tcPr>
                <w:p w14:paraId="4B1860BF">
                  <w:pPr>
                    <w:adjustRightInd w:val="0"/>
                    <w:snapToGrid w:val="0"/>
                    <w:jc w:val="center"/>
                    <w:rPr>
                      <w:rFonts w:hint="eastAsia" w:ascii="Times New Roman" w:hAnsi="Times New Roman"/>
                      <w:snapToGrid w:val="0"/>
                      <w:color w:val="auto"/>
                      <w:sz w:val="21"/>
                      <w:szCs w:val="24"/>
                    </w:rPr>
                  </w:pPr>
                  <w:r>
                    <w:rPr>
                      <w:rFonts w:hint="eastAsia"/>
                      <w:color w:val="auto"/>
                      <w:spacing w:val="-11"/>
                      <w:szCs w:val="18"/>
                    </w:rPr>
                    <w:t>HW49</w:t>
                  </w:r>
                </w:p>
              </w:tc>
              <w:tc>
                <w:tcPr>
                  <w:tcW w:w="1196" w:type="dxa"/>
                  <w:noWrap w:val="0"/>
                  <w:vAlign w:val="center"/>
                </w:tcPr>
                <w:p w14:paraId="43DB8787">
                  <w:pPr>
                    <w:adjustRightInd w:val="0"/>
                    <w:snapToGrid w:val="0"/>
                    <w:jc w:val="center"/>
                    <w:rPr>
                      <w:rFonts w:hint="eastAsia" w:ascii="Times New Roman" w:hAnsi="Times New Roman"/>
                      <w:snapToGrid w:val="0"/>
                      <w:color w:val="auto"/>
                      <w:sz w:val="21"/>
                      <w:szCs w:val="24"/>
                    </w:rPr>
                  </w:pPr>
                  <w:r>
                    <w:rPr>
                      <w:rFonts w:hint="eastAsia"/>
                      <w:color w:val="auto"/>
                      <w:spacing w:val="-11"/>
                      <w:szCs w:val="18"/>
                    </w:rPr>
                    <w:t>900-039-49</w:t>
                  </w:r>
                </w:p>
              </w:tc>
              <w:tc>
                <w:tcPr>
                  <w:tcW w:w="854" w:type="dxa"/>
                  <w:noWrap w:val="0"/>
                  <w:vAlign w:val="center"/>
                </w:tcPr>
                <w:p w14:paraId="1C00B973">
                  <w:pPr>
                    <w:adjustRightInd w:val="0"/>
                    <w:snapToGrid w:val="0"/>
                    <w:jc w:val="center"/>
                    <w:rPr>
                      <w:rFonts w:hint="eastAsia" w:ascii="Times New Roman" w:hAnsi="Times New Roman"/>
                      <w:snapToGrid w:val="0"/>
                      <w:color w:val="auto"/>
                      <w:sz w:val="21"/>
                      <w:szCs w:val="24"/>
                    </w:rPr>
                  </w:pPr>
                  <w:r>
                    <w:rPr>
                      <w:rFonts w:hint="eastAsia"/>
                      <w:color w:val="auto"/>
                      <w:szCs w:val="18"/>
                    </w:rPr>
                    <w:t>袋装</w:t>
                  </w:r>
                </w:p>
              </w:tc>
              <w:tc>
                <w:tcPr>
                  <w:tcW w:w="613" w:type="dxa"/>
                  <w:vMerge w:val="continue"/>
                  <w:noWrap w:val="0"/>
                  <w:vAlign w:val="center"/>
                </w:tcPr>
                <w:p w14:paraId="2F915F84">
                  <w:pPr>
                    <w:pStyle w:val="20"/>
                    <w:spacing w:before="0" w:beforeAutospacing="0" w:after="0" w:afterAutospacing="0"/>
                    <w:jc w:val="center"/>
                    <w:outlineLvl w:val="0"/>
                    <w:rPr>
                      <w:rFonts w:hint="eastAsia" w:ascii="Times New Roman" w:hAnsi="Times New Roman"/>
                      <w:snapToGrid w:val="0"/>
                      <w:color w:val="auto"/>
                      <w:sz w:val="21"/>
                      <w:szCs w:val="24"/>
                      <w:lang w:val="en-US" w:eastAsia="zh-CN"/>
                    </w:rPr>
                  </w:pPr>
                </w:p>
              </w:tc>
              <w:tc>
                <w:tcPr>
                  <w:tcW w:w="822" w:type="dxa"/>
                  <w:vMerge w:val="continue"/>
                  <w:noWrap w:val="0"/>
                  <w:vAlign w:val="center"/>
                </w:tcPr>
                <w:p w14:paraId="6781F3A5">
                  <w:pPr>
                    <w:pStyle w:val="20"/>
                    <w:spacing w:before="0" w:beforeAutospacing="0" w:after="0" w:afterAutospacing="0"/>
                    <w:jc w:val="center"/>
                    <w:outlineLvl w:val="0"/>
                    <w:rPr>
                      <w:rFonts w:hint="eastAsia" w:ascii="Times New Roman" w:hAnsi="Times New Roman"/>
                      <w:snapToGrid w:val="0"/>
                      <w:color w:val="auto"/>
                      <w:sz w:val="21"/>
                      <w:szCs w:val="24"/>
                      <w:lang w:val="en-US" w:eastAsia="zh-CN"/>
                    </w:rPr>
                  </w:pPr>
                </w:p>
              </w:tc>
              <w:tc>
                <w:tcPr>
                  <w:tcW w:w="869" w:type="dxa"/>
                  <w:vMerge w:val="continue"/>
                  <w:noWrap w:val="0"/>
                  <w:vAlign w:val="center"/>
                </w:tcPr>
                <w:p w14:paraId="578C2E45">
                  <w:pPr>
                    <w:pStyle w:val="20"/>
                    <w:spacing w:before="0" w:beforeAutospacing="0" w:after="0" w:afterAutospacing="0"/>
                    <w:jc w:val="center"/>
                    <w:outlineLvl w:val="0"/>
                    <w:rPr>
                      <w:rFonts w:hint="eastAsia" w:ascii="Times New Roman" w:hAnsi="Times New Roman"/>
                      <w:snapToGrid w:val="0"/>
                      <w:color w:val="auto"/>
                      <w:sz w:val="21"/>
                      <w:szCs w:val="24"/>
                    </w:rPr>
                  </w:pPr>
                </w:p>
              </w:tc>
              <w:tc>
                <w:tcPr>
                  <w:tcW w:w="590" w:type="dxa"/>
                  <w:vMerge w:val="continue"/>
                  <w:noWrap w:val="0"/>
                  <w:vAlign w:val="center"/>
                </w:tcPr>
                <w:p w14:paraId="194E6A03">
                  <w:pPr>
                    <w:pStyle w:val="20"/>
                    <w:spacing w:before="0" w:beforeAutospacing="0" w:after="0" w:afterAutospacing="0"/>
                    <w:jc w:val="center"/>
                    <w:outlineLvl w:val="0"/>
                    <w:rPr>
                      <w:rFonts w:hint="eastAsia" w:ascii="Times New Roman" w:hAnsi="Times New Roman"/>
                      <w:snapToGrid w:val="0"/>
                      <w:color w:val="auto"/>
                      <w:sz w:val="21"/>
                      <w:szCs w:val="24"/>
                      <w:lang w:val="en-US" w:eastAsia="zh-CN"/>
                    </w:rPr>
                  </w:pPr>
                </w:p>
              </w:tc>
            </w:tr>
          </w:tbl>
          <w:p w14:paraId="0FB9B89D">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hint="eastAsia" w:ascii="Times New Roman" w:hAnsi="Times New Roman" w:eastAsia="宋体" w:cs="宋体"/>
                <w:color w:val="auto"/>
                <w:kern w:val="2"/>
                <w:szCs w:val="24"/>
                <w:lang w:val="en-US" w:eastAsia="zh-CN"/>
              </w:rPr>
            </w:pPr>
            <w:r>
              <w:rPr>
                <w:rFonts w:ascii="Times New Roman" w:hAnsi="Times New Roman"/>
                <w:snapToGrid w:val="0"/>
                <w:color w:val="auto"/>
                <w:szCs w:val="24"/>
              </w:rPr>
              <w:t>本项目</w:t>
            </w:r>
            <w:r>
              <w:rPr>
                <w:rFonts w:hint="eastAsia" w:ascii="Times New Roman" w:hAnsi="Times New Roman"/>
                <w:snapToGrid w:val="0"/>
                <w:color w:val="auto"/>
                <w:szCs w:val="24"/>
                <w:lang w:eastAsia="zh-CN"/>
              </w:rPr>
              <w:t>危废暂存间</w:t>
            </w:r>
            <w:r>
              <w:rPr>
                <w:rFonts w:ascii="Times New Roman" w:hAnsi="Times New Roman"/>
                <w:snapToGrid w:val="0"/>
                <w:color w:val="auto"/>
                <w:szCs w:val="24"/>
              </w:rPr>
              <w:t>面积为</w:t>
            </w:r>
            <w:r>
              <w:rPr>
                <w:rFonts w:hint="eastAsia" w:ascii="Times New Roman" w:hAnsi="Times New Roman"/>
                <w:snapToGrid w:val="0"/>
                <w:color w:val="auto"/>
                <w:szCs w:val="24"/>
                <w:lang w:val="en-US" w:eastAsia="zh-CN"/>
              </w:rPr>
              <w:t>20</w:t>
            </w:r>
            <w:r>
              <w:rPr>
                <w:rFonts w:ascii="Times New Roman" w:hAnsi="Times New Roman"/>
                <w:snapToGrid w:val="0"/>
                <w:color w:val="auto"/>
                <w:szCs w:val="24"/>
              </w:rPr>
              <w:t>m</w:t>
            </w:r>
            <w:r>
              <w:rPr>
                <w:rFonts w:ascii="Times New Roman" w:hAnsi="Times New Roman"/>
                <w:snapToGrid w:val="0"/>
                <w:color w:val="auto"/>
                <w:szCs w:val="24"/>
                <w:vertAlign w:val="superscript"/>
              </w:rPr>
              <w:t>2</w:t>
            </w:r>
            <w:r>
              <w:rPr>
                <w:rFonts w:ascii="Times New Roman" w:hAnsi="Times New Roman"/>
                <w:snapToGrid w:val="0"/>
                <w:color w:val="auto"/>
                <w:szCs w:val="24"/>
              </w:rPr>
              <w:t>，设计危险废物的最大堆放高度取1.0m，所堆放危险废物的平均密度取1.0g/cm</w:t>
            </w:r>
            <w:r>
              <w:rPr>
                <w:rFonts w:ascii="Times New Roman" w:hAnsi="Times New Roman"/>
                <w:snapToGrid w:val="0"/>
                <w:color w:val="auto"/>
                <w:szCs w:val="24"/>
                <w:vertAlign w:val="superscript"/>
              </w:rPr>
              <w:t>3</w:t>
            </w:r>
            <w:r>
              <w:rPr>
                <w:rFonts w:ascii="Times New Roman" w:hAnsi="Times New Roman"/>
                <w:snapToGrid w:val="0"/>
                <w:color w:val="auto"/>
                <w:szCs w:val="24"/>
              </w:rPr>
              <w:t>，经计算，本项目</w:t>
            </w:r>
            <w:r>
              <w:rPr>
                <w:rFonts w:hint="eastAsia" w:ascii="Times New Roman" w:hAnsi="Times New Roman"/>
                <w:snapToGrid w:val="0"/>
                <w:color w:val="auto"/>
                <w:szCs w:val="24"/>
                <w:lang w:eastAsia="zh-CN"/>
              </w:rPr>
              <w:t>危废暂存间</w:t>
            </w:r>
            <w:r>
              <w:rPr>
                <w:rFonts w:ascii="Times New Roman" w:hAnsi="Times New Roman"/>
                <w:snapToGrid w:val="0"/>
                <w:color w:val="auto"/>
                <w:szCs w:val="24"/>
              </w:rPr>
              <w:t>最大储存量为</w:t>
            </w:r>
            <w:r>
              <w:rPr>
                <w:rFonts w:hint="eastAsia" w:ascii="Times New Roman" w:hAnsi="Times New Roman"/>
                <w:snapToGrid w:val="0"/>
                <w:color w:val="auto"/>
                <w:szCs w:val="24"/>
                <w:lang w:val="en-US" w:eastAsia="zh-CN"/>
              </w:rPr>
              <w:t>20</w:t>
            </w:r>
            <w:r>
              <w:rPr>
                <w:rFonts w:ascii="Times New Roman" w:hAnsi="Times New Roman"/>
                <w:snapToGrid w:val="0"/>
                <w:color w:val="auto"/>
                <w:szCs w:val="24"/>
              </w:rPr>
              <w:t>t，本项目危废最大</w:t>
            </w:r>
            <w:r>
              <w:rPr>
                <w:rFonts w:hint="eastAsia" w:ascii="Times New Roman" w:hAnsi="Times New Roman" w:eastAsia="宋体" w:cs="宋体"/>
                <w:color w:val="auto"/>
                <w:kern w:val="2"/>
                <w:szCs w:val="24"/>
                <w:lang w:val="en-US" w:eastAsia="zh-CN"/>
              </w:rPr>
              <w:t>产生量约为</w:t>
            </w:r>
            <w:r>
              <w:rPr>
                <w:rFonts w:hint="eastAsia" w:ascii="Times New Roman" w:hAnsi="Times New Roman" w:cs="宋体"/>
                <w:color w:val="auto"/>
                <w:kern w:val="2"/>
                <w:szCs w:val="24"/>
                <w:lang w:val="en-US" w:eastAsia="zh-CN"/>
              </w:rPr>
              <w:t>2.96</w:t>
            </w:r>
            <w:r>
              <w:rPr>
                <w:rFonts w:hint="eastAsia" w:ascii="Times New Roman" w:hAnsi="Times New Roman" w:eastAsia="宋体" w:cs="宋体"/>
                <w:color w:val="auto"/>
                <w:kern w:val="2"/>
                <w:szCs w:val="24"/>
                <w:lang w:val="en-US" w:eastAsia="zh-CN"/>
              </w:rPr>
              <w:t>t/a，贮存周期为</w:t>
            </w:r>
            <w:r>
              <w:rPr>
                <w:rFonts w:hint="eastAsia" w:ascii="Times New Roman" w:hAnsi="Times New Roman" w:cs="宋体"/>
                <w:color w:val="auto"/>
                <w:kern w:val="2"/>
                <w:szCs w:val="24"/>
                <w:lang w:val="en-US" w:eastAsia="zh-CN"/>
              </w:rPr>
              <w:t>6</w:t>
            </w:r>
            <w:r>
              <w:rPr>
                <w:rFonts w:hint="eastAsia" w:ascii="Times New Roman" w:hAnsi="Times New Roman" w:eastAsia="宋体" w:cs="宋体"/>
                <w:color w:val="auto"/>
                <w:kern w:val="2"/>
                <w:szCs w:val="24"/>
                <w:lang w:val="en-US" w:eastAsia="zh-CN"/>
              </w:rPr>
              <w:t>个月，危废最大暂存量为</w:t>
            </w:r>
            <w:r>
              <w:rPr>
                <w:rFonts w:hint="eastAsia" w:ascii="Times New Roman" w:hAnsi="Times New Roman" w:cs="宋体"/>
                <w:color w:val="auto"/>
                <w:kern w:val="2"/>
                <w:szCs w:val="24"/>
                <w:lang w:val="en-US" w:eastAsia="zh-CN"/>
              </w:rPr>
              <w:t>1.48</w:t>
            </w:r>
            <w:r>
              <w:rPr>
                <w:rFonts w:hint="eastAsia" w:ascii="Times New Roman" w:hAnsi="Times New Roman" w:eastAsia="宋体" w:cs="宋体"/>
                <w:color w:val="auto"/>
                <w:kern w:val="2"/>
                <w:szCs w:val="24"/>
                <w:lang w:val="en-US" w:eastAsia="zh-CN"/>
              </w:rPr>
              <w:t>t/a，可满足本项目贮存要求。</w:t>
            </w:r>
          </w:p>
          <w:p w14:paraId="59193DD4">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ascii="Times New Roman" w:hAnsi="Times New Roman"/>
                <w:snapToGrid w:val="0"/>
                <w:color w:val="auto"/>
                <w:szCs w:val="24"/>
              </w:rPr>
            </w:pPr>
            <w:r>
              <w:rPr>
                <w:rFonts w:ascii="Times New Roman" w:hAnsi="Times New Roman"/>
                <w:snapToGrid w:val="0"/>
                <w:color w:val="auto"/>
                <w:szCs w:val="24"/>
              </w:rPr>
              <w:t>可满足本项目贮存要求。</w:t>
            </w:r>
          </w:p>
          <w:p w14:paraId="293948EC">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ascii="Times New Roman" w:hAnsi="Times New Roman" w:cs="宋体"/>
                <w:snapToGrid w:val="0"/>
                <w:color w:val="auto"/>
                <w:szCs w:val="24"/>
              </w:rPr>
            </w:pPr>
            <w:r>
              <w:rPr>
                <w:rFonts w:ascii="Times New Roman" w:hAnsi="Times New Roman"/>
                <w:color w:val="auto"/>
                <w:kern w:val="2"/>
                <w:szCs w:val="24"/>
              </w:rPr>
              <w:t>③</w:t>
            </w:r>
            <w:r>
              <w:rPr>
                <w:rFonts w:hint="eastAsia" w:ascii="Times New Roman" w:hAnsi="Times New Roman" w:cs="宋体"/>
                <w:snapToGrid w:val="0"/>
                <w:color w:val="auto"/>
                <w:szCs w:val="24"/>
              </w:rPr>
              <w:t>危废暂存</w:t>
            </w:r>
            <w:r>
              <w:rPr>
                <w:rFonts w:hint="eastAsia" w:ascii="Times New Roman" w:hAnsi="Times New Roman" w:cs="宋体"/>
                <w:snapToGrid w:val="0"/>
                <w:color w:val="auto"/>
                <w:szCs w:val="24"/>
                <w:lang w:val="en-US" w:eastAsia="zh-CN"/>
              </w:rPr>
              <w:t>设施</w:t>
            </w:r>
            <w:r>
              <w:rPr>
                <w:rFonts w:hint="eastAsia" w:ascii="Times New Roman" w:hAnsi="Times New Roman" w:cs="宋体"/>
                <w:snapToGrid w:val="0"/>
                <w:color w:val="auto"/>
                <w:szCs w:val="24"/>
              </w:rPr>
              <w:t>要求</w:t>
            </w:r>
          </w:p>
          <w:p w14:paraId="7414BDEB">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ascii="Times New Roman" w:hAnsi="Times New Roman"/>
                <w:snapToGrid w:val="0"/>
                <w:color w:val="auto"/>
                <w:szCs w:val="24"/>
              </w:rPr>
            </w:pPr>
            <w:r>
              <w:rPr>
                <w:rFonts w:ascii="Times New Roman" w:hAnsi="Times New Roman"/>
                <w:snapToGrid w:val="0"/>
                <w:color w:val="auto"/>
                <w:szCs w:val="24"/>
              </w:rPr>
              <w:t>◆危废暂存</w:t>
            </w:r>
            <w:r>
              <w:rPr>
                <w:rFonts w:hint="eastAsia" w:ascii="Times New Roman" w:hAnsi="Times New Roman"/>
                <w:snapToGrid w:val="0"/>
                <w:color w:val="auto"/>
                <w:szCs w:val="24"/>
                <w:lang w:val="en-US" w:eastAsia="zh-CN"/>
              </w:rPr>
              <w:t>间</w:t>
            </w:r>
            <w:r>
              <w:rPr>
                <w:rFonts w:ascii="Times New Roman" w:hAnsi="Times New Roman"/>
                <w:snapToGrid w:val="0"/>
                <w:color w:val="auto"/>
                <w:szCs w:val="24"/>
              </w:rPr>
              <w:t>的建设要满足《省生态环境厅关于进一步加强危险废物污染防治工作的实施意见》（苏环办〔2019〕327号）</w:t>
            </w:r>
            <w:r>
              <w:rPr>
                <w:rFonts w:hint="eastAsia" w:ascii="Times New Roman" w:hAnsi="Times New Roman"/>
                <w:snapToGrid w:val="0"/>
                <w:color w:val="auto"/>
                <w:szCs w:val="24"/>
              </w:rPr>
              <w:t>中</w:t>
            </w:r>
            <w:r>
              <w:rPr>
                <w:rFonts w:ascii="Times New Roman" w:hAnsi="Times New Roman"/>
                <w:snapToGrid w:val="0"/>
                <w:color w:val="auto"/>
                <w:szCs w:val="24"/>
              </w:rPr>
              <w:t>规定要求</w:t>
            </w:r>
            <w:r>
              <w:rPr>
                <w:rFonts w:hint="eastAsia" w:ascii="Times New Roman" w:hAnsi="Times New Roman"/>
                <w:snapToGrid w:val="0"/>
                <w:color w:val="auto"/>
                <w:szCs w:val="24"/>
              </w:rPr>
              <w:t>，危废暂存库内要做到防风、防雨、防渗漏，要设置照明设施、监控设施、导流槽、收集井等</w:t>
            </w:r>
            <w:r>
              <w:rPr>
                <w:rFonts w:ascii="Times New Roman" w:hAnsi="Times New Roman"/>
                <w:snapToGrid w:val="0"/>
                <w:color w:val="auto"/>
                <w:szCs w:val="24"/>
              </w:rPr>
              <w:t>。</w:t>
            </w:r>
          </w:p>
          <w:p w14:paraId="29422536">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危废暂存</w:t>
            </w:r>
            <w:r>
              <w:rPr>
                <w:rFonts w:hint="eastAsia" w:cs="宋体"/>
                <w:snapToGrid w:val="0"/>
                <w:color w:val="auto"/>
                <w:szCs w:val="24"/>
                <w:lang w:val="en-US" w:eastAsia="zh-CN"/>
              </w:rPr>
              <w:t>间</w:t>
            </w:r>
            <w:r>
              <w:rPr>
                <w:rFonts w:hint="eastAsia" w:cs="宋体"/>
                <w:snapToGrid w:val="0"/>
                <w:color w:val="auto"/>
                <w:szCs w:val="24"/>
              </w:rPr>
              <w:t>内危废要分区存放，禁止将不相容（相互反应）的危险废物存放在同一容器内。无法装入常用容器的危险废物可用防漏胶袋等盛装。</w:t>
            </w:r>
          </w:p>
          <w:p w14:paraId="5BEA88AB">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危险废物贮存容器应当使用符合标准的容器盛装危险废物，装载危险废物的容器及材质要满足相应的强度要求，装载危险废物的容器必须完好无损。盛装危险废物的容器材质和衬里要与危险废物相容（不相互反应）。</w:t>
            </w:r>
          </w:p>
          <w:p w14:paraId="16D23A39">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hint="eastAsia" w:cs="宋体"/>
                <w:snapToGrid w:val="0"/>
                <w:color w:val="auto"/>
                <w:szCs w:val="24"/>
              </w:rPr>
              <w:t>④危险废物运输要求</w:t>
            </w:r>
          </w:p>
          <w:p w14:paraId="767E1328">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hint="eastAsia" w:cs="宋体"/>
                <w:snapToGrid w:val="0"/>
                <w:color w:val="auto"/>
                <w:szCs w:val="24"/>
              </w:rPr>
              <w:t>本项目危险废物转移时，要委托有危废运输资质的运输单位进行运输，危险废物运输中要做到以下几点：</w:t>
            </w:r>
          </w:p>
          <w:p w14:paraId="12226817">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危险废物的运输车辆须经主管单位检查，并持有有关单位签发的许可证，负责运输的司机应通过培训，持有证明文件。</w:t>
            </w:r>
          </w:p>
          <w:p w14:paraId="7319791F">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承载危险废物的车辆须有明显的标志或适当的危险符号，以引起注意。</w:t>
            </w:r>
          </w:p>
          <w:p w14:paraId="1ACBC2F3">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载有危险废物的车辆在公路上行驶时，需持有运输许可证，其上应注明废物来源、性质和运往地点。</w:t>
            </w:r>
          </w:p>
          <w:p w14:paraId="771D1F13">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组织危险废物的运输单位，在事先需</w:t>
            </w:r>
            <w:r>
              <w:rPr>
                <w:rFonts w:hint="eastAsia" w:cs="宋体"/>
                <w:snapToGrid w:val="0"/>
                <w:color w:val="auto"/>
                <w:szCs w:val="24"/>
                <w:lang w:eastAsia="zh-CN"/>
              </w:rPr>
              <w:t>做出</w:t>
            </w:r>
            <w:r>
              <w:rPr>
                <w:rFonts w:hint="eastAsia" w:cs="宋体"/>
                <w:snapToGrid w:val="0"/>
                <w:color w:val="auto"/>
                <w:szCs w:val="24"/>
              </w:rPr>
              <w:t>周密的运输计划和行驶路线，其中包括有效的废物</w:t>
            </w:r>
            <w:r>
              <w:rPr>
                <w:rFonts w:hint="eastAsia" w:cs="宋体"/>
                <w:snapToGrid w:val="0"/>
                <w:color w:val="auto"/>
                <w:szCs w:val="24"/>
                <w:lang w:eastAsia="zh-CN"/>
              </w:rPr>
              <w:t>泄漏</w:t>
            </w:r>
            <w:r>
              <w:rPr>
                <w:rFonts w:hint="eastAsia" w:cs="宋体"/>
                <w:snapToGrid w:val="0"/>
                <w:color w:val="auto"/>
                <w:szCs w:val="24"/>
              </w:rPr>
              <w:t>情况下的应急措施。</w:t>
            </w:r>
          </w:p>
          <w:p w14:paraId="7EF6B118">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hint="eastAsia" w:cs="宋体"/>
                <w:snapToGrid w:val="0"/>
                <w:color w:val="auto"/>
                <w:szCs w:val="24"/>
              </w:rPr>
              <w:t>⑤危险废物其他管理要求</w:t>
            </w:r>
          </w:p>
          <w:p w14:paraId="1B59AF0A">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hint="eastAsia" w:cs="宋体"/>
                <w:snapToGrid w:val="0"/>
                <w:color w:val="auto"/>
                <w:szCs w:val="24"/>
              </w:rPr>
              <w:t>对于本项目危险废物的环境管理，还应做到以下几点：</w:t>
            </w:r>
          </w:p>
          <w:p w14:paraId="6184D150">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建设单位应通过“江苏省</w:t>
            </w:r>
            <w:r>
              <w:rPr>
                <w:rFonts w:hint="eastAsia" w:cs="宋体"/>
                <w:snapToGrid w:val="0"/>
                <w:color w:val="auto"/>
                <w:szCs w:val="24"/>
                <w:lang w:val="en-US" w:eastAsia="zh-CN"/>
              </w:rPr>
              <w:t>固体废物管理信息系统</w:t>
            </w:r>
            <w:r>
              <w:rPr>
                <w:rFonts w:hint="eastAsia" w:cs="宋体"/>
                <w:snapToGrid w:val="0"/>
                <w:color w:val="auto"/>
                <w:szCs w:val="24"/>
              </w:rPr>
              <w:t>”（江苏省生态环境厅网站）进行危险废物申报登记。将危险废物的实际产生、贮存、利用、处置等情况纳入生产记录，建立危险废物管理台账。</w:t>
            </w:r>
          </w:p>
          <w:p w14:paraId="50EAE88B">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必须明确企业为固体废物污染防治的责任主体，要求企业建立危废转移联单管理制度。</w:t>
            </w:r>
          </w:p>
          <w:p w14:paraId="22A56CBE">
            <w:pPr>
              <w:pStyle w:val="49"/>
              <w:keepNext w:val="0"/>
              <w:keepLines w:val="0"/>
              <w:pageBreakBefore w:val="0"/>
              <w:kinsoku/>
              <w:wordWrap/>
              <w:overflowPunct/>
              <w:topLinePunct w:val="0"/>
              <w:autoSpaceDE/>
              <w:autoSpaceDN/>
              <w:bidi w:val="0"/>
              <w:snapToGrid w:val="0"/>
              <w:spacing w:line="360" w:lineRule="auto"/>
              <w:ind w:firstLine="482"/>
              <w:jc w:val="both"/>
              <w:rPr>
                <w:rFonts w:ascii="Times New Roman" w:eastAsia="宋体"/>
                <w:b/>
                <w:color w:val="auto"/>
                <w:sz w:val="24"/>
                <w:szCs w:val="24"/>
              </w:rPr>
            </w:pPr>
            <w:r>
              <w:rPr>
                <w:rFonts w:hint="eastAsia" w:ascii="Times New Roman" w:eastAsia="宋体"/>
                <w:b/>
                <w:color w:val="auto"/>
                <w:sz w:val="24"/>
                <w:szCs w:val="24"/>
              </w:rPr>
              <w:t>五、地下水及土壤</w:t>
            </w:r>
          </w:p>
          <w:p w14:paraId="1AF243DE">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rFonts w:ascii="Times New Roman" w:hAnsi="Times New Roman"/>
                <w:snapToGrid w:val="0"/>
                <w:color w:val="auto"/>
                <w:szCs w:val="24"/>
              </w:rPr>
            </w:pPr>
            <w:r>
              <w:rPr>
                <w:rFonts w:ascii="Times New Roman" w:hAnsi="Times New Roman"/>
                <w:snapToGrid w:val="0"/>
                <w:color w:val="auto"/>
                <w:szCs w:val="24"/>
              </w:rPr>
              <w:t>本项目地面已做硬化处理，不存在地下水及土壤的污染途径，故本次评价仅提出防控措施。</w:t>
            </w:r>
          </w:p>
          <w:p w14:paraId="497C2B0C">
            <w:pPr>
              <w:pStyle w:val="20"/>
              <w:keepNext w:val="0"/>
              <w:keepLines w:val="0"/>
              <w:pageBreakBefore w:val="0"/>
              <w:kinsoku/>
              <w:wordWrap/>
              <w:overflowPunct/>
              <w:topLinePunct w:val="0"/>
              <w:autoSpaceDE/>
              <w:autoSpaceDN/>
              <w:bidi w:val="0"/>
              <w:spacing w:before="0" w:beforeAutospacing="0" w:after="0" w:afterAutospacing="0" w:line="360" w:lineRule="auto"/>
              <w:ind w:firstLine="480" w:firstLineChars="200"/>
              <w:jc w:val="both"/>
              <w:outlineLvl w:val="0"/>
              <w:rPr>
                <w:b/>
                <w:color w:val="auto"/>
                <w:sz w:val="21"/>
                <w:szCs w:val="21"/>
              </w:rPr>
            </w:pPr>
            <w:r>
              <w:rPr>
                <w:rFonts w:ascii="Times New Roman" w:hAnsi="Times New Roman"/>
                <w:snapToGrid w:val="0"/>
                <w:color w:val="auto"/>
                <w:szCs w:val="24"/>
              </w:rPr>
              <w:t>根据《环境影响评价技术导则地下水环境》（HJ610-2016）中的有关规定，将地下水污染防渗分区分为重点防渗区、一般防渗区和简单防渗区。防渗分区参照表及防渗分区划分表见下表。</w:t>
            </w:r>
          </w:p>
          <w:p w14:paraId="173722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1"/>
                <w:szCs w:val="21"/>
              </w:rPr>
            </w:pPr>
            <w:r>
              <w:rPr>
                <w:b/>
                <w:color w:val="auto"/>
                <w:sz w:val="21"/>
                <w:szCs w:val="21"/>
              </w:rPr>
              <w:t>表4-</w:t>
            </w:r>
            <w:r>
              <w:rPr>
                <w:rFonts w:hint="eastAsia"/>
                <w:b/>
                <w:color w:val="auto"/>
                <w:sz w:val="21"/>
                <w:szCs w:val="21"/>
                <w:lang w:val="en-US" w:eastAsia="zh-CN"/>
              </w:rPr>
              <w:t xml:space="preserve">22  </w:t>
            </w:r>
            <w:r>
              <w:rPr>
                <w:b/>
                <w:color w:val="auto"/>
                <w:sz w:val="21"/>
                <w:szCs w:val="21"/>
              </w:rPr>
              <w:t>污染控制难易程度分级参照表</w:t>
            </w:r>
          </w:p>
          <w:tbl>
            <w:tblPr>
              <w:tblStyle w:val="23"/>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5934"/>
            </w:tblGrid>
            <w:tr w14:paraId="129A3E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4" w:type="dxa"/>
                  <w:noWrap w:val="0"/>
                  <w:vAlign w:val="center"/>
                </w:tcPr>
                <w:p w14:paraId="3910CB4D">
                  <w:pPr>
                    <w:jc w:val="center"/>
                    <w:rPr>
                      <w:color w:val="auto"/>
                    </w:rPr>
                  </w:pPr>
                  <w:r>
                    <w:rPr>
                      <w:rFonts w:hint="eastAsia"/>
                      <w:color w:val="auto"/>
                    </w:rPr>
                    <w:t>污染控制难易程度</w:t>
                  </w:r>
                </w:p>
              </w:tc>
              <w:tc>
                <w:tcPr>
                  <w:tcW w:w="5934" w:type="dxa"/>
                  <w:noWrap w:val="0"/>
                  <w:vAlign w:val="center"/>
                </w:tcPr>
                <w:p w14:paraId="0FDFA5E1">
                  <w:pPr>
                    <w:jc w:val="center"/>
                    <w:rPr>
                      <w:color w:val="auto"/>
                    </w:rPr>
                  </w:pPr>
                  <w:r>
                    <w:rPr>
                      <w:rFonts w:hint="eastAsia"/>
                      <w:color w:val="auto"/>
                    </w:rPr>
                    <w:t>主要特征</w:t>
                  </w:r>
                </w:p>
              </w:tc>
            </w:tr>
            <w:tr w14:paraId="743336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4" w:type="dxa"/>
                  <w:noWrap w:val="0"/>
                  <w:vAlign w:val="center"/>
                </w:tcPr>
                <w:p w14:paraId="127F1B4F">
                  <w:pPr>
                    <w:jc w:val="center"/>
                    <w:rPr>
                      <w:color w:val="auto"/>
                    </w:rPr>
                  </w:pPr>
                  <w:r>
                    <w:rPr>
                      <w:rFonts w:hint="eastAsia"/>
                      <w:color w:val="auto"/>
                    </w:rPr>
                    <w:t>难</w:t>
                  </w:r>
                </w:p>
              </w:tc>
              <w:tc>
                <w:tcPr>
                  <w:tcW w:w="5934" w:type="dxa"/>
                  <w:noWrap w:val="0"/>
                  <w:vAlign w:val="center"/>
                </w:tcPr>
                <w:p w14:paraId="44C9A40B">
                  <w:pPr>
                    <w:jc w:val="center"/>
                    <w:rPr>
                      <w:color w:val="auto"/>
                    </w:rPr>
                  </w:pPr>
                  <w:r>
                    <w:rPr>
                      <w:rFonts w:hint="eastAsia"/>
                      <w:color w:val="auto"/>
                    </w:rPr>
                    <w:t>对地下水环境有污染的物料或污染物</w:t>
                  </w:r>
                  <w:r>
                    <w:rPr>
                      <w:rFonts w:hint="eastAsia"/>
                      <w:color w:val="auto"/>
                      <w:lang w:eastAsia="zh-CN"/>
                    </w:rPr>
                    <w:t>泄漏</w:t>
                  </w:r>
                  <w:r>
                    <w:rPr>
                      <w:rFonts w:hint="eastAsia"/>
                      <w:color w:val="auto"/>
                    </w:rPr>
                    <w:t>后，不能及时发现和处理</w:t>
                  </w:r>
                </w:p>
              </w:tc>
            </w:tr>
            <w:tr w14:paraId="7B48D5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04" w:type="dxa"/>
                  <w:noWrap w:val="0"/>
                  <w:vAlign w:val="center"/>
                </w:tcPr>
                <w:p w14:paraId="1BB1E1E7">
                  <w:pPr>
                    <w:jc w:val="center"/>
                    <w:rPr>
                      <w:color w:val="auto"/>
                    </w:rPr>
                  </w:pPr>
                  <w:r>
                    <w:rPr>
                      <w:rFonts w:hint="eastAsia"/>
                      <w:color w:val="auto"/>
                    </w:rPr>
                    <w:t>易</w:t>
                  </w:r>
                </w:p>
              </w:tc>
              <w:tc>
                <w:tcPr>
                  <w:tcW w:w="5934" w:type="dxa"/>
                  <w:noWrap w:val="0"/>
                  <w:vAlign w:val="center"/>
                </w:tcPr>
                <w:p w14:paraId="14D92AB4">
                  <w:pPr>
                    <w:jc w:val="center"/>
                    <w:rPr>
                      <w:color w:val="auto"/>
                    </w:rPr>
                  </w:pPr>
                  <w:r>
                    <w:rPr>
                      <w:rFonts w:hint="eastAsia"/>
                      <w:color w:val="auto"/>
                    </w:rPr>
                    <w:t>对地下水环境有污染的物料或污染物</w:t>
                  </w:r>
                  <w:r>
                    <w:rPr>
                      <w:rFonts w:hint="eastAsia"/>
                      <w:color w:val="auto"/>
                      <w:lang w:eastAsia="zh-CN"/>
                    </w:rPr>
                    <w:t>泄漏</w:t>
                  </w:r>
                  <w:r>
                    <w:rPr>
                      <w:rFonts w:hint="eastAsia"/>
                      <w:color w:val="auto"/>
                    </w:rPr>
                    <w:t>后，可及时发现和处理</w:t>
                  </w:r>
                </w:p>
              </w:tc>
            </w:tr>
          </w:tbl>
          <w:p w14:paraId="520AE42E">
            <w:pPr>
              <w:spacing w:before="120" w:beforeLines="50" w:line="240" w:lineRule="auto"/>
              <w:jc w:val="center"/>
              <w:rPr>
                <w:b/>
                <w:color w:val="auto"/>
                <w:sz w:val="21"/>
                <w:szCs w:val="21"/>
              </w:rPr>
            </w:pPr>
          </w:p>
          <w:p w14:paraId="45A7D4CD">
            <w:pPr>
              <w:spacing w:before="120" w:beforeLines="50" w:line="240" w:lineRule="auto"/>
              <w:jc w:val="center"/>
              <w:rPr>
                <w:b/>
                <w:color w:val="auto"/>
                <w:sz w:val="21"/>
                <w:szCs w:val="21"/>
              </w:rPr>
            </w:pPr>
          </w:p>
          <w:p w14:paraId="0B4E488E">
            <w:pPr>
              <w:spacing w:before="120" w:beforeLines="50" w:line="240" w:lineRule="auto"/>
              <w:jc w:val="center"/>
              <w:rPr>
                <w:b/>
                <w:color w:val="auto"/>
                <w:sz w:val="21"/>
                <w:szCs w:val="21"/>
              </w:rPr>
            </w:pPr>
          </w:p>
          <w:p w14:paraId="6202EEB9">
            <w:pPr>
              <w:spacing w:before="120" w:beforeLines="50" w:line="240" w:lineRule="auto"/>
              <w:jc w:val="center"/>
              <w:rPr>
                <w:b/>
                <w:color w:val="auto"/>
                <w:sz w:val="21"/>
                <w:szCs w:val="21"/>
              </w:rPr>
            </w:pPr>
          </w:p>
          <w:p w14:paraId="01EDFD80">
            <w:pPr>
              <w:spacing w:before="120" w:beforeLines="50" w:line="240" w:lineRule="auto"/>
              <w:jc w:val="center"/>
              <w:rPr>
                <w:b/>
                <w:color w:val="auto"/>
                <w:sz w:val="21"/>
                <w:szCs w:val="21"/>
              </w:rPr>
            </w:pPr>
          </w:p>
          <w:p w14:paraId="3E7A9A1D">
            <w:pPr>
              <w:spacing w:before="120" w:beforeLines="50" w:line="240" w:lineRule="auto"/>
              <w:jc w:val="center"/>
              <w:rPr>
                <w:b/>
                <w:color w:val="auto"/>
                <w:sz w:val="21"/>
                <w:szCs w:val="21"/>
              </w:rPr>
            </w:pPr>
          </w:p>
          <w:p w14:paraId="4B2EF42B">
            <w:pPr>
              <w:spacing w:before="120" w:beforeLines="50" w:line="240" w:lineRule="auto"/>
              <w:jc w:val="center"/>
              <w:rPr>
                <w:b/>
                <w:color w:val="auto"/>
                <w:sz w:val="21"/>
                <w:szCs w:val="21"/>
              </w:rPr>
            </w:pPr>
            <w:r>
              <w:rPr>
                <w:b/>
                <w:color w:val="auto"/>
                <w:sz w:val="21"/>
                <w:szCs w:val="21"/>
              </w:rPr>
              <w:t>表4-</w:t>
            </w:r>
            <w:r>
              <w:rPr>
                <w:rFonts w:hint="eastAsia"/>
                <w:b/>
                <w:color w:val="auto"/>
                <w:sz w:val="21"/>
                <w:szCs w:val="21"/>
                <w:lang w:val="en-US" w:eastAsia="zh-CN"/>
              </w:rPr>
              <w:t xml:space="preserve">23  </w:t>
            </w:r>
            <w:r>
              <w:rPr>
                <w:b/>
                <w:color w:val="auto"/>
                <w:sz w:val="21"/>
                <w:szCs w:val="21"/>
              </w:rPr>
              <w:t>天然包气带防污性能分级参照表</w:t>
            </w:r>
          </w:p>
          <w:tbl>
            <w:tblPr>
              <w:tblStyle w:val="23"/>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6820"/>
            </w:tblGrid>
            <w:tr w14:paraId="5E2D22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8" w:type="dxa"/>
                  <w:noWrap w:val="0"/>
                  <w:vAlign w:val="center"/>
                </w:tcPr>
                <w:p w14:paraId="46877851">
                  <w:pPr>
                    <w:jc w:val="center"/>
                    <w:rPr>
                      <w:color w:val="auto"/>
                      <w:szCs w:val="21"/>
                    </w:rPr>
                  </w:pPr>
                  <w:r>
                    <w:rPr>
                      <w:rFonts w:hint="eastAsia"/>
                      <w:color w:val="auto"/>
                      <w:szCs w:val="21"/>
                    </w:rPr>
                    <w:t>分级</w:t>
                  </w:r>
                </w:p>
              </w:tc>
              <w:tc>
                <w:tcPr>
                  <w:tcW w:w="6820" w:type="dxa"/>
                  <w:noWrap w:val="0"/>
                  <w:vAlign w:val="center"/>
                </w:tcPr>
                <w:p w14:paraId="0CAEAFE4">
                  <w:pPr>
                    <w:jc w:val="center"/>
                    <w:rPr>
                      <w:color w:val="auto"/>
                      <w:szCs w:val="21"/>
                    </w:rPr>
                  </w:pPr>
                  <w:r>
                    <w:rPr>
                      <w:rFonts w:hint="eastAsia"/>
                      <w:color w:val="auto"/>
                      <w:szCs w:val="21"/>
                    </w:rPr>
                    <w:t>包气带岩土的渗透性能</w:t>
                  </w:r>
                </w:p>
              </w:tc>
            </w:tr>
            <w:tr w14:paraId="3CDA5B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8" w:type="dxa"/>
                  <w:noWrap w:val="0"/>
                  <w:vAlign w:val="center"/>
                </w:tcPr>
                <w:p w14:paraId="373EDD92">
                  <w:pPr>
                    <w:jc w:val="center"/>
                    <w:rPr>
                      <w:color w:val="auto"/>
                      <w:szCs w:val="21"/>
                    </w:rPr>
                  </w:pPr>
                  <w:r>
                    <w:rPr>
                      <w:rFonts w:hint="eastAsia"/>
                      <w:color w:val="auto"/>
                      <w:szCs w:val="21"/>
                    </w:rPr>
                    <w:t>强</w:t>
                  </w:r>
                </w:p>
              </w:tc>
              <w:tc>
                <w:tcPr>
                  <w:tcW w:w="6820" w:type="dxa"/>
                  <w:noWrap w:val="0"/>
                  <w:vAlign w:val="center"/>
                </w:tcPr>
                <w:p w14:paraId="5AE15554">
                  <w:pPr>
                    <w:jc w:val="center"/>
                    <w:rPr>
                      <w:color w:val="auto"/>
                      <w:szCs w:val="21"/>
                    </w:rPr>
                  </w:pPr>
                  <w:r>
                    <w:rPr>
                      <w:rFonts w:hint="eastAsia"/>
                      <w:color w:val="auto"/>
                      <w:szCs w:val="21"/>
                    </w:rPr>
                    <w:t>岩（土）层单层厚度Mb≥1.0m，渗透系数K≤10</w:t>
                  </w:r>
                  <w:r>
                    <w:rPr>
                      <w:rFonts w:hint="eastAsia"/>
                      <w:color w:val="auto"/>
                      <w:szCs w:val="21"/>
                      <w:lang w:eastAsia="zh-CN"/>
                    </w:rPr>
                    <w:t>—</w:t>
                  </w:r>
                  <w:r>
                    <w:rPr>
                      <w:rFonts w:hint="eastAsia"/>
                      <w:color w:val="auto"/>
                      <w:szCs w:val="21"/>
                      <w:vertAlign w:val="superscript"/>
                    </w:rPr>
                    <w:t>6</w:t>
                  </w:r>
                  <w:r>
                    <w:rPr>
                      <w:rFonts w:hint="eastAsia"/>
                      <w:color w:val="auto"/>
                      <w:szCs w:val="21"/>
                    </w:rPr>
                    <w:t>cm/s，且分布连续、稳定。</w:t>
                  </w:r>
                </w:p>
              </w:tc>
            </w:tr>
            <w:tr w14:paraId="5DFF49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8" w:type="dxa"/>
                  <w:noWrap w:val="0"/>
                  <w:vAlign w:val="center"/>
                </w:tcPr>
                <w:p w14:paraId="0CEB2FAC">
                  <w:pPr>
                    <w:jc w:val="center"/>
                    <w:rPr>
                      <w:color w:val="auto"/>
                      <w:szCs w:val="21"/>
                    </w:rPr>
                  </w:pPr>
                  <w:r>
                    <w:rPr>
                      <w:rFonts w:hint="eastAsia"/>
                      <w:color w:val="auto"/>
                      <w:szCs w:val="21"/>
                    </w:rPr>
                    <w:t>中</w:t>
                  </w:r>
                </w:p>
              </w:tc>
              <w:tc>
                <w:tcPr>
                  <w:tcW w:w="6820" w:type="dxa"/>
                  <w:noWrap w:val="0"/>
                  <w:vAlign w:val="center"/>
                </w:tcPr>
                <w:p w14:paraId="69E8CD77">
                  <w:pPr>
                    <w:jc w:val="center"/>
                    <w:rPr>
                      <w:color w:val="auto"/>
                    </w:rPr>
                  </w:pPr>
                  <w:r>
                    <w:rPr>
                      <w:rFonts w:hint="eastAsia"/>
                      <w:color w:val="auto"/>
                    </w:rPr>
                    <w:t>岩（土）层单层厚度0.5m≤Mb≤1.0m，渗透系数K≤10</w:t>
                  </w:r>
                  <w:r>
                    <w:rPr>
                      <w:rFonts w:hint="eastAsia"/>
                      <w:color w:val="auto"/>
                      <w:lang w:eastAsia="zh-CN"/>
                    </w:rPr>
                    <w:t>—</w:t>
                  </w:r>
                  <w:r>
                    <w:rPr>
                      <w:rFonts w:hint="eastAsia"/>
                      <w:color w:val="auto"/>
                      <w:vertAlign w:val="superscript"/>
                    </w:rPr>
                    <w:t>6</w:t>
                  </w:r>
                  <w:r>
                    <w:rPr>
                      <w:rFonts w:hint="eastAsia"/>
                      <w:color w:val="auto"/>
                    </w:rPr>
                    <w:t>cm/s，且分布连续、稳定。</w:t>
                  </w:r>
                </w:p>
                <w:p w14:paraId="4E4425A6">
                  <w:pPr>
                    <w:pStyle w:val="2"/>
                    <w:spacing w:line="240" w:lineRule="auto"/>
                    <w:jc w:val="center"/>
                    <w:rPr>
                      <w:rFonts w:ascii="Times New Roman" w:hAnsi="Times New Roman"/>
                      <w:color w:val="auto"/>
                      <w:sz w:val="21"/>
                    </w:rPr>
                  </w:pPr>
                  <w:r>
                    <w:rPr>
                      <w:rFonts w:hint="eastAsia" w:ascii="Times New Roman" w:hAnsi="Times New Roman" w:cs="Times New Roman"/>
                      <w:b w:val="0"/>
                      <w:color w:val="auto"/>
                      <w:sz w:val="21"/>
                      <w:szCs w:val="21"/>
                    </w:rPr>
                    <w:t>岩（土）层单层厚度Mb≥1.0m，渗透系数10</w:t>
                  </w:r>
                  <w:r>
                    <w:rPr>
                      <w:rFonts w:hint="eastAsia" w:ascii="Times New Roman" w:hAnsi="Times New Roman" w:cs="Times New Roman"/>
                      <w:b w:val="0"/>
                      <w:color w:val="auto"/>
                      <w:sz w:val="21"/>
                      <w:szCs w:val="21"/>
                      <w:lang w:eastAsia="zh-CN"/>
                    </w:rPr>
                    <w:t>—</w:t>
                  </w:r>
                  <w:r>
                    <w:rPr>
                      <w:rFonts w:hint="eastAsia" w:ascii="Times New Roman" w:hAnsi="Times New Roman" w:cs="Times New Roman"/>
                      <w:b w:val="0"/>
                      <w:color w:val="auto"/>
                      <w:sz w:val="21"/>
                      <w:szCs w:val="21"/>
                      <w:vertAlign w:val="superscript"/>
                    </w:rPr>
                    <w:t>6</w:t>
                  </w:r>
                  <w:r>
                    <w:rPr>
                      <w:rFonts w:hint="eastAsia" w:ascii="Times New Roman" w:hAnsi="Times New Roman" w:cs="Times New Roman"/>
                      <w:b w:val="0"/>
                      <w:color w:val="auto"/>
                      <w:sz w:val="21"/>
                      <w:szCs w:val="21"/>
                    </w:rPr>
                    <w:t>cm/s</w:t>
                  </w:r>
                  <w:r>
                    <w:rPr>
                      <w:rFonts w:hint="eastAsia" w:ascii="Times New Roman" w:hAnsi="Times New Roman"/>
                      <w:color w:val="auto"/>
                      <w:sz w:val="21"/>
                    </w:rPr>
                    <w:t>≤</w:t>
                  </w:r>
                  <w:r>
                    <w:rPr>
                      <w:rFonts w:hint="eastAsia" w:ascii="Times New Roman" w:hAnsi="Times New Roman" w:cs="Times New Roman"/>
                      <w:b w:val="0"/>
                      <w:color w:val="auto"/>
                      <w:sz w:val="21"/>
                      <w:szCs w:val="21"/>
                    </w:rPr>
                    <w:t>K≤10</w:t>
                  </w:r>
                  <w:r>
                    <w:rPr>
                      <w:rFonts w:hint="eastAsia" w:ascii="Times New Roman" w:hAnsi="Times New Roman" w:cs="Times New Roman"/>
                      <w:b w:val="0"/>
                      <w:color w:val="auto"/>
                      <w:sz w:val="21"/>
                      <w:szCs w:val="21"/>
                      <w:lang w:eastAsia="zh-CN"/>
                    </w:rPr>
                    <w:t>—</w:t>
                  </w:r>
                  <w:r>
                    <w:rPr>
                      <w:rFonts w:hint="eastAsia" w:ascii="Times New Roman" w:hAnsi="Times New Roman" w:cs="Times New Roman"/>
                      <w:b w:val="0"/>
                      <w:color w:val="auto"/>
                      <w:sz w:val="21"/>
                      <w:szCs w:val="21"/>
                      <w:vertAlign w:val="superscript"/>
                    </w:rPr>
                    <w:t>4</w:t>
                  </w:r>
                  <w:r>
                    <w:rPr>
                      <w:rFonts w:hint="eastAsia" w:ascii="Times New Roman" w:hAnsi="Times New Roman" w:cs="Times New Roman"/>
                      <w:b w:val="0"/>
                      <w:color w:val="auto"/>
                      <w:sz w:val="21"/>
                      <w:szCs w:val="21"/>
                    </w:rPr>
                    <w:t>cm/s，且分布连续、稳定。</w:t>
                  </w:r>
                </w:p>
              </w:tc>
            </w:tr>
            <w:tr w14:paraId="1F1EF7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8" w:type="dxa"/>
                  <w:noWrap w:val="0"/>
                  <w:vAlign w:val="center"/>
                </w:tcPr>
                <w:p w14:paraId="256961F8">
                  <w:pPr>
                    <w:jc w:val="center"/>
                    <w:rPr>
                      <w:color w:val="auto"/>
                      <w:szCs w:val="21"/>
                    </w:rPr>
                  </w:pPr>
                  <w:r>
                    <w:rPr>
                      <w:rFonts w:hint="eastAsia"/>
                      <w:color w:val="auto"/>
                      <w:szCs w:val="21"/>
                    </w:rPr>
                    <w:t>弱</w:t>
                  </w:r>
                </w:p>
              </w:tc>
              <w:tc>
                <w:tcPr>
                  <w:tcW w:w="6820" w:type="dxa"/>
                  <w:noWrap w:val="0"/>
                  <w:vAlign w:val="center"/>
                </w:tcPr>
                <w:p w14:paraId="46D77027">
                  <w:pPr>
                    <w:jc w:val="center"/>
                    <w:rPr>
                      <w:color w:val="auto"/>
                      <w:szCs w:val="21"/>
                    </w:rPr>
                  </w:pPr>
                  <w:r>
                    <w:rPr>
                      <w:rFonts w:hint="eastAsia"/>
                      <w:color w:val="auto"/>
                      <w:szCs w:val="21"/>
                    </w:rPr>
                    <w:t>岩（土）层不满足上述“强”和“中”条件。</w:t>
                  </w:r>
                </w:p>
              </w:tc>
            </w:tr>
          </w:tbl>
          <w:p w14:paraId="1BC6E6B3">
            <w:pPr>
              <w:spacing w:before="120" w:beforeLines="50" w:line="240" w:lineRule="auto"/>
              <w:jc w:val="center"/>
              <w:rPr>
                <w:b/>
                <w:color w:val="auto"/>
                <w:sz w:val="21"/>
                <w:szCs w:val="21"/>
              </w:rPr>
            </w:pPr>
            <w:r>
              <w:rPr>
                <w:b/>
                <w:color w:val="auto"/>
                <w:sz w:val="21"/>
                <w:szCs w:val="21"/>
              </w:rPr>
              <w:t>表4-</w:t>
            </w:r>
            <w:r>
              <w:rPr>
                <w:rFonts w:hint="eastAsia"/>
                <w:b/>
                <w:color w:val="auto"/>
                <w:sz w:val="21"/>
                <w:szCs w:val="21"/>
                <w:lang w:val="en-US" w:eastAsia="zh-CN"/>
              </w:rPr>
              <w:t xml:space="preserve">24  </w:t>
            </w:r>
            <w:r>
              <w:rPr>
                <w:b/>
                <w:color w:val="auto"/>
                <w:sz w:val="21"/>
                <w:szCs w:val="21"/>
              </w:rPr>
              <w:t>地下水污染</w:t>
            </w:r>
            <w:r>
              <w:rPr>
                <w:rFonts w:hint="eastAsia"/>
                <w:b/>
                <w:color w:val="auto"/>
                <w:sz w:val="21"/>
                <w:szCs w:val="21"/>
                <w:lang w:eastAsia="zh-CN"/>
              </w:rPr>
              <w:t>防治</w:t>
            </w:r>
            <w:r>
              <w:rPr>
                <w:b/>
                <w:color w:val="auto"/>
                <w:sz w:val="21"/>
                <w:szCs w:val="21"/>
              </w:rPr>
              <w:t>分区参照表</w:t>
            </w:r>
          </w:p>
          <w:tbl>
            <w:tblPr>
              <w:tblStyle w:val="23"/>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295"/>
              <w:gridCol w:w="1255"/>
              <w:gridCol w:w="1595"/>
              <w:gridCol w:w="2375"/>
            </w:tblGrid>
            <w:tr w14:paraId="3FAF28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noWrap w:val="0"/>
                  <w:vAlign w:val="center"/>
                </w:tcPr>
                <w:p w14:paraId="6E78FDD7">
                  <w:pPr>
                    <w:jc w:val="center"/>
                    <w:rPr>
                      <w:color w:val="auto"/>
                    </w:rPr>
                  </w:pPr>
                  <w:r>
                    <w:rPr>
                      <w:rFonts w:hint="eastAsia"/>
                      <w:color w:val="auto"/>
                    </w:rPr>
                    <w:t>防渗分区</w:t>
                  </w:r>
                </w:p>
              </w:tc>
              <w:tc>
                <w:tcPr>
                  <w:tcW w:w="1295" w:type="dxa"/>
                  <w:noWrap w:val="0"/>
                  <w:vAlign w:val="center"/>
                </w:tcPr>
                <w:p w14:paraId="5113C716">
                  <w:pPr>
                    <w:jc w:val="center"/>
                    <w:rPr>
                      <w:color w:val="auto"/>
                    </w:rPr>
                  </w:pPr>
                  <w:r>
                    <w:rPr>
                      <w:rFonts w:hint="eastAsia"/>
                      <w:color w:val="auto"/>
                    </w:rPr>
                    <w:t>天然包气带防污性能</w:t>
                  </w:r>
                </w:p>
              </w:tc>
              <w:tc>
                <w:tcPr>
                  <w:tcW w:w="1255" w:type="dxa"/>
                  <w:noWrap w:val="0"/>
                  <w:vAlign w:val="center"/>
                </w:tcPr>
                <w:p w14:paraId="404151A5">
                  <w:pPr>
                    <w:jc w:val="center"/>
                    <w:rPr>
                      <w:color w:val="auto"/>
                    </w:rPr>
                  </w:pPr>
                  <w:r>
                    <w:rPr>
                      <w:rFonts w:hint="eastAsia"/>
                      <w:color w:val="auto"/>
                    </w:rPr>
                    <w:t>污染控制难易程度</w:t>
                  </w:r>
                </w:p>
              </w:tc>
              <w:tc>
                <w:tcPr>
                  <w:tcW w:w="1595" w:type="dxa"/>
                  <w:noWrap w:val="0"/>
                  <w:vAlign w:val="center"/>
                </w:tcPr>
                <w:p w14:paraId="76BD215F">
                  <w:pPr>
                    <w:jc w:val="center"/>
                    <w:rPr>
                      <w:color w:val="auto"/>
                    </w:rPr>
                  </w:pPr>
                  <w:r>
                    <w:rPr>
                      <w:rFonts w:hint="eastAsia"/>
                      <w:color w:val="auto"/>
                    </w:rPr>
                    <w:t>污染物类型</w:t>
                  </w:r>
                </w:p>
              </w:tc>
              <w:tc>
                <w:tcPr>
                  <w:tcW w:w="2375" w:type="dxa"/>
                  <w:noWrap w:val="0"/>
                  <w:vAlign w:val="center"/>
                </w:tcPr>
                <w:p w14:paraId="72501198">
                  <w:pPr>
                    <w:jc w:val="center"/>
                    <w:rPr>
                      <w:color w:val="auto"/>
                    </w:rPr>
                  </w:pPr>
                  <w:r>
                    <w:rPr>
                      <w:rFonts w:hint="eastAsia"/>
                      <w:color w:val="auto"/>
                    </w:rPr>
                    <w:t>防渗技术要求</w:t>
                  </w:r>
                </w:p>
              </w:tc>
            </w:tr>
            <w:tr w14:paraId="09408F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vMerge w:val="restart"/>
                  <w:noWrap w:val="0"/>
                  <w:vAlign w:val="center"/>
                </w:tcPr>
                <w:p w14:paraId="51400E23">
                  <w:pPr>
                    <w:jc w:val="center"/>
                    <w:rPr>
                      <w:color w:val="auto"/>
                    </w:rPr>
                  </w:pPr>
                  <w:r>
                    <w:rPr>
                      <w:rFonts w:hint="eastAsia"/>
                      <w:color w:val="auto"/>
                    </w:rPr>
                    <w:t>重点防渗区</w:t>
                  </w:r>
                </w:p>
              </w:tc>
              <w:tc>
                <w:tcPr>
                  <w:tcW w:w="1295" w:type="dxa"/>
                  <w:noWrap w:val="0"/>
                  <w:vAlign w:val="center"/>
                </w:tcPr>
                <w:p w14:paraId="38565AAF">
                  <w:pPr>
                    <w:jc w:val="center"/>
                    <w:rPr>
                      <w:color w:val="auto"/>
                    </w:rPr>
                  </w:pPr>
                  <w:r>
                    <w:rPr>
                      <w:rFonts w:hint="eastAsia"/>
                      <w:color w:val="auto"/>
                    </w:rPr>
                    <w:t>弱</w:t>
                  </w:r>
                </w:p>
              </w:tc>
              <w:tc>
                <w:tcPr>
                  <w:tcW w:w="1255" w:type="dxa"/>
                  <w:noWrap w:val="0"/>
                  <w:vAlign w:val="center"/>
                </w:tcPr>
                <w:p w14:paraId="2E34CEA4">
                  <w:pPr>
                    <w:jc w:val="center"/>
                    <w:rPr>
                      <w:color w:val="auto"/>
                    </w:rPr>
                  </w:pPr>
                  <w:r>
                    <w:rPr>
                      <w:rFonts w:hint="eastAsia"/>
                      <w:color w:val="auto"/>
                    </w:rPr>
                    <w:t>难</w:t>
                  </w:r>
                </w:p>
              </w:tc>
              <w:tc>
                <w:tcPr>
                  <w:tcW w:w="1595" w:type="dxa"/>
                  <w:vMerge w:val="restart"/>
                  <w:noWrap w:val="0"/>
                  <w:vAlign w:val="center"/>
                </w:tcPr>
                <w:p w14:paraId="01EB9D94">
                  <w:pPr>
                    <w:jc w:val="center"/>
                    <w:rPr>
                      <w:color w:val="auto"/>
                    </w:rPr>
                  </w:pPr>
                  <w:r>
                    <w:rPr>
                      <w:rFonts w:hint="eastAsia"/>
                      <w:color w:val="auto"/>
                    </w:rPr>
                    <w:t>重金属、持久性有机污染物</w:t>
                  </w:r>
                </w:p>
              </w:tc>
              <w:tc>
                <w:tcPr>
                  <w:tcW w:w="2375" w:type="dxa"/>
                  <w:vMerge w:val="restart"/>
                  <w:noWrap w:val="0"/>
                  <w:vAlign w:val="center"/>
                </w:tcPr>
                <w:p w14:paraId="66D09C12">
                  <w:pPr>
                    <w:jc w:val="center"/>
                    <w:rPr>
                      <w:color w:val="auto"/>
                    </w:rPr>
                  </w:pPr>
                  <w:r>
                    <w:rPr>
                      <w:rFonts w:hint="eastAsia"/>
                      <w:color w:val="auto"/>
                    </w:rPr>
                    <w:t>等效黏土防渗层Mb≥6.0m，K≤10</w:t>
                  </w:r>
                  <w:r>
                    <w:rPr>
                      <w:rFonts w:hint="eastAsia"/>
                      <w:color w:val="auto"/>
                      <w:lang w:eastAsia="zh-CN"/>
                    </w:rPr>
                    <w:t>—</w:t>
                  </w:r>
                  <w:r>
                    <w:rPr>
                      <w:rFonts w:hint="eastAsia"/>
                      <w:color w:val="auto"/>
                      <w:vertAlign w:val="superscript"/>
                    </w:rPr>
                    <w:t>7</w:t>
                  </w:r>
                  <w:r>
                    <w:rPr>
                      <w:rFonts w:hint="eastAsia"/>
                      <w:color w:val="auto"/>
                    </w:rPr>
                    <w:t>cm/s；或参照GB18598执行</w:t>
                  </w:r>
                </w:p>
              </w:tc>
            </w:tr>
            <w:tr w14:paraId="53208F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vMerge w:val="continue"/>
                  <w:noWrap w:val="0"/>
                  <w:vAlign w:val="center"/>
                </w:tcPr>
                <w:p w14:paraId="2E379712">
                  <w:pPr>
                    <w:jc w:val="center"/>
                    <w:rPr>
                      <w:color w:val="auto"/>
                    </w:rPr>
                  </w:pPr>
                </w:p>
              </w:tc>
              <w:tc>
                <w:tcPr>
                  <w:tcW w:w="1295" w:type="dxa"/>
                  <w:noWrap w:val="0"/>
                  <w:vAlign w:val="center"/>
                </w:tcPr>
                <w:p w14:paraId="4CFF9D04">
                  <w:pPr>
                    <w:jc w:val="center"/>
                    <w:rPr>
                      <w:color w:val="auto"/>
                    </w:rPr>
                  </w:pPr>
                  <w:r>
                    <w:rPr>
                      <w:rFonts w:hint="eastAsia"/>
                      <w:color w:val="auto"/>
                    </w:rPr>
                    <w:t>中-强</w:t>
                  </w:r>
                </w:p>
              </w:tc>
              <w:tc>
                <w:tcPr>
                  <w:tcW w:w="1255" w:type="dxa"/>
                  <w:noWrap w:val="0"/>
                  <w:vAlign w:val="center"/>
                </w:tcPr>
                <w:p w14:paraId="762EA685">
                  <w:pPr>
                    <w:jc w:val="center"/>
                    <w:rPr>
                      <w:color w:val="auto"/>
                    </w:rPr>
                  </w:pPr>
                  <w:r>
                    <w:rPr>
                      <w:rFonts w:hint="eastAsia"/>
                      <w:color w:val="auto"/>
                    </w:rPr>
                    <w:t>难</w:t>
                  </w:r>
                </w:p>
              </w:tc>
              <w:tc>
                <w:tcPr>
                  <w:tcW w:w="1595" w:type="dxa"/>
                  <w:vMerge w:val="continue"/>
                  <w:noWrap w:val="0"/>
                  <w:vAlign w:val="center"/>
                </w:tcPr>
                <w:p w14:paraId="6CCD66E6">
                  <w:pPr>
                    <w:jc w:val="center"/>
                    <w:rPr>
                      <w:color w:val="auto"/>
                    </w:rPr>
                  </w:pPr>
                </w:p>
              </w:tc>
              <w:tc>
                <w:tcPr>
                  <w:tcW w:w="2375" w:type="dxa"/>
                  <w:vMerge w:val="continue"/>
                  <w:noWrap w:val="0"/>
                  <w:vAlign w:val="center"/>
                </w:tcPr>
                <w:p w14:paraId="403B5104">
                  <w:pPr>
                    <w:jc w:val="center"/>
                    <w:rPr>
                      <w:color w:val="auto"/>
                    </w:rPr>
                  </w:pPr>
                </w:p>
              </w:tc>
            </w:tr>
            <w:tr w14:paraId="228E9C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vMerge w:val="continue"/>
                  <w:noWrap w:val="0"/>
                  <w:vAlign w:val="center"/>
                </w:tcPr>
                <w:p w14:paraId="21B7E77D">
                  <w:pPr>
                    <w:jc w:val="center"/>
                    <w:rPr>
                      <w:color w:val="auto"/>
                    </w:rPr>
                  </w:pPr>
                </w:p>
              </w:tc>
              <w:tc>
                <w:tcPr>
                  <w:tcW w:w="1295" w:type="dxa"/>
                  <w:noWrap w:val="0"/>
                  <w:vAlign w:val="center"/>
                </w:tcPr>
                <w:p w14:paraId="58C1AE35">
                  <w:pPr>
                    <w:jc w:val="center"/>
                    <w:rPr>
                      <w:color w:val="auto"/>
                    </w:rPr>
                  </w:pPr>
                  <w:r>
                    <w:rPr>
                      <w:rFonts w:hint="eastAsia"/>
                      <w:color w:val="auto"/>
                    </w:rPr>
                    <w:t>弱</w:t>
                  </w:r>
                </w:p>
              </w:tc>
              <w:tc>
                <w:tcPr>
                  <w:tcW w:w="1255" w:type="dxa"/>
                  <w:noWrap w:val="0"/>
                  <w:vAlign w:val="center"/>
                </w:tcPr>
                <w:p w14:paraId="5266B3A0">
                  <w:pPr>
                    <w:jc w:val="center"/>
                    <w:rPr>
                      <w:color w:val="auto"/>
                    </w:rPr>
                  </w:pPr>
                  <w:r>
                    <w:rPr>
                      <w:rFonts w:hint="eastAsia"/>
                      <w:color w:val="auto"/>
                    </w:rPr>
                    <w:t>易</w:t>
                  </w:r>
                </w:p>
              </w:tc>
              <w:tc>
                <w:tcPr>
                  <w:tcW w:w="1595" w:type="dxa"/>
                  <w:vMerge w:val="continue"/>
                  <w:noWrap w:val="0"/>
                  <w:vAlign w:val="center"/>
                </w:tcPr>
                <w:p w14:paraId="4F0D58B6">
                  <w:pPr>
                    <w:jc w:val="center"/>
                    <w:rPr>
                      <w:color w:val="auto"/>
                    </w:rPr>
                  </w:pPr>
                </w:p>
              </w:tc>
              <w:tc>
                <w:tcPr>
                  <w:tcW w:w="2375" w:type="dxa"/>
                  <w:vMerge w:val="continue"/>
                  <w:noWrap w:val="0"/>
                  <w:vAlign w:val="center"/>
                </w:tcPr>
                <w:p w14:paraId="21352F34">
                  <w:pPr>
                    <w:jc w:val="center"/>
                    <w:rPr>
                      <w:color w:val="auto"/>
                    </w:rPr>
                  </w:pPr>
                </w:p>
              </w:tc>
            </w:tr>
            <w:tr w14:paraId="599BB0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vMerge w:val="restart"/>
                  <w:noWrap w:val="0"/>
                  <w:vAlign w:val="center"/>
                </w:tcPr>
                <w:p w14:paraId="6971C56A">
                  <w:pPr>
                    <w:jc w:val="center"/>
                    <w:rPr>
                      <w:color w:val="auto"/>
                    </w:rPr>
                  </w:pPr>
                  <w:r>
                    <w:rPr>
                      <w:rFonts w:hint="eastAsia"/>
                      <w:color w:val="auto"/>
                    </w:rPr>
                    <w:t>一般防渗区</w:t>
                  </w:r>
                </w:p>
              </w:tc>
              <w:tc>
                <w:tcPr>
                  <w:tcW w:w="1295" w:type="dxa"/>
                  <w:noWrap w:val="0"/>
                  <w:vAlign w:val="center"/>
                </w:tcPr>
                <w:p w14:paraId="28A57826">
                  <w:pPr>
                    <w:jc w:val="center"/>
                    <w:rPr>
                      <w:color w:val="auto"/>
                    </w:rPr>
                  </w:pPr>
                  <w:r>
                    <w:rPr>
                      <w:rFonts w:hint="eastAsia"/>
                      <w:color w:val="auto"/>
                    </w:rPr>
                    <w:t>弱</w:t>
                  </w:r>
                </w:p>
              </w:tc>
              <w:tc>
                <w:tcPr>
                  <w:tcW w:w="1255" w:type="dxa"/>
                  <w:noWrap w:val="0"/>
                  <w:vAlign w:val="center"/>
                </w:tcPr>
                <w:p w14:paraId="635130B3">
                  <w:pPr>
                    <w:jc w:val="center"/>
                    <w:rPr>
                      <w:color w:val="auto"/>
                    </w:rPr>
                  </w:pPr>
                  <w:r>
                    <w:rPr>
                      <w:rFonts w:hint="eastAsia"/>
                      <w:color w:val="auto"/>
                    </w:rPr>
                    <w:t>易-难</w:t>
                  </w:r>
                </w:p>
              </w:tc>
              <w:tc>
                <w:tcPr>
                  <w:tcW w:w="1595" w:type="dxa"/>
                  <w:vMerge w:val="restart"/>
                  <w:noWrap w:val="0"/>
                  <w:vAlign w:val="center"/>
                </w:tcPr>
                <w:p w14:paraId="2B554C6C">
                  <w:pPr>
                    <w:jc w:val="center"/>
                    <w:rPr>
                      <w:color w:val="auto"/>
                    </w:rPr>
                  </w:pPr>
                  <w:r>
                    <w:rPr>
                      <w:rFonts w:hint="eastAsia"/>
                      <w:color w:val="auto"/>
                    </w:rPr>
                    <w:t>其他类型</w:t>
                  </w:r>
                </w:p>
              </w:tc>
              <w:tc>
                <w:tcPr>
                  <w:tcW w:w="2375" w:type="dxa"/>
                  <w:vMerge w:val="restart"/>
                  <w:noWrap w:val="0"/>
                  <w:vAlign w:val="center"/>
                </w:tcPr>
                <w:p w14:paraId="675BCAE8">
                  <w:pPr>
                    <w:jc w:val="center"/>
                    <w:rPr>
                      <w:color w:val="auto"/>
                    </w:rPr>
                  </w:pPr>
                  <w:r>
                    <w:rPr>
                      <w:rFonts w:hint="eastAsia"/>
                      <w:color w:val="auto"/>
                    </w:rPr>
                    <w:t>等效黏土防渗层Mb≥1.5m，K≤10</w:t>
                  </w:r>
                  <w:r>
                    <w:rPr>
                      <w:rFonts w:hint="eastAsia"/>
                      <w:color w:val="auto"/>
                      <w:lang w:eastAsia="zh-CN"/>
                    </w:rPr>
                    <w:t>—</w:t>
                  </w:r>
                  <w:r>
                    <w:rPr>
                      <w:rFonts w:hint="eastAsia"/>
                      <w:color w:val="auto"/>
                      <w:vertAlign w:val="superscript"/>
                    </w:rPr>
                    <w:t>7</w:t>
                  </w:r>
                  <w:r>
                    <w:rPr>
                      <w:rFonts w:hint="eastAsia"/>
                      <w:color w:val="auto"/>
                    </w:rPr>
                    <w:t>cm/s；或参照GB16889执行</w:t>
                  </w:r>
                </w:p>
              </w:tc>
            </w:tr>
            <w:tr w14:paraId="663466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vMerge w:val="continue"/>
                  <w:noWrap w:val="0"/>
                  <w:vAlign w:val="center"/>
                </w:tcPr>
                <w:p w14:paraId="6F96CBA5">
                  <w:pPr>
                    <w:jc w:val="center"/>
                    <w:rPr>
                      <w:color w:val="auto"/>
                    </w:rPr>
                  </w:pPr>
                </w:p>
              </w:tc>
              <w:tc>
                <w:tcPr>
                  <w:tcW w:w="1295" w:type="dxa"/>
                  <w:noWrap w:val="0"/>
                  <w:vAlign w:val="center"/>
                </w:tcPr>
                <w:p w14:paraId="6CEF3032">
                  <w:pPr>
                    <w:jc w:val="center"/>
                    <w:rPr>
                      <w:color w:val="auto"/>
                    </w:rPr>
                  </w:pPr>
                  <w:r>
                    <w:rPr>
                      <w:rFonts w:hint="eastAsia"/>
                      <w:color w:val="auto"/>
                    </w:rPr>
                    <w:t>中-强</w:t>
                  </w:r>
                </w:p>
              </w:tc>
              <w:tc>
                <w:tcPr>
                  <w:tcW w:w="1255" w:type="dxa"/>
                  <w:noWrap w:val="0"/>
                  <w:vAlign w:val="center"/>
                </w:tcPr>
                <w:p w14:paraId="7D40F5D1">
                  <w:pPr>
                    <w:jc w:val="center"/>
                    <w:rPr>
                      <w:color w:val="auto"/>
                    </w:rPr>
                  </w:pPr>
                  <w:r>
                    <w:rPr>
                      <w:rFonts w:hint="eastAsia"/>
                      <w:color w:val="auto"/>
                    </w:rPr>
                    <w:t>难</w:t>
                  </w:r>
                </w:p>
              </w:tc>
              <w:tc>
                <w:tcPr>
                  <w:tcW w:w="1595" w:type="dxa"/>
                  <w:vMerge w:val="continue"/>
                  <w:noWrap w:val="0"/>
                  <w:vAlign w:val="center"/>
                </w:tcPr>
                <w:p w14:paraId="1181EFFD">
                  <w:pPr>
                    <w:jc w:val="center"/>
                    <w:rPr>
                      <w:color w:val="auto"/>
                    </w:rPr>
                  </w:pPr>
                </w:p>
              </w:tc>
              <w:tc>
                <w:tcPr>
                  <w:tcW w:w="2375" w:type="dxa"/>
                  <w:vMerge w:val="continue"/>
                  <w:noWrap w:val="0"/>
                  <w:vAlign w:val="center"/>
                </w:tcPr>
                <w:p w14:paraId="125C87E0">
                  <w:pPr>
                    <w:jc w:val="center"/>
                    <w:rPr>
                      <w:color w:val="auto"/>
                    </w:rPr>
                  </w:pPr>
                </w:p>
              </w:tc>
            </w:tr>
            <w:tr w14:paraId="40E727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vMerge w:val="continue"/>
                  <w:noWrap w:val="0"/>
                  <w:vAlign w:val="center"/>
                </w:tcPr>
                <w:p w14:paraId="438927E7">
                  <w:pPr>
                    <w:jc w:val="center"/>
                    <w:rPr>
                      <w:color w:val="auto"/>
                    </w:rPr>
                  </w:pPr>
                </w:p>
              </w:tc>
              <w:tc>
                <w:tcPr>
                  <w:tcW w:w="1295" w:type="dxa"/>
                  <w:noWrap w:val="0"/>
                  <w:vAlign w:val="center"/>
                </w:tcPr>
                <w:p w14:paraId="044A8D57">
                  <w:pPr>
                    <w:jc w:val="center"/>
                    <w:rPr>
                      <w:color w:val="auto"/>
                    </w:rPr>
                  </w:pPr>
                  <w:r>
                    <w:rPr>
                      <w:rFonts w:hint="eastAsia"/>
                      <w:color w:val="auto"/>
                    </w:rPr>
                    <w:t>中</w:t>
                  </w:r>
                </w:p>
              </w:tc>
              <w:tc>
                <w:tcPr>
                  <w:tcW w:w="1255" w:type="dxa"/>
                  <w:noWrap w:val="0"/>
                  <w:vAlign w:val="center"/>
                </w:tcPr>
                <w:p w14:paraId="0315B073">
                  <w:pPr>
                    <w:jc w:val="center"/>
                    <w:rPr>
                      <w:color w:val="auto"/>
                    </w:rPr>
                  </w:pPr>
                  <w:r>
                    <w:rPr>
                      <w:rFonts w:hint="eastAsia"/>
                      <w:color w:val="auto"/>
                    </w:rPr>
                    <w:t>易</w:t>
                  </w:r>
                </w:p>
              </w:tc>
              <w:tc>
                <w:tcPr>
                  <w:tcW w:w="1595" w:type="dxa"/>
                  <w:vMerge w:val="restart"/>
                  <w:noWrap w:val="0"/>
                  <w:vAlign w:val="center"/>
                </w:tcPr>
                <w:p w14:paraId="1E285410">
                  <w:pPr>
                    <w:jc w:val="center"/>
                    <w:rPr>
                      <w:color w:val="auto"/>
                    </w:rPr>
                  </w:pPr>
                  <w:r>
                    <w:rPr>
                      <w:rFonts w:hint="eastAsia"/>
                      <w:color w:val="auto"/>
                    </w:rPr>
                    <w:t>重金属、持久性有机污染物</w:t>
                  </w:r>
                </w:p>
              </w:tc>
              <w:tc>
                <w:tcPr>
                  <w:tcW w:w="2375" w:type="dxa"/>
                  <w:vMerge w:val="continue"/>
                  <w:noWrap w:val="0"/>
                  <w:vAlign w:val="center"/>
                </w:tcPr>
                <w:p w14:paraId="59E4FAF5">
                  <w:pPr>
                    <w:jc w:val="center"/>
                    <w:rPr>
                      <w:color w:val="auto"/>
                    </w:rPr>
                  </w:pPr>
                </w:p>
              </w:tc>
            </w:tr>
            <w:tr w14:paraId="134DAF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vMerge w:val="continue"/>
                  <w:noWrap w:val="0"/>
                  <w:vAlign w:val="center"/>
                </w:tcPr>
                <w:p w14:paraId="46BFB87B">
                  <w:pPr>
                    <w:jc w:val="center"/>
                    <w:rPr>
                      <w:color w:val="auto"/>
                    </w:rPr>
                  </w:pPr>
                </w:p>
              </w:tc>
              <w:tc>
                <w:tcPr>
                  <w:tcW w:w="1295" w:type="dxa"/>
                  <w:noWrap w:val="0"/>
                  <w:vAlign w:val="center"/>
                </w:tcPr>
                <w:p w14:paraId="29AFAEEF">
                  <w:pPr>
                    <w:jc w:val="center"/>
                    <w:rPr>
                      <w:color w:val="auto"/>
                    </w:rPr>
                  </w:pPr>
                  <w:r>
                    <w:rPr>
                      <w:rFonts w:hint="eastAsia"/>
                      <w:color w:val="auto"/>
                    </w:rPr>
                    <w:t>强</w:t>
                  </w:r>
                </w:p>
              </w:tc>
              <w:tc>
                <w:tcPr>
                  <w:tcW w:w="1255" w:type="dxa"/>
                  <w:noWrap w:val="0"/>
                  <w:vAlign w:val="center"/>
                </w:tcPr>
                <w:p w14:paraId="5EBA461A">
                  <w:pPr>
                    <w:jc w:val="center"/>
                    <w:rPr>
                      <w:color w:val="auto"/>
                    </w:rPr>
                  </w:pPr>
                  <w:r>
                    <w:rPr>
                      <w:rFonts w:hint="eastAsia"/>
                      <w:color w:val="auto"/>
                    </w:rPr>
                    <w:t>易</w:t>
                  </w:r>
                </w:p>
              </w:tc>
              <w:tc>
                <w:tcPr>
                  <w:tcW w:w="1595" w:type="dxa"/>
                  <w:vMerge w:val="continue"/>
                  <w:noWrap w:val="0"/>
                  <w:vAlign w:val="center"/>
                </w:tcPr>
                <w:p w14:paraId="6B49CFD2">
                  <w:pPr>
                    <w:jc w:val="center"/>
                    <w:rPr>
                      <w:color w:val="auto"/>
                    </w:rPr>
                  </w:pPr>
                </w:p>
              </w:tc>
              <w:tc>
                <w:tcPr>
                  <w:tcW w:w="2375" w:type="dxa"/>
                  <w:vMerge w:val="continue"/>
                  <w:noWrap w:val="0"/>
                  <w:vAlign w:val="center"/>
                </w:tcPr>
                <w:p w14:paraId="5B762E38">
                  <w:pPr>
                    <w:jc w:val="center"/>
                    <w:rPr>
                      <w:color w:val="auto"/>
                    </w:rPr>
                  </w:pPr>
                </w:p>
              </w:tc>
            </w:tr>
            <w:tr w14:paraId="2449D9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18" w:type="dxa"/>
                  <w:noWrap w:val="0"/>
                  <w:vAlign w:val="center"/>
                </w:tcPr>
                <w:p w14:paraId="6DDB96BB">
                  <w:pPr>
                    <w:jc w:val="center"/>
                    <w:rPr>
                      <w:color w:val="auto"/>
                    </w:rPr>
                  </w:pPr>
                  <w:r>
                    <w:rPr>
                      <w:rFonts w:hint="eastAsia"/>
                      <w:color w:val="auto"/>
                    </w:rPr>
                    <w:t>简单防渗区</w:t>
                  </w:r>
                </w:p>
              </w:tc>
              <w:tc>
                <w:tcPr>
                  <w:tcW w:w="1295" w:type="dxa"/>
                  <w:noWrap w:val="0"/>
                  <w:vAlign w:val="center"/>
                </w:tcPr>
                <w:p w14:paraId="659F6F95">
                  <w:pPr>
                    <w:jc w:val="center"/>
                    <w:rPr>
                      <w:color w:val="auto"/>
                    </w:rPr>
                  </w:pPr>
                  <w:r>
                    <w:rPr>
                      <w:rFonts w:hint="eastAsia"/>
                      <w:color w:val="auto"/>
                    </w:rPr>
                    <w:t>中-强</w:t>
                  </w:r>
                </w:p>
              </w:tc>
              <w:tc>
                <w:tcPr>
                  <w:tcW w:w="1255" w:type="dxa"/>
                  <w:noWrap w:val="0"/>
                  <w:vAlign w:val="center"/>
                </w:tcPr>
                <w:p w14:paraId="7119D15D">
                  <w:pPr>
                    <w:jc w:val="center"/>
                    <w:rPr>
                      <w:color w:val="auto"/>
                    </w:rPr>
                  </w:pPr>
                  <w:r>
                    <w:rPr>
                      <w:rFonts w:hint="eastAsia"/>
                      <w:color w:val="auto"/>
                    </w:rPr>
                    <w:t>易</w:t>
                  </w:r>
                </w:p>
              </w:tc>
              <w:tc>
                <w:tcPr>
                  <w:tcW w:w="1595" w:type="dxa"/>
                  <w:noWrap w:val="0"/>
                  <w:vAlign w:val="center"/>
                </w:tcPr>
                <w:p w14:paraId="5CA77AB7">
                  <w:pPr>
                    <w:jc w:val="center"/>
                    <w:rPr>
                      <w:color w:val="auto"/>
                    </w:rPr>
                  </w:pPr>
                  <w:r>
                    <w:rPr>
                      <w:rFonts w:hint="eastAsia"/>
                      <w:color w:val="auto"/>
                    </w:rPr>
                    <w:t>其他类型</w:t>
                  </w:r>
                </w:p>
              </w:tc>
              <w:tc>
                <w:tcPr>
                  <w:tcW w:w="2375" w:type="dxa"/>
                  <w:noWrap w:val="0"/>
                  <w:vAlign w:val="center"/>
                </w:tcPr>
                <w:p w14:paraId="2F43A7C8">
                  <w:pPr>
                    <w:jc w:val="center"/>
                    <w:rPr>
                      <w:color w:val="auto"/>
                    </w:rPr>
                  </w:pPr>
                  <w:r>
                    <w:rPr>
                      <w:rFonts w:hint="eastAsia"/>
                      <w:color w:val="auto"/>
                    </w:rPr>
                    <w:t>一般地面硬化</w:t>
                  </w:r>
                </w:p>
              </w:tc>
            </w:tr>
          </w:tbl>
          <w:p w14:paraId="4D7B5410">
            <w:pPr>
              <w:spacing w:before="120" w:beforeLines="50" w:line="240" w:lineRule="auto"/>
              <w:jc w:val="center"/>
              <w:rPr>
                <w:b/>
                <w:color w:val="auto"/>
                <w:sz w:val="21"/>
                <w:szCs w:val="21"/>
              </w:rPr>
            </w:pPr>
            <w:r>
              <w:rPr>
                <w:b/>
                <w:color w:val="auto"/>
                <w:sz w:val="21"/>
                <w:szCs w:val="21"/>
              </w:rPr>
              <w:t>表4-</w:t>
            </w:r>
            <w:r>
              <w:rPr>
                <w:rFonts w:hint="eastAsia"/>
                <w:b/>
                <w:color w:val="auto"/>
                <w:sz w:val="21"/>
                <w:szCs w:val="21"/>
                <w:lang w:val="en-US" w:eastAsia="zh-CN"/>
              </w:rPr>
              <w:t xml:space="preserve">25  </w:t>
            </w:r>
            <w:r>
              <w:rPr>
                <w:rFonts w:hint="eastAsia"/>
                <w:b/>
                <w:color w:val="auto"/>
                <w:sz w:val="21"/>
                <w:szCs w:val="21"/>
              </w:rPr>
              <w:t>本项目</w:t>
            </w:r>
            <w:r>
              <w:rPr>
                <w:b/>
                <w:color w:val="auto"/>
                <w:sz w:val="21"/>
                <w:szCs w:val="21"/>
              </w:rPr>
              <w:t>地下水污染防渗分区划分表</w:t>
            </w:r>
          </w:p>
          <w:tbl>
            <w:tblPr>
              <w:tblStyle w:val="23"/>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427"/>
              <w:gridCol w:w="1290"/>
              <w:gridCol w:w="1986"/>
              <w:gridCol w:w="1568"/>
            </w:tblGrid>
            <w:tr w14:paraId="06BB6F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7" w:type="dxa"/>
                  <w:noWrap w:val="0"/>
                  <w:vAlign w:val="center"/>
                </w:tcPr>
                <w:p w14:paraId="4CF37B90">
                  <w:pPr>
                    <w:adjustRightInd w:val="0"/>
                    <w:snapToGrid w:val="0"/>
                    <w:jc w:val="center"/>
                    <w:rPr>
                      <w:color w:val="auto"/>
                    </w:rPr>
                  </w:pPr>
                  <w:r>
                    <w:rPr>
                      <w:rFonts w:hint="eastAsia"/>
                      <w:color w:val="auto"/>
                    </w:rPr>
                    <w:t>构、建筑物名称</w:t>
                  </w:r>
                </w:p>
              </w:tc>
              <w:tc>
                <w:tcPr>
                  <w:tcW w:w="1427" w:type="dxa"/>
                  <w:noWrap w:val="0"/>
                  <w:vAlign w:val="center"/>
                </w:tcPr>
                <w:p w14:paraId="3C348C15">
                  <w:pPr>
                    <w:adjustRightInd w:val="0"/>
                    <w:snapToGrid w:val="0"/>
                    <w:jc w:val="center"/>
                    <w:rPr>
                      <w:color w:val="auto"/>
                    </w:rPr>
                  </w:pPr>
                  <w:r>
                    <w:rPr>
                      <w:rFonts w:hint="eastAsia"/>
                      <w:color w:val="auto"/>
                    </w:rPr>
                    <w:t>天然包气带防污性能</w:t>
                  </w:r>
                </w:p>
              </w:tc>
              <w:tc>
                <w:tcPr>
                  <w:tcW w:w="1290" w:type="dxa"/>
                  <w:noWrap w:val="0"/>
                  <w:vAlign w:val="center"/>
                </w:tcPr>
                <w:p w14:paraId="3955E889">
                  <w:pPr>
                    <w:adjustRightInd w:val="0"/>
                    <w:snapToGrid w:val="0"/>
                    <w:jc w:val="center"/>
                    <w:rPr>
                      <w:color w:val="auto"/>
                    </w:rPr>
                  </w:pPr>
                  <w:r>
                    <w:rPr>
                      <w:rFonts w:hint="eastAsia"/>
                      <w:color w:val="auto"/>
                    </w:rPr>
                    <w:t>污染控制难易程度</w:t>
                  </w:r>
                </w:p>
              </w:tc>
              <w:tc>
                <w:tcPr>
                  <w:tcW w:w="1986" w:type="dxa"/>
                  <w:noWrap w:val="0"/>
                  <w:vAlign w:val="center"/>
                </w:tcPr>
                <w:p w14:paraId="3AA935DF">
                  <w:pPr>
                    <w:adjustRightInd w:val="0"/>
                    <w:snapToGrid w:val="0"/>
                    <w:jc w:val="center"/>
                    <w:rPr>
                      <w:color w:val="auto"/>
                    </w:rPr>
                  </w:pPr>
                  <w:r>
                    <w:rPr>
                      <w:rFonts w:hint="eastAsia"/>
                      <w:color w:val="auto"/>
                    </w:rPr>
                    <w:t>污染物类型</w:t>
                  </w:r>
                </w:p>
              </w:tc>
              <w:tc>
                <w:tcPr>
                  <w:tcW w:w="1568" w:type="dxa"/>
                  <w:noWrap w:val="0"/>
                  <w:vAlign w:val="center"/>
                </w:tcPr>
                <w:p w14:paraId="63528B44">
                  <w:pPr>
                    <w:adjustRightInd w:val="0"/>
                    <w:snapToGrid w:val="0"/>
                    <w:jc w:val="center"/>
                    <w:rPr>
                      <w:color w:val="auto"/>
                    </w:rPr>
                  </w:pPr>
                  <w:r>
                    <w:rPr>
                      <w:rFonts w:hint="eastAsia"/>
                      <w:color w:val="auto"/>
                    </w:rPr>
                    <w:t>防渗分区等级</w:t>
                  </w:r>
                </w:p>
              </w:tc>
            </w:tr>
            <w:tr w14:paraId="72249B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67" w:type="dxa"/>
                  <w:noWrap w:val="0"/>
                  <w:vAlign w:val="center"/>
                </w:tcPr>
                <w:p w14:paraId="75675C2F">
                  <w:pPr>
                    <w:adjustRightInd w:val="0"/>
                    <w:snapToGrid w:val="0"/>
                    <w:jc w:val="center"/>
                    <w:rPr>
                      <w:rFonts w:hint="default" w:eastAsia="宋体"/>
                      <w:color w:val="auto"/>
                      <w:lang w:val="en-US" w:eastAsia="zh-CN"/>
                    </w:rPr>
                  </w:pPr>
                  <w:r>
                    <w:rPr>
                      <w:rFonts w:hint="eastAsia"/>
                      <w:color w:val="auto"/>
                    </w:rPr>
                    <w:t>生产</w:t>
                  </w:r>
                  <w:r>
                    <w:rPr>
                      <w:rFonts w:hint="eastAsia"/>
                      <w:color w:val="auto"/>
                      <w:lang w:val="en-US" w:eastAsia="zh-CN"/>
                    </w:rPr>
                    <w:t>区、组装区</w:t>
                  </w:r>
                </w:p>
              </w:tc>
              <w:tc>
                <w:tcPr>
                  <w:tcW w:w="1427" w:type="dxa"/>
                  <w:noWrap w:val="0"/>
                  <w:vAlign w:val="center"/>
                </w:tcPr>
                <w:p w14:paraId="7CCB5AA0">
                  <w:pPr>
                    <w:adjustRightInd w:val="0"/>
                    <w:snapToGrid w:val="0"/>
                    <w:jc w:val="center"/>
                    <w:rPr>
                      <w:color w:val="auto"/>
                    </w:rPr>
                  </w:pPr>
                  <w:r>
                    <w:rPr>
                      <w:rFonts w:hint="eastAsia"/>
                      <w:color w:val="auto"/>
                    </w:rPr>
                    <w:t>中</w:t>
                  </w:r>
                </w:p>
              </w:tc>
              <w:tc>
                <w:tcPr>
                  <w:tcW w:w="1290" w:type="dxa"/>
                  <w:noWrap w:val="0"/>
                  <w:vAlign w:val="center"/>
                </w:tcPr>
                <w:p w14:paraId="7D88E9B5">
                  <w:pPr>
                    <w:adjustRightInd w:val="0"/>
                    <w:snapToGrid w:val="0"/>
                    <w:jc w:val="center"/>
                    <w:rPr>
                      <w:color w:val="auto"/>
                    </w:rPr>
                  </w:pPr>
                  <w:r>
                    <w:rPr>
                      <w:rFonts w:hint="eastAsia"/>
                      <w:color w:val="auto"/>
                    </w:rPr>
                    <w:t>易</w:t>
                  </w:r>
                </w:p>
              </w:tc>
              <w:tc>
                <w:tcPr>
                  <w:tcW w:w="1986" w:type="dxa"/>
                  <w:noWrap w:val="0"/>
                  <w:vAlign w:val="center"/>
                </w:tcPr>
                <w:p w14:paraId="1DF40822">
                  <w:pPr>
                    <w:adjustRightInd w:val="0"/>
                    <w:snapToGrid w:val="0"/>
                    <w:jc w:val="center"/>
                    <w:rPr>
                      <w:color w:val="auto"/>
                    </w:rPr>
                  </w:pPr>
                  <w:r>
                    <w:rPr>
                      <w:rFonts w:hint="eastAsia"/>
                      <w:color w:val="auto"/>
                    </w:rPr>
                    <w:t>其他类型</w:t>
                  </w:r>
                </w:p>
              </w:tc>
              <w:tc>
                <w:tcPr>
                  <w:tcW w:w="1568" w:type="dxa"/>
                  <w:noWrap w:val="0"/>
                  <w:vAlign w:val="center"/>
                </w:tcPr>
                <w:p w14:paraId="4686122E">
                  <w:pPr>
                    <w:adjustRightInd w:val="0"/>
                    <w:snapToGrid w:val="0"/>
                    <w:jc w:val="center"/>
                    <w:rPr>
                      <w:color w:val="auto"/>
                    </w:rPr>
                  </w:pPr>
                  <w:r>
                    <w:rPr>
                      <w:rFonts w:hint="eastAsia"/>
                      <w:color w:val="auto"/>
                    </w:rPr>
                    <w:t>简单防渗区</w:t>
                  </w:r>
                </w:p>
              </w:tc>
            </w:tr>
            <w:tr w14:paraId="3F88FE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67" w:type="dxa"/>
                  <w:noWrap w:val="0"/>
                  <w:vAlign w:val="center"/>
                </w:tcPr>
                <w:p w14:paraId="5E27EE7D">
                  <w:pPr>
                    <w:adjustRightInd w:val="0"/>
                    <w:snapToGrid w:val="0"/>
                    <w:jc w:val="center"/>
                    <w:rPr>
                      <w:rFonts w:hint="default" w:eastAsia="宋体"/>
                      <w:color w:val="auto"/>
                      <w:lang w:val="en-US" w:eastAsia="zh-CN"/>
                    </w:rPr>
                  </w:pPr>
                  <w:r>
                    <w:rPr>
                      <w:rFonts w:hint="eastAsia"/>
                      <w:color w:val="auto"/>
                      <w:lang w:val="en-US" w:eastAsia="zh-CN"/>
                    </w:rPr>
                    <w:t>成品区、原料区</w:t>
                  </w:r>
                </w:p>
              </w:tc>
              <w:tc>
                <w:tcPr>
                  <w:tcW w:w="1427" w:type="dxa"/>
                  <w:noWrap w:val="0"/>
                  <w:vAlign w:val="center"/>
                </w:tcPr>
                <w:p w14:paraId="54A228F1">
                  <w:pPr>
                    <w:adjustRightInd w:val="0"/>
                    <w:snapToGrid w:val="0"/>
                    <w:jc w:val="center"/>
                    <w:rPr>
                      <w:color w:val="auto"/>
                    </w:rPr>
                  </w:pPr>
                  <w:r>
                    <w:rPr>
                      <w:rFonts w:hint="eastAsia"/>
                      <w:color w:val="auto"/>
                    </w:rPr>
                    <w:t>中</w:t>
                  </w:r>
                </w:p>
              </w:tc>
              <w:tc>
                <w:tcPr>
                  <w:tcW w:w="1290" w:type="dxa"/>
                  <w:noWrap w:val="0"/>
                  <w:vAlign w:val="center"/>
                </w:tcPr>
                <w:p w14:paraId="24E7937D">
                  <w:pPr>
                    <w:adjustRightInd w:val="0"/>
                    <w:snapToGrid w:val="0"/>
                    <w:jc w:val="center"/>
                    <w:rPr>
                      <w:color w:val="auto"/>
                    </w:rPr>
                  </w:pPr>
                  <w:r>
                    <w:rPr>
                      <w:rFonts w:hint="eastAsia"/>
                      <w:color w:val="auto"/>
                    </w:rPr>
                    <w:t>易</w:t>
                  </w:r>
                </w:p>
              </w:tc>
              <w:tc>
                <w:tcPr>
                  <w:tcW w:w="1986" w:type="dxa"/>
                  <w:noWrap w:val="0"/>
                  <w:vAlign w:val="center"/>
                </w:tcPr>
                <w:p w14:paraId="0EB1C285">
                  <w:pPr>
                    <w:adjustRightInd w:val="0"/>
                    <w:snapToGrid w:val="0"/>
                    <w:jc w:val="center"/>
                    <w:rPr>
                      <w:color w:val="auto"/>
                    </w:rPr>
                  </w:pPr>
                  <w:r>
                    <w:rPr>
                      <w:rFonts w:hint="eastAsia"/>
                      <w:color w:val="auto"/>
                    </w:rPr>
                    <w:t>其他类型</w:t>
                  </w:r>
                </w:p>
              </w:tc>
              <w:tc>
                <w:tcPr>
                  <w:tcW w:w="1568" w:type="dxa"/>
                  <w:noWrap w:val="0"/>
                  <w:vAlign w:val="center"/>
                </w:tcPr>
                <w:p w14:paraId="6E459627">
                  <w:pPr>
                    <w:adjustRightInd w:val="0"/>
                    <w:snapToGrid w:val="0"/>
                    <w:jc w:val="center"/>
                    <w:rPr>
                      <w:color w:val="auto"/>
                    </w:rPr>
                  </w:pPr>
                  <w:r>
                    <w:rPr>
                      <w:rFonts w:hint="eastAsia"/>
                      <w:color w:val="auto"/>
                    </w:rPr>
                    <w:t>简单防渗区</w:t>
                  </w:r>
                </w:p>
              </w:tc>
            </w:tr>
            <w:tr w14:paraId="666804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67" w:type="dxa"/>
                  <w:noWrap w:val="0"/>
                  <w:vAlign w:val="center"/>
                </w:tcPr>
                <w:p w14:paraId="6CE9A639">
                  <w:pPr>
                    <w:adjustRightInd w:val="0"/>
                    <w:snapToGrid w:val="0"/>
                    <w:jc w:val="center"/>
                    <w:rPr>
                      <w:rFonts w:hint="default"/>
                      <w:color w:val="auto"/>
                      <w:lang w:val="en-US" w:eastAsia="zh-CN"/>
                    </w:rPr>
                  </w:pPr>
                  <w:r>
                    <w:rPr>
                      <w:rFonts w:hint="eastAsia"/>
                      <w:color w:val="auto"/>
                      <w:lang w:val="en-US" w:eastAsia="zh-CN"/>
                    </w:rPr>
                    <w:t>办公区</w:t>
                  </w:r>
                </w:p>
              </w:tc>
              <w:tc>
                <w:tcPr>
                  <w:tcW w:w="1427" w:type="dxa"/>
                  <w:noWrap w:val="0"/>
                  <w:vAlign w:val="center"/>
                </w:tcPr>
                <w:p w14:paraId="37034AA4">
                  <w:pPr>
                    <w:adjustRightInd w:val="0"/>
                    <w:snapToGrid w:val="0"/>
                    <w:jc w:val="center"/>
                    <w:rPr>
                      <w:rFonts w:hint="eastAsia" w:eastAsia="宋体"/>
                      <w:color w:val="auto"/>
                      <w:lang w:val="en-US" w:eastAsia="zh-CN"/>
                    </w:rPr>
                  </w:pPr>
                  <w:r>
                    <w:rPr>
                      <w:rFonts w:hint="eastAsia"/>
                      <w:color w:val="auto"/>
                      <w:lang w:val="en-US" w:eastAsia="zh-CN"/>
                    </w:rPr>
                    <w:t>中</w:t>
                  </w:r>
                </w:p>
              </w:tc>
              <w:tc>
                <w:tcPr>
                  <w:tcW w:w="1290" w:type="dxa"/>
                  <w:noWrap w:val="0"/>
                  <w:vAlign w:val="center"/>
                </w:tcPr>
                <w:p w14:paraId="5867F7AC">
                  <w:pPr>
                    <w:adjustRightInd w:val="0"/>
                    <w:snapToGrid w:val="0"/>
                    <w:jc w:val="center"/>
                    <w:rPr>
                      <w:rFonts w:hint="eastAsia" w:eastAsia="宋体"/>
                      <w:color w:val="auto"/>
                      <w:lang w:val="en-US" w:eastAsia="zh-CN"/>
                    </w:rPr>
                  </w:pPr>
                  <w:r>
                    <w:rPr>
                      <w:rFonts w:hint="eastAsia"/>
                      <w:color w:val="auto"/>
                      <w:lang w:val="en-US" w:eastAsia="zh-CN"/>
                    </w:rPr>
                    <w:t>易</w:t>
                  </w:r>
                </w:p>
              </w:tc>
              <w:tc>
                <w:tcPr>
                  <w:tcW w:w="1986" w:type="dxa"/>
                  <w:noWrap w:val="0"/>
                  <w:vAlign w:val="center"/>
                </w:tcPr>
                <w:p w14:paraId="0C0728C7">
                  <w:pPr>
                    <w:adjustRightInd w:val="0"/>
                    <w:snapToGrid w:val="0"/>
                    <w:jc w:val="center"/>
                    <w:rPr>
                      <w:rFonts w:hint="eastAsia"/>
                      <w:color w:val="auto"/>
                    </w:rPr>
                  </w:pPr>
                  <w:r>
                    <w:rPr>
                      <w:rFonts w:hint="eastAsia"/>
                      <w:color w:val="auto"/>
                    </w:rPr>
                    <w:t>其他类型</w:t>
                  </w:r>
                </w:p>
              </w:tc>
              <w:tc>
                <w:tcPr>
                  <w:tcW w:w="1568" w:type="dxa"/>
                  <w:noWrap w:val="0"/>
                  <w:vAlign w:val="center"/>
                </w:tcPr>
                <w:p w14:paraId="1A95DC6C">
                  <w:pPr>
                    <w:adjustRightInd w:val="0"/>
                    <w:snapToGrid w:val="0"/>
                    <w:jc w:val="center"/>
                    <w:rPr>
                      <w:rFonts w:hint="eastAsia"/>
                      <w:color w:val="auto"/>
                    </w:rPr>
                  </w:pPr>
                  <w:r>
                    <w:rPr>
                      <w:rFonts w:hint="eastAsia"/>
                      <w:color w:val="auto"/>
                    </w:rPr>
                    <w:t>简单防渗区</w:t>
                  </w:r>
                </w:p>
              </w:tc>
            </w:tr>
            <w:tr w14:paraId="0D7A88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567" w:type="dxa"/>
                  <w:noWrap w:val="0"/>
                  <w:vAlign w:val="center"/>
                </w:tcPr>
                <w:p w14:paraId="407A71AF">
                  <w:pPr>
                    <w:adjustRightInd w:val="0"/>
                    <w:snapToGrid w:val="0"/>
                    <w:jc w:val="center"/>
                    <w:rPr>
                      <w:rFonts w:hint="eastAsia" w:eastAsia="宋体"/>
                      <w:color w:val="auto"/>
                      <w:lang w:eastAsia="zh-CN"/>
                    </w:rPr>
                  </w:pPr>
                  <w:r>
                    <w:rPr>
                      <w:rFonts w:hint="eastAsia"/>
                      <w:color w:val="auto"/>
                      <w:lang w:eastAsia="zh-CN"/>
                    </w:rPr>
                    <w:t>危废暂存间</w:t>
                  </w:r>
                </w:p>
              </w:tc>
              <w:tc>
                <w:tcPr>
                  <w:tcW w:w="1427" w:type="dxa"/>
                  <w:noWrap w:val="0"/>
                  <w:vAlign w:val="center"/>
                </w:tcPr>
                <w:p w14:paraId="291551AF">
                  <w:pPr>
                    <w:adjustRightInd w:val="0"/>
                    <w:snapToGrid w:val="0"/>
                    <w:jc w:val="center"/>
                    <w:rPr>
                      <w:color w:val="auto"/>
                    </w:rPr>
                  </w:pPr>
                  <w:r>
                    <w:rPr>
                      <w:rFonts w:hint="eastAsia"/>
                      <w:color w:val="auto"/>
                    </w:rPr>
                    <w:t>中</w:t>
                  </w:r>
                </w:p>
              </w:tc>
              <w:tc>
                <w:tcPr>
                  <w:tcW w:w="1290" w:type="dxa"/>
                  <w:noWrap w:val="0"/>
                  <w:vAlign w:val="center"/>
                </w:tcPr>
                <w:p w14:paraId="6B3628A1">
                  <w:pPr>
                    <w:adjustRightInd w:val="0"/>
                    <w:snapToGrid w:val="0"/>
                    <w:jc w:val="center"/>
                    <w:rPr>
                      <w:color w:val="auto"/>
                    </w:rPr>
                  </w:pPr>
                  <w:r>
                    <w:rPr>
                      <w:rFonts w:hint="eastAsia"/>
                      <w:color w:val="auto"/>
                    </w:rPr>
                    <w:t>难</w:t>
                  </w:r>
                </w:p>
              </w:tc>
              <w:tc>
                <w:tcPr>
                  <w:tcW w:w="1986" w:type="dxa"/>
                  <w:noWrap w:val="0"/>
                  <w:vAlign w:val="center"/>
                </w:tcPr>
                <w:p w14:paraId="099A8EBC">
                  <w:pPr>
                    <w:adjustRightInd w:val="0"/>
                    <w:snapToGrid w:val="0"/>
                    <w:jc w:val="center"/>
                    <w:rPr>
                      <w:color w:val="auto"/>
                    </w:rPr>
                  </w:pPr>
                  <w:r>
                    <w:rPr>
                      <w:rFonts w:hint="eastAsia"/>
                      <w:color w:val="auto"/>
                    </w:rPr>
                    <w:t>持久性有机污染物</w:t>
                  </w:r>
                </w:p>
              </w:tc>
              <w:tc>
                <w:tcPr>
                  <w:tcW w:w="1568" w:type="dxa"/>
                  <w:noWrap w:val="0"/>
                  <w:vAlign w:val="center"/>
                </w:tcPr>
                <w:p w14:paraId="4E65DA80">
                  <w:pPr>
                    <w:adjustRightInd w:val="0"/>
                    <w:snapToGrid w:val="0"/>
                    <w:jc w:val="center"/>
                    <w:rPr>
                      <w:color w:val="auto"/>
                    </w:rPr>
                  </w:pPr>
                  <w:r>
                    <w:rPr>
                      <w:rFonts w:hint="eastAsia"/>
                      <w:color w:val="auto"/>
                    </w:rPr>
                    <w:t>重点防渗区</w:t>
                  </w:r>
                </w:p>
              </w:tc>
            </w:tr>
          </w:tbl>
          <w:p w14:paraId="733548E3">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rPr>
            </w:pPr>
            <w:r>
              <w:rPr>
                <w:color w:val="auto"/>
                <w:sz w:val="24"/>
              </w:rPr>
              <w:t>根据《环境影响评价技术导则地下水环境》（HJ610-2016）与《危险废物贮存污染控制标准》（GB18597-20</w:t>
            </w:r>
            <w:r>
              <w:rPr>
                <w:rFonts w:hint="eastAsia"/>
                <w:color w:val="auto"/>
                <w:sz w:val="24"/>
                <w:lang w:val="en-US" w:eastAsia="zh-CN"/>
              </w:rPr>
              <w:t>23</w:t>
            </w:r>
            <w:r>
              <w:rPr>
                <w:color w:val="auto"/>
                <w:sz w:val="24"/>
              </w:rPr>
              <w:t>），企业必须满足下列要求：</w:t>
            </w:r>
          </w:p>
          <w:p w14:paraId="1CA00B63">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rPr>
            </w:pPr>
            <w:r>
              <w:rPr>
                <w:color w:val="auto"/>
                <w:sz w:val="24"/>
              </w:rPr>
              <w:fldChar w:fldCharType="begin"/>
            </w:r>
            <w:r>
              <w:rPr>
                <w:color w:val="auto"/>
                <w:sz w:val="24"/>
              </w:rPr>
              <w:instrText xml:space="preserve"> = 1 \* GB3 </w:instrText>
            </w:r>
            <w:r>
              <w:rPr>
                <w:color w:val="auto"/>
                <w:sz w:val="24"/>
              </w:rPr>
              <w:fldChar w:fldCharType="separate"/>
            </w:r>
            <w:r>
              <w:rPr>
                <w:color w:val="auto"/>
                <w:sz w:val="24"/>
              </w:rPr>
              <w:t>①</w:t>
            </w:r>
            <w:r>
              <w:rPr>
                <w:color w:val="auto"/>
                <w:sz w:val="24"/>
              </w:rPr>
              <w:fldChar w:fldCharType="end"/>
            </w:r>
            <w:r>
              <w:rPr>
                <w:rFonts w:hint="eastAsia"/>
                <w:color w:val="auto"/>
                <w:sz w:val="24"/>
              </w:rPr>
              <w:t>生产</w:t>
            </w:r>
            <w:r>
              <w:rPr>
                <w:rFonts w:hint="eastAsia"/>
                <w:color w:val="auto"/>
                <w:sz w:val="24"/>
                <w:lang w:val="en-US" w:eastAsia="zh-CN"/>
              </w:rPr>
              <w:t>区</w:t>
            </w:r>
            <w:r>
              <w:rPr>
                <w:rFonts w:hint="eastAsia"/>
                <w:color w:val="auto"/>
                <w:sz w:val="24"/>
                <w:lang w:eastAsia="zh-CN"/>
              </w:rPr>
              <w:t>、</w:t>
            </w:r>
            <w:r>
              <w:rPr>
                <w:rFonts w:hint="eastAsia"/>
                <w:color w:val="auto"/>
                <w:sz w:val="24"/>
                <w:lang w:val="en-US" w:eastAsia="zh-CN"/>
              </w:rPr>
              <w:t>成品区、原料区、办公区、组装区</w:t>
            </w:r>
            <w:r>
              <w:rPr>
                <w:rFonts w:hint="eastAsia"/>
                <w:color w:val="auto"/>
                <w:sz w:val="24"/>
              </w:rPr>
              <w:t>为简单防渗区，进行一般地面硬化处理</w:t>
            </w:r>
            <w:r>
              <w:rPr>
                <w:color w:val="auto"/>
                <w:sz w:val="24"/>
              </w:rPr>
              <w:t>。</w:t>
            </w:r>
          </w:p>
          <w:p w14:paraId="39A5A6B7">
            <w:pPr>
              <w:keepNext w:val="0"/>
              <w:keepLines w:val="0"/>
              <w:pageBreakBefore w:val="0"/>
              <w:widowControl w:val="0"/>
              <w:kinsoku/>
              <w:wordWrap/>
              <w:overflowPunct/>
              <w:topLinePunct w:val="0"/>
              <w:bidi w:val="0"/>
              <w:adjustRightInd w:val="0"/>
              <w:snapToGrid w:val="0"/>
              <w:spacing w:line="360" w:lineRule="auto"/>
              <w:ind w:firstLine="480" w:firstLineChars="200"/>
              <w:rPr>
                <w:color w:val="auto"/>
                <w:sz w:val="24"/>
              </w:rPr>
            </w:pPr>
            <w:r>
              <w:rPr>
                <w:color w:val="auto"/>
                <w:sz w:val="24"/>
              </w:rPr>
              <w:fldChar w:fldCharType="begin"/>
            </w:r>
            <w:r>
              <w:rPr>
                <w:color w:val="auto"/>
                <w:sz w:val="24"/>
              </w:rPr>
              <w:instrText xml:space="preserve"> = 2 \* GB3 </w:instrText>
            </w:r>
            <w:r>
              <w:rPr>
                <w:color w:val="auto"/>
                <w:sz w:val="24"/>
              </w:rPr>
              <w:fldChar w:fldCharType="separate"/>
            </w:r>
            <w:r>
              <w:rPr>
                <w:color w:val="auto"/>
                <w:sz w:val="24"/>
              </w:rPr>
              <w:t>②</w:t>
            </w:r>
            <w:r>
              <w:rPr>
                <w:color w:val="auto"/>
                <w:sz w:val="24"/>
              </w:rPr>
              <w:fldChar w:fldCharType="end"/>
            </w:r>
            <w:r>
              <w:rPr>
                <w:rFonts w:hint="eastAsia"/>
                <w:color w:val="auto"/>
                <w:sz w:val="24"/>
                <w:lang w:eastAsia="zh-CN"/>
              </w:rPr>
              <w:t>危废暂存间</w:t>
            </w:r>
            <w:r>
              <w:rPr>
                <w:rFonts w:hint="eastAsia"/>
                <w:color w:val="auto"/>
                <w:sz w:val="24"/>
              </w:rPr>
              <w:t>为重点</w:t>
            </w:r>
            <w:r>
              <w:rPr>
                <w:color w:val="auto"/>
                <w:sz w:val="24"/>
              </w:rPr>
              <w:t>防渗区，地面采用10cm厚C25抗渗等级为P8的抗渗混凝土</w:t>
            </w:r>
            <w:r>
              <w:rPr>
                <w:rFonts w:hint="eastAsia"/>
                <w:color w:val="auto"/>
                <w:sz w:val="24"/>
              </w:rPr>
              <w:t>或者符合要求的环氧树脂进行防渗处理。</w:t>
            </w:r>
          </w:p>
          <w:p w14:paraId="34062225">
            <w:pPr>
              <w:keepNext w:val="0"/>
              <w:keepLines w:val="0"/>
              <w:pageBreakBefore w:val="0"/>
              <w:widowControl w:val="0"/>
              <w:kinsoku/>
              <w:wordWrap/>
              <w:overflowPunct/>
              <w:topLinePunct w:val="0"/>
              <w:bidi w:val="0"/>
              <w:snapToGrid w:val="0"/>
              <w:spacing w:line="360" w:lineRule="auto"/>
              <w:ind w:firstLine="480" w:firstLineChars="200"/>
              <w:rPr>
                <w:color w:val="auto"/>
                <w:sz w:val="24"/>
              </w:rPr>
            </w:pPr>
            <w:r>
              <w:rPr>
                <w:color w:val="auto"/>
                <w:sz w:val="24"/>
              </w:rPr>
              <w:t>采用上述</w:t>
            </w:r>
            <w:r>
              <w:rPr>
                <w:rFonts w:hint="eastAsia"/>
                <w:color w:val="auto"/>
                <w:sz w:val="24"/>
              </w:rPr>
              <w:t>措施</w:t>
            </w:r>
            <w:r>
              <w:rPr>
                <w:color w:val="auto"/>
                <w:sz w:val="24"/>
              </w:rPr>
              <w:t>后</w:t>
            </w:r>
            <w:r>
              <w:rPr>
                <w:color w:val="auto"/>
                <w:kern w:val="0"/>
                <w:sz w:val="24"/>
              </w:rPr>
              <w:t>，</w:t>
            </w:r>
            <w:r>
              <w:rPr>
                <w:rFonts w:hint="eastAsia"/>
                <w:color w:val="auto"/>
                <w:kern w:val="0"/>
                <w:sz w:val="24"/>
                <w:lang w:eastAsia="zh-CN"/>
              </w:rPr>
              <w:t>危废暂存间</w:t>
            </w:r>
            <w:r>
              <w:rPr>
                <w:color w:val="auto"/>
                <w:kern w:val="0"/>
                <w:sz w:val="24"/>
              </w:rPr>
              <w:t>的渗透系数不大于1×10</w:t>
            </w:r>
            <w:r>
              <w:rPr>
                <w:rFonts w:hint="eastAsia"/>
                <w:color w:val="auto"/>
                <w:kern w:val="0"/>
                <w:sz w:val="24"/>
                <w:lang w:eastAsia="zh-CN"/>
              </w:rPr>
              <w:t>—</w:t>
            </w:r>
            <w:r>
              <w:rPr>
                <w:rFonts w:hint="eastAsia"/>
                <w:color w:val="auto"/>
                <w:kern w:val="0"/>
                <w:sz w:val="24"/>
                <w:vertAlign w:val="superscript"/>
              </w:rPr>
              <w:t>7</w:t>
            </w:r>
            <w:r>
              <w:rPr>
                <w:color w:val="auto"/>
                <w:kern w:val="0"/>
                <w:sz w:val="24"/>
              </w:rPr>
              <w:t>cm/s，</w:t>
            </w:r>
            <w:r>
              <w:rPr>
                <w:color w:val="auto"/>
                <w:sz w:val="24"/>
              </w:rPr>
              <w:t>可有效阻止污染物下渗。</w:t>
            </w:r>
          </w:p>
          <w:p w14:paraId="605C33FD">
            <w:pPr>
              <w:keepNext w:val="0"/>
              <w:keepLines w:val="0"/>
              <w:pageBreakBefore w:val="0"/>
              <w:widowControl w:val="0"/>
              <w:kinsoku/>
              <w:wordWrap/>
              <w:overflowPunct/>
              <w:topLinePunct w:val="0"/>
              <w:bidi w:val="0"/>
              <w:spacing w:line="360" w:lineRule="auto"/>
              <w:ind w:firstLine="480" w:firstLineChars="200"/>
              <w:rPr>
                <w:b/>
                <w:color w:val="auto"/>
                <w:szCs w:val="21"/>
              </w:rPr>
            </w:pPr>
            <w:r>
              <w:rPr>
                <w:color w:val="auto"/>
                <w:sz w:val="24"/>
              </w:rPr>
              <w:t>综上所述，本项目通过</w:t>
            </w:r>
            <w:r>
              <w:rPr>
                <w:rFonts w:hint="eastAsia"/>
                <w:color w:val="auto"/>
                <w:sz w:val="24"/>
              </w:rPr>
              <w:t>采取</w:t>
            </w:r>
            <w:r>
              <w:rPr>
                <w:color w:val="auto"/>
                <w:sz w:val="24"/>
              </w:rPr>
              <w:t>上述污染防治措施，可避免项目</w:t>
            </w:r>
            <w:r>
              <w:rPr>
                <w:rFonts w:hint="eastAsia"/>
                <w:color w:val="auto"/>
                <w:sz w:val="24"/>
              </w:rPr>
              <w:t>营运期</w:t>
            </w:r>
            <w:r>
              <w:rPr>
                <w:color w:val="auto"/>
                <w:sz w:val="24"/>
              </w:rPr>
              <w:t>对区域地下水及土壤产生污染影响</w:t>
            </w:r>
            <w:r>
              <w:rPr>
                <w:color w:val="auto"/>
                <w:kern w:val="0"/>
                <w:sz w:val="24"/>
              </w:rPr>
              <w:t>，因此</w:t>
            </w:r>
            <w:r>
              <w:rPr>
                <w:rFonts w:hint="eastAsia"/>
                <w:color w:val="auto"/>
                <w:kern w:val="0"/>
                <w:sz w:val="24"/>
              </w:rPr>
              <w:t>，本</w:t>
            </w:r>
            <w:r>
              <w:rPr>
                <w:color w:val="auto"/>
                <w:kern w:val="0"/>
                <w:sz w:val="24"/>
              </w:rPr>
              <w:t>项目对地下水及土壤影响较小。</w:t>
            </w:r>
          </w:p>
          <w:p w14:paraId="23AD8090">
            <w:pPr>
              <w:pStyle w:val="49"/>
              <w:keepNext w:val="0"/>
              <w:keepLines w:val="0"/>
              <w:pageBreakBefore w:val="0"/>
              <w:widowControl w:val="0"/>
              <w:kinsoku/>
              <w:wordWrap/>
              <w:overflowPunct/>
              <w:topLinePunct w:val="0"/>
              <w:bidi w:val="0"/>
              <w:snapToGrid w:val="0"/>
              <w:spacing w:line="360" w:lineRule="auto"/>
              <w:ind w:firstLine="482"/>
              <w:jc w:val="both"/>
              <w:rPr>
                <w:rFonts w:ascii="Times New Roman" w:eastAsia="宋体"/>
                <w:b/>
                <w:color w:val="auto"/>
                <w:sz w:val="24"/>
                <w:szCs w:val="24"/>
              </w:rPr>
            </w:pPr>
            <w:r>
              <w:rPr>
                <w:rFonts w:hint="eastAsia" w:ascii="Times New Roman" w:eastAsia="宋体"/>
                <w:b/>
                <w:color w:val="auto"/>
                <w:sz w:val="24"/>
                <w:szCs w:val="24"/>
              </w:rPr>
              <w:t>六、环境风险评价</w:t>
            </w:r>
          </w:p>
          <w:p w14:paraId="7D631BA6">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b w:val="0"/>
                <w:bCs w:val="0"/>
                <w:color w:val="auto"/>
                <w:sz w:val="24"/>
              </w:rPr>
            </w:pPr>
            <w:r>
              <w:rPr>
                <w:rFonts w:hint="eastAsia"/>
                <w:b w:val="0"/>
                <w:bCs w:val="0"/>
                <w:color w:val="auto"/>
                <w:sz w:val="24"/>
              </w:rPr>
              <w:t>1、风险物质识别</w:t>
            </w:r>
          </w:p>
          <w:p w14:paraId="37E087C8">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color w:val="auto"/>
                <w:sz w:val="24"/>
              </w:rPr>
            </w:pPr>
            <w:r>
              <w:rPr>
                <w:rFonts w:hint="eastAsia"/>
                <w:color w:val="auto"/>
                <w:sz w:val="24"/>
              </w:rPr>
              <w:t>根据《建设项目环境风险评价技术导则》（HJ169-2018）附录B中的“重点关注的危险物质及临界量”，对本项目原辅料、中间产品、最终产品以及生产过程中排放的污染物等进行危险性识别，确定出本项目生产运营过程中涉及的主要风险物质为废活性炭等危险废物。</w:t>
            </w:r>
          </w:p>
          <w:p w14:paraId="0D23151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b w:val="0"/>
                <w:bCs w:val="0"/>
                <w:color w:val="auto"/>
                <w:sz w:val="24"/>
              </w:rPr>
            </w:pPr>
            <w:r>
              <w:rPr>
                <w:rFonts w:hint="eastAsia"/>
                <w:b w:val="0"/>
                <w:bCs w:val="0"/>
                <w:color w:val="auto"/>
                <w:sz w:val="24"/>
              </w:rPr>
              <w:t>2、评价依据</w:t>
            </w:r>
          </w:p>
          <w:p w14:paraId="3781E6DF">
            <w:pPr>
              <w:pStyle w:val="2"/>
              <w:keepNext w:val="0"/>
              <w:keepLines w:val="0"/>
              <w:pageBreakBefore w:val="0"/>
              <w:widowControl w:val="0"/>
              <w:kinsoku/>
              <w:wordWrap/>
              <w:overflowPunct/>
              <w:topLinePunct w:val="0"/>
              <w:bidi w:val="0"/>
              <w:snapToGrid/>
              <w:spacing w:line="360" w:lineRule="auto"/>
              <w:ind w:firstLine="480"/>
              <w:rPr>
                <w:rFonts w:ascii="Times New Roman" w:hAnsi="Times New Roman"/>
                <w:b w:val="0"/>
                <w:bCs/>
                <w:color w:val="auto"/>
              </w:rPr>
            </w:pPr>
            <w:r>
              <w:rPr>
                <w:rFonts w:hint="eastAsia" w:ascii="Times New Roman" w:hAnsi="Times New Roman"/>
                <w:b w:val="0"/>
                <w:bCs/>
                <w:color w:val="auto"/>
              </w:rPr>
              <w:t>1</w:t>
            </w:r>
            <w:r>
              <w:rPr>
                <w:rFonts w:hint="eastAsia" w:ascii="Times New Roman" w:hAnsi="Times New Roman" w:cs="Times New Roman"/>
                <w:b w:val="0"/>
                <w:bCs/>
                <w:color w:val="auto"/>
              </w:rPr>
              <w:t>）风险调查</w:t>
            </w:r>
          </w:p>
          <w:p w14:paraId="227FCD65">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2"/>
              <w:jc w:val="both"/>
              <w:textAlignment w:val="auto"/>
              <w:rPr>
                <w:rFonts w:hint="eastAsia" w:ascii="Times New Roman" w:hAnsi="Times New Roman"/>
                <w:b w:val="0"/>
                <w:bCs/>
                <w:color w:val="auto"/>
                <w:sz w:val="24"/>
              </w:rPr>
            </w:pPr>
            <w:r>
              <w:rPr>
                <w:rFonts w:hint="eastAsia" w:ascii="Times New Roman" w:hAnsi="Times New Roman"/>
                <w:b w:val="0"/>
                <w:bCs/>
                <w:color w:val="auto"/>
                <w:sz w:val="24"/>
              </w:rPr>
              <w:t>根据《建设项目环境风险评价技术导则》（HJ169-2018）对物质临界量的规定计算所涉及的每种危险物质在厂界内的最大存在总量与其在附录 B 中对应临界量的比值Q。在不同厂区的同一种物质，按其在厂界内的最大存在总量计算。</w:t>
            </w:r>
          </w:p>
          <w:p w14:paraId="2D07FF32">
            <w:pPr>
              <w:pStyle w:val="2"/>
              <w:keepNext w:val="0"/>
              <w:keepLines w:val="0"/>
              <w:pageBreakBefore w:val="0"/>
              <w:widowControl w:val="0"/>
              <w:kinsoku/>
              <w:wordWrap/>
              <w:overflowPunct/>
              <w:topLinePunct w:val="0"/>
              <w:autoSpaceDE w:val="0"/>
              <w:autoSpaceDN w:val="0"/>
              <w:bidi w:val="0"/>
              <w:adjustRightInd w:val="0"/>
              <w:snapToGrid/>
              <w:spacing w:line="360" w:lineRule="auto"/>
              <w:ind w:left="2639" w:leftChars="228" w:hanging="2160" w:hangingChars="900"/>
              <w:jc w:val="both"/>
              <w:textAlignment w:val="auto"/>
              <w:rPr>
                <w:rFonts w:hint="eastAsia"/>
                <w:color w:val="auto"/>
              </w:rPr>
            </w:pPr>
            <w:r>
              <w:rPr>
                <w:rFonts w:hint="eastAsia" w:ascii="Times New Roman" w:hAnsi="Times New Roman"/>
                <w:b w:val="0"/>
                <w:bCs/>
                <w:color w:val="auto"/>
                <w:sz w:val="24"/>
              </w:rPr>
              <w:t>单元内存在的危险物质为多品种时，则按下式计算。</w:t>
            </w:r>
            <w:r>
              <w:rPr>
                <w:rFonts w:hint="eastAsia"/>
                <w:color w:val="auto"/>
                <w:position w:val="-30"/>
              </w:rPr>
              <w:object>
                <v:shape id="_x0000_i1033" o:spt="75" type="#_x0000_t75" style="height:34pt;width:105pt;" o:ole="t" filled="f" o:preferrelative="t" stroked="f" coordsize="21600,21600">
                  <v:path/>
                  <v:fill on="f" focussize="0,0"/>
                  <v:stroke on="f"/>
                  <v:imagedata r:id="rId39" o:title=""/>
                  <o:lock v:ext="edit" aspectratio="t"/>
                  <w10:wrap type="none"/>
                  <w10:anchorlock/>
                </v:shape>
                <o:OLEObject Type="Embed" ProgID="Equation.KSEE3" ShapeID="_x0000_i1033" DrawAspect="Content" ObjectID="_1468075740" r:id="rId38">
                  <o:LockedField>false</o:LockedField>
                </o:OLEObject>
              </w:object>
            </w:r>
          </w:p>
          <w:p w14:paraId="2EE55412">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eastAsia="宋体"/>
                <w:color w:val="auto"/>
                <w:lang w:eastAsia="zh-CN"/>
              </w:rPr>
            </w:pPr>
            <w:r>
              <w:rPr>
                <w:rFonts w:hint="eastAsia"/>
                <w:color w:val="auto"/>
              </w:rPr>
              <w:t>式中：q</w:t>
            </w:r>
            <w:r>
              <w:rPr>
                <w:rFonts w:hint="eastAsia"/>
                <w:color w:val="auto"/>
                <w:vertAlign w:val="subscript"/>
              </w:rPr>
              <w:t>1</w:t>
            </w:r>
            <w:r>
              <w:rPr>
                <w:rFonts w:hint="eastAsia"/>
                <w:color w:val="auto"/>
              </w:rPr>
              <w:t>、q</w:t>
            </w:r>
            <w:r>
              <w:rPr>
                <w:rFonts w:hint="eastAsia"/>
                <w:color w:val="auto"/>
                <w:vertAlign w:val="subscript"/>
              </w:rPr>
              <w:t>2</w:t>
            </w:r>
            <w:r>
              <w:rPr>
                <w:rFonts w:hint="eastAsia"/>
                <w:color w:val="auto"/>
              </w:rPr>
              <w:t>……q</w:t>
            </w:r>
            <w:r>
              <w:rPr>
                <w:rFonts w:hint="eastAsia"/>
                <w:color w:val="auto"/>
                <w:vertAlign w:val="subscript"/>
              </w:rPr>
              <w:t>n</w:t>
            </w:r>
            <w:r>
              <w:rPr>
                <w:rFonts w:hint="eastAsia"/>
                <w:color w:val="auto"/>
              </w:rPr>
              <w:t>——每种危险物质实际存在量，t；</w:t>
            </w:r>
          </w:p>
          <w:p w14:paraId="3383835D">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1200" w:firstLineChars="500"/>
              <w:textAlignment w:val="auto"/>
              <w:rPr>
                <w:rFonts w:hint="eastAsia" w:eastAsia="宋体"/>
                <w:color w:val="auto"/>
                <w:lang w:eastAsia="zh-CN"/>
              </w:rPr>
            </w:pPr>
            <w:r>
              <w:rPr>
                <w:rFonts w:hint="eastAsia"/>
                <w:color w:val="auto"/>
              </w:rPr>
              <w:t>Q</w:t>
            </w:r>
            <w:r>
              <w:rPr>
                <w:rFonts w:hint="eastAsia"/>
                <w:color w:val="auto"/>
                <w:vertAlign w:val="subscript"/>
              </w:rPr>
              <w:t>1</w:t>
            </w:r>
            <w:r>
              <w:rPr>
                <w:rFonts w:hint="eastAsia"/>
                <w:color w:val="auto"/>
              </w:rPr>
              <w:t>、Q</w:t>
            </w:r>
            <w:r>
              <w:rPr>
                <w:rFonts w:hint="eastAsia"/>
                <w:color w:val="auto"/>
                <w:vertAlign w:val="subscript"/>
              </w:rPr>
              <w:t>2</w:t>
            </w:r>
            <w:r>
              <w:rPr>
                <w:rFonts w:hint="eastAsia"/>
                <w:color w:val="auto"/>
              </w:rPr>
              <w:t>……Q</w:t>
            </w:r>
            <w:r>
              <w:rPr>
                <w:rFonts w:hint="eastAsia"/>
                <w:color w:val="auto"/>
                <w:vertAlign w:val="subscript"/>
              </w:rPr>
              <w:t>n</w:t>
            </w:r>
            <w:r>
              <w:rPr>
                <w:rFonts w:hint="eastAsia"/>
                <w:color w:val="auto"/>
              </w:rPr>
              <w:t>——与各危险物质相对应的生产场所或贮存区的临界量，t。</w:t>
            </w:r>
          </w:p>
          <w:p w14:paraId="1E828B26">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Times New Roman" w:hAnsi="Times New Roman"/>
                <w:color w:val="auto"/>
                <w:sz w:val="21"/>
                <w:szCs w:val="21"/>
              </w:rPr>
            </w:pPr>
            <w:r>
              <w:rPr>
                <w:rFonts w:hint="eastAsia"/>
                <w:color w:val="auto"/>
              </w:rPr>
              <w:t>本项目危险物质风险识别及Q值计算结果见</w:t>
            </w:r>
            <w:r>
              <w:rPr>
                <w:rFonts w:hint="eastAsia"/>
                <w:color w:val="auto"/>
                <w:lang w:val="en-US" w:eastAsia="zh-CN"/>
              </w:rPr>
              <w:t>下表</w:t>
            </w:r>
            <w:r>
              <w:rPr>
                <w:rFonts w:hint="eastAsia"/>
                <w:color w:val="auto"/>
              </w:rPr>
              <w:t>。</w:t>
            </w:r>
          </w:p>
          <w:p w14:paraId="7433DE9A">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ascii="Times New Roman" w:hAnsi="Times New Roman"/>
                <w:color w:val="auto"/>
                <w:sz w:val="21"/>
                <w:szCs w:val="21"/>
              </w:rPr>
            </w:pPr>
            <w:r>
              <w:rPr>
                <w:rFonts w:hint="eastAsia" w:ascii="Times New Roman" w:hAnsi="Times New Roman"/>
                <w:color w:val="auto"/>
                <w:sz w:val="21"/>
                <w:szCs w:val="21"/>
              </w:rPr>
              <w:t>表4-</w:t>
            </w:r>
            <w:r>
              <w:rPr>
                <w:rFonts w:hint="eastAsia" w:ascii="Times New Roman" w:hAnsi="Times New Roman"/>
                <w:color w:val="auto"/>
                <w:sz w:val="21"/>
                <w:szCs w:val="21"/>
                <w:lang w:val="en-US" w:eastAsia="zh-CN"/>
              </w:rPr>
              <w:t xml:space="preserve">26  </w:t>
            </w:r>
            <w:r>
              <w:rPr>
                <w:rFonts w:hint="eastAsia" w:ascii="Times New Roman" w:hAnsi="Times New Roman"/>
                <w:color w:val="auto"/>
                <w:sz w:val="21"/>
                <w:szCs w:val="21"/>
              </w:rPr>
              <w:t>建设项目Q值确定表</w:t>
            </w:r>
          </w:p>
          <w:tbl>
            <w:tblPr>
              <w:tblStyle w:val="23"/>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598"/>
              <w:gridCol w:w="1306"/>
              <w:gridCol w:w="1306"/>
              <w:gridCol w:w="1307"/>
              <w:gridCol w:w="1307"/>
            </w:tblGrid>
            <w:tr w14:paraId="7E53B9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14:paraId="38DD6843">
                  <w:pPr>
                    <w:pStyle w:val="2"/>
                    <w:snapToGrid/>
                    <w:spacing w:line="280" w:lineRule="exact"/>
                    <w:ind w:firstLine="0" w:firstLineChars="0"/>
                    <w:jc w:val="center"/>
                    <w:rPr>
                      <w:rFonts w:ascii="Times New Roman" w:hAnsi="Times New Roman"/>
                      <w:b w:val="0"/>
                      <w:color w:val="auto"/>
                      <w:sz w:val="21"/>
                    </w:rPr>
                  </w:pPr>
                  <w:r>
                    <w:rPr>
                      <w:rFonts w:hint="eastAsia" w:ascii="Times New Roman" w:hAnsi="Times New Roman"/>
                      <w:b w:val="0"/>
                      <w:color w:val="auto"/>
                      <w:sz w:val="21"/>
                    </w:rPr>
                    <w:t>序号</w:t>
                  </w:r>
                </w:p>
              </w:tc>
              <w:tc>
                <w:tcPr>
                  <w:tcW w:w="1598" w:type="dxa"/>
                  <w:noWrap w:val="0"/>
                  <w:vAlign w:val="center"/>
                </w:tcPr>
                <w:p w14:paraId="45BD591A">
                  <w:pPr>
                    <w:pStyle w:val="2"/>
                    <w:snapToGrid/>
                    <w:spacing w:line="280" w:lineRule="exact"/>
                    <w:ind w:firstLine="0" w:firstLineChars="0"/>
                    <w:jc w:val="center"/>
                    <w:rPr>
                      <w:rFonts w:ascii="Times New Roman" w:hAnsi="Times New Roman"/>
                      <w:b w:val="0"/>
                      <w:color w:val="auto"/>
                      <w:sz w:val="21"/>
                    </w:rPr>
                  </w:pPr>
                  <w:r>
                    <w:rPr>
                      <w:rFonts w:hint="eastAsia" w:ascii="Times New Roman" w:hAnsi="Times New Roman"/>
                      <w:b w:val="0"/>
                      <w:color w:val="auto"/>
                      <w:sz w:val="21"/>
                    </w:rPr>
                    <w:t>危险物资名称</w:t>
                  </w:r>
                </w:p>
              </w:tc>
              <w:tc>
                <w:tcPr>
                  <w:tcW w:w="1306" w:type="dxa"/>
                  <w:noWrap w:val="0"/>
                  <w:vAlign w:val="center"/>
                </w:tcPr>
                <w:p w14:paraId="1A58BBC7">
                  <w:pPr>
                    <w:pStyle w:val="2"/>
                    <w:snapToGrid/>
                    <w:spacing w:line="280" w:lineRule="exact"/>
                    <w:ind w:firstLine="0" w:firstLineChars="0"/>
                    <w:jc w:val="center"/>
                    <w:rPr>
                      <w:rFonts w:ascii="Times New Roman" w:hAnsi="Times New Roman"/>
                      <w:b w:val="0"/>
                      <w:color w:val="auto"/>
                      <w:sz w:val="21"/>
                    </w:rPr>
                  </w:pPr>
                  <w:r>
                    <w:rPr>
                      <w:rFonts w:hint="eastAsia" w:ascii="Times New Roman" w:hAnsi="Times New Roman"/>
                      <w:b w:val="0"/>
                      <w:color w:val="auto"/>
                      <w:sz w:val="21"/>
                    </w:rPr>
                    <w:t>CAS</w:t>
                  </w:r>
                </w:p>
              </w:tc>
              <w:tc>
                <w:tcPr>
                  <w:tcW w:w="1306" w:type="dxa"/>
                  <w:noWrap w:val="0"/>
                  <w:vAlign w:val="center"/>
                </w:tcPr>
                <w:p w14:paraId="0C236931">
                  <w:pPr>
                    <w:pStyle w:val="2"/>
                    <w:snapToGrid/>
                    <w:spacing w:line="280" w:lineRule="exact"/>
                    <w:ind w:firstLine="0" w:firstLineChars="0"/>
                    <w:jc w:val="center"/>
                    <w:rPr>
                      <w:rFonts w:ascii="Times New Roman" w:hAnsi="Times New Roman"/>
                      <w:b w:val="0"/>
                      <w:color w:val="auto"/>
                      <w:sz w:val="21"/>
                    </w:rPr>
                  </w:pPr>
                  <w:r>
                    <w:rPr>
                      <w:rFonts w:hint="eastAsia" w:ascii="Times New Roman" w:hAnsi="Times New Roman"/>
                      <w:b w:val="0"/>
                      <w:color w:val="auto"/>
                      <w:sz w:val="21"/>
                    </w:rPr>
                    <w:t>最大存在总量q</w:t>
                  </w:r>
                  <w:r>
                    <w:rPr>
                      <w:rFonts w:hint="eastAsia" w:ascii="Times New Roman" w:hAnsi="Times New Roman"/>
                      <w:b w:val="0"/>
                      <w:color w:val="auto"/>
                      <w:sz w:val="21"/>
                      <w:vertAlign w:val="subscript"/>
                    </w:rPr>
                    <w:t>n</w:t>
                  </w:r>
                  <w:r>
                    <w:rPr>
                      <w:rFonts w:hint="eastAsia" w:ascii="Times New Roman" w:hAnsi="Times New Roman"/>
                      <w:b w:val="0"/>
                      <w:color w:val="auto"/>
                      <w:sz w:val="21"/>
                    </w:rPr>
                    <w:t>/t</w:t>
                  </w:r>
                </w:p>
              </w:tc>
              <w:tc>
                <w:tcPr>
                  <w:tcW w:w="1307" w:type="dxa"/>
                  <w:noWrap w:val="0"/>
                  <w:vAlign w:val="center"/>
                </w:tcPr>
                <w:p w14:paraId="2FAC2053">
                  <w:pPr>
                    <w:pStyle w:val="2"/>
                    <w:snapToGrid/>
                    <w:spacing w:line="280" w:lineRule="exact"/>
                    <w:ind w:firstLine="0" w:firstLineChars="0"/>
                    <w:jc w:val="center"/>
                    <w:rPr>
                      <w:rFonts w:ascii="Times New Roman" w:hAnsi="Times New Roman"/>
                      <w:b w:val="0"/>
                      <w:color w:val="auto"/>
                      <w:sz w:val="21"/>
                    </w:rPr>
                  </w:pPr>
                  <w:r>
                    <w:rPr>
                      <w:rFonts w:hint="eastAsia" w:ascii="Times New Roman" w:hAnsi="Times New Roman"/>
                      <w:b w:val="0"/>
                      <w:color w:val="auto"/>
                      <w:sz w:val="21"/>
                    </w:rPr>
                    <w:t>临界量Q</w:t>
                  </w:r>
                  <w:r>
                    <w:rPr>
                      <w:rFonts w:hint="eastAsia" w:ascii="Times New Roman" w:hAnsi="Times New Roman"/>
                      <w:b w:val="0"/>
                      <w:color w:val="auto"/>
                      <w:sz w:val="21"/>
                      <w:vertAlign w:val="subscript"/>
                    </w:rPr>
                    <w:t>n</w:t>
                  </w:r>
                  <w:r>
                    <w:rPr>
                      <w:rFonts w:hint="eastAsia" w:ascii="Times New Roman" w:hAnsi="Times New Roman"/>
                      <w:b w:val="0"/>
                      <w:color w:val="auto"/>
                      <w:sz w:val="21"/>
                    </w:rPr>
                    <w:t>/t</w:t>
                  </w:r>
                </w:p>
              </w:tc>
              <w:tc>
                <w:tcPr>
                  <w:tcW w:w="1307" w:type="dxa"/>
                  <w:noWrap w:val="0"/>
                  <w:vAlign w:val="center"/>
                </w:tcPr>
                <w:p w14:paraId="50F6FDD2">
                  <w:pPr>
                    <w:pStyle w:val="2"/>
                    <w:snapToGrid/>
                    <w:spacing w:line="280" w:lineRule="exact"/>
                    <w:ind w:firstLine="0" w:firstLineChars="0"/>
                    <w:jc w:val="center"/>
                    <w:rPr>
                      <w:rFonts w:ascii="Times New Roman" w:hAnsi="Times New Roman"/>
                      <w:b w:val="0"/>
                      <w:color w:val="auto"/>
                      <w:sz w:val="21"/>
                    </w:rPr>
                  </w:pPr>
                  <w:r>
                    <w:rPr>
                      <w:rFonts w:hint="eastAsia" w:ascii="Times New Roman" w:hAnsi="Times New Roman"/>
                      <w:b w:val="0"/>
                      <w:color w:val="auto"/>
                      <w:sz w:val="21"/>
                    </w:rPr>
                    <w:t>该种危险物质Q值</w:t>
                  </w:r>
                </w:p>
              </w:tc>
            </w:tr>
            <w:tr w14:paraId="7777B1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14:paraId="0984E272">
                  <w:pPr>
                    <w:pStyle w:val="2"/>
                    <w:snapToGrid/>
                    <w:spacing w:line="280" w:lineRule="exact"/>
                    <w:ind w:firstLine="0" w:firstLineChars="0"/>
                    <w:jc w:val="center"/>
                    <w:rPr>
                      <w:rFonts w:hint="eastAsia" w:ascii="Times New Roman" w:hAnsi="Times New Roman" w:eastAsia="宋体" w:cs="宋体"/>
                      <w:b w:val="0"/>
                      <w:bCs w:val="0"/>
                      <w:color w:val="auto"/>
                      <w:kern w:val="2"/>
                      <w:sz w:val="21"/>
                      <w:szCs w:val="21"/>
                      <w:lang w:val="en-US" w:eastAsia="zh-CN" w:bidi="ar-SA"/>
                    </w:rPr>
                  </w:pPr>
                  <w:r>
                    <w:rPr>
                      <w:rFonts w:hint="eastAsia" w:ascii="Times New Roman" w:hAnsi="Times New Roman" w:eastAsia="宋体" w:cs="宋体"/>
                      <w:b w:val="0"/>
                      <w:bCs w:val="0"/>
                      <w:color w:val="auto"/>
                      <w:kern w:val="2"/>
                      <w:sz w:val="21"/>
                      <w:szCs w:val="21"/>
                      <w:lang w:val="en-US" w:eastAsia="zh-CN" w:bidi="ar-SA"/>
                    </w:rPr>
                    <w:t>1</w:t>
                  </w:r>
                </w:p>
              </w:tc>
              <w:tc>
                <w:tcPr>
                  <w:tcW w:w="1598" w:type="dxa"/>
                  <w:noWrap w:val="0"/>
                  <w:vAlign w:val="center"/>
                </w:tcPr>
                <w:p w14:paraId="1635901A">
                  <w:pPr>
                    <w:pStyle w:val="2"/>
                    <w:snapToGrid/>
                    <w:spacing w:line="280" w:lineRule="exact"/>
                    <w:ind w:firstLine="0" w:firstLineChars="0"/>
                    <w:jc w:val="center"/>
                    <w:rPr>
                      <w:rFonts w:hint="eastAsia" w:ascii="Times New Roman" w:hAnsi="Times New Roman" w:eastAsia="宋体" w:cs="宋体"/>
                      <w:b w:val="0"/>
                      <w:bCs w:val="0"/>
                      <w:color w:val="auto"/>
                      <w:kern w:val="2"/>
                      <w:sz w:val="21"/>
                      <w:szCs w:val="21"/>
                      <w:lang w:val="en-US" w:eastAsia="zh-CN" w:bidi="ar-SA"/>
                    </w:rPr>
                  </w:pPr>
                  <w:r>
                    <w:rPr>
                      <w:rFonts w:hint="eastAsia" w:ascii="Times New Roman" w:hAnsi="Times New Roman" w:eastAsia="宋体" w:cs="宋体"/>
                      <w:b w:val="0"/>
                      <w:bCs w:val="0"/>
                      <w:color w:val="auto"/>
                      <w:kern w:val="2"/>
                      <w:sz w:val="21"/>
                      <w:szCs w:val="21"/>
                      <w:lang w:val="en-US" w:eastAsia="zh-CN" w:bidi="ar-SA"/>
                    </w:rPr>
                    <w:t>危险废物</w:t>
                  </w:r>
                </w:p>
              </w:tc>
              <w:tc>
                <w:tcPr>
                  <w:tcW w:w="1306" w:type="dxa"/>
                  <w:noWrap w:val="0"/>
                  <w:vAlign w:val="center"/>
                </w:tcPr>
                <w:p w14:paraId="43AC9514">
                  <w:pPr>
                    <w:pStyle w:val="2"/>
                    <w:snapToGrid/>
                    <w:spacing w:line="280" w:lineRule="exact"/>
                    <w:ind w:firstLine="0" w:firstLineChars="0"/>
                    <w:jc w:val="center"/>
                    <w:rPr>
                      <w:rFonts w:hint="eastAsia" w:ascii="Times New Roman" w:hAnsi="Times New Roman" w:eastAsia="宋体" w:cs="宋体"/>
                      <w:b w:val="0"/>
                      <w:bCs w:val="0"/>
                      <w:color w:val="auto"/>
                      <w:kern w:val="2"/>
                      <w:sz w:val="21"/>
                      <w:szCs w:val="21"/>
                      <w:lang w:val="en-US" w:eastAsia="zh-CN" w:bidi="ar-SA"/>
                    </w:rPr>
                  </w:pPr>
                  <w:r>
                    <w:rPr>
                      <w:rFonts w:hint="eastAsia" w:ascii="Times New Roman" w:hAnsi="Times New Roman" w:eastAsia="宋体" w:cs="宋体"/>
                      <w:b w:val="0"/>
                      <w:bCs w:val="0"/>
                      <w:color w:val="auto"/>
                      <w:kern w:val="2"/>
                      <w:sz w:val="21"/>
                      <w:szCs w:val="21"/>
                      <w:lang w:val="en-US" w:eastAsia="zh-CN" w:bidi="ar-SA"/>
                    </w:rPr>
                    <w:t>/</w:t>
                  </w:r>
                </w:p>
              </w:tc>
              <w:tc>
                <w:tcPr>
                  <w:tcW w:w="1306" w:type="dxa"/>
                  <w:noWrap w:val="0"/>
                  <w:vAlign w:val="center"/>
                </w:tcPr>
                <w:p w14:paraId="6470300C">
                  <w:pPr>
                    <w:pStyle w:val="2"/>
                    <w:snapToGrid/>
                    <w:spacing w:line="280" w:lineRule="exact"/>
                    <w:ind w:firstLine="0" w:firstLineChars="0"/>
                    <w:jc w:val="center"/>
                    <w:rPr>
                      <w:rFonts w:hint="default" w:ascii="Times New Roman" w:hAnsi="Times New Roman" w:eastAsia="宋体"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1.537</w:t>
                  </w:r>
                </w:p>
              </w:tc>
              <w:tc>
                <w:tcPr>
                  <w:tcW w:w="1307" w:type="dxa"/>
                  <w:noWrap w:val="0"/>
                  <w:vAlign w:val="center"/>
                </w:tcPr>
                <w:p w14:paraId="08B50085">
                  <w:pPr>
                    <w:pStyle w:val="2"/>
                    <w:snapToGrid/>
                    <w:spacing w:line="280" w:lineRule="exact"/>
                    <w:ind w:firstLine="0" w:firstLineChars="0"/>
                    <w:jc w:val="center"/>
                    <w:rPr>
                      <w:rFonts w:hint="eastAsia" w:ascii="Times New Roman" w:hAnsi="Times New Roman" w:eastAsia="宋体" w:cs="宋体"/>
                      <w:b w:val="0"/>
                      <w:bCs w:val="0"/>
                      <w:color w:val="auto"/>
                      <w:kern w:val="2"/>
                      <w:sz w:val="21"/>
                      <w:szCs w:val="21"/>
                      <w:lang w:val="en-US" w:eastAsia="zh-CN" w:bidi="ar-SA"/>
                    </w:rPr>
                  </w:pPr>
                  <w:r>
                    <w:rPr>
                      <w:rFonts w:hint="eastAsia" w:ascii="Times New Roman" w:hAnsi="Times New Roman" w:eastAsia="宋体" w:cs="宋体"/>
                      <w:b w:val="0"/>
                      <w:bCs w:val="0"/>
                      <w:color w:val="auto"/>
                      <w:kern w:val="2"/>
                      <w:sz w:val="21"/>
                      <w:szCs w:val="21"/>
                      <w:lang w:val="en-US" w:eastAsia="zh-CN" w:bidi="ar-SA"/>
                    </w:rPr>
                    <w:t>50</w:t>
                  </w:r>
                </w:p>
              </w:tc>
              <w:tc>
                <w:tcPr>
                  <w:tcW w:w="1307" w:type="dxa"/>
                  <w:noWrap w:val="0"/>
                  <w:vAlign w:val="center"/>
                </w:tcPr>
                <w:p w14:paraId="3BD29E6B">
                  <w:pPr>
                    <w:pStyle w:val="2"/>
                    <w:snapToGrid/>
                    <w:spacing w:line="280" w:lineRule="exact"/>
                    <w:ind w:firstLine="0" w:firstLineChars="0"/>
                    <w:jc w:val="center"/>
                    <w:rPr>
                      <w:rFonts w:hint="default" w:ascii="Times New Roman" w:hAnsi="Times New Roman" w:eastAsia="宋体"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0.03074</w:t>
                  </w:r>
                </w:p>
              </w:tc>
            </w:tr>
            <w:tr w14:paraId="0DB607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14:paraId="29B7B47B">
                  <w:pPr>
                    <w:pStyle w:val="2"/>
                    <w:snapToGrid/>
                    <w:spacing w:line="280" w:lineRule="exact"/>
                    <w:ind w:firstLine="0" w:firstLineChars="0"/>
                    <w:jc w:val="center"/>
                    <w:rPr>
                      <w:rFonts w:hint="default" w:ascii="Times New Roman" w:hAnsi="Times New Roman"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3</w:t>
                  </w:r>
                </w:p>
              </w:tc>
              <w:tc>
                <w:tcPr>
                  <w:tcW w:w="1598" w:type="dxa"/>
                  <w:noWrap w:val="0"/>
                  <w:vAlign w:val="center"/>
                </w:tcPr>
                <w:p w14:paraId="42D66413">
                  <w:pPr>
                    <w:pStyle w:val="2"/>
                    <w:snapToGrid/>
                    <w:spacing w:line="280" w:lineRule="exact"/>
                    <w:ind w:firstLine="0" w:firstLineChars="0"/>
                    <w:jc w:val="center"/>
                    <w:rPr>
                      <w:rFonts w:hint="default" w:ascii="Times New Roman" w:hAnsi="Times New Roman"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硅酮胶</w:t>
                  </w:r>
                </w:p>
              </w:tc>
              <w:tc>
                <w:tcPr>
                  <w:tcW w:w="1306" w:type="dxa"/>
                  <w:noWrap w:val="0"/>
                  <w:vAlign w:val="center"/>
                </w:tcPr>
                <w:p w14:paraId="38ED7B5E">
                  <w:pPr>
                    <w:pStyle w:val="2"/>
                    <w:snapToGrid/>
                    <w:spacing w:line="280" w:lineRule="exact"/>
                    <w:ind w:firstLine="0" w:firstLineChars="0"/>
                    <w:jc w:val="center"/>
                    <w:rPr>
                      <w:rFonts w:hint="default" w:ascii="Times New Roman" w:hAnsi="Times New Roman"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w:t>
                  </w:r>
                </w:p>
              </w:tc>
              <w:tc>
                <w:tcPr>
                  <w:tcW w:w="1306" w:type="dxa"/>
                  <w:noWrap w:val="0"/>
                  <w:vAlign w:val="center"/>
                </w:tcPr>
                <w:p w14:paraId="0584BB22">
                  <w:pPr>
                    <w:pStyle w:val="2"/>
                    <w:snapToGrid/>
                    <w:spacing w:line="280" w:lineRule="exact"/>
                    <w:ind w:firstLine="0" w:firstLineChars="0"/>
                    <w:jc w:val="center"/>
                    <w:rPr>
                      <w:rFonts w:hint="default" w:ascii="Times New Roman" w:hAnsi="Times New Roman"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2</w:t>
                  </w:r>
                </w:p>
              </w:tc>
              <w:tc>
                <w:tcPr>
                  <w:tcW w:w="1307" w:type="dxa"/>
                  <w:noWrap w:val="0"/>
                  <w:vAlign w:val="center"/>
                </w:tcPr>
                <w:p w14:paraId="4C189816">
                  <w:pPr>
                    <w:pStyle w:val="2"/>
                    <w:snapToGrid/>
                    <w:spacing w:line="280" w:lineRule="exact"/>
                    <w:ind w:firstLine="0" w:firstLineChars="0"/>
                    <w:jc w:val="center"/>
                    <w:rPr>
                      <w:rFonts w:hint="default" w:ascii="Times New Roman" w:hAnsi="Times New Roman"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50</w:t>
                  </w:r>
                </w:p>
              </w:tc>
              <w:tc>
                <w:tcPr>
                  <w:tcW w:w="1307" w:type="dxa"/>
                  <w:noWrap w:val="0"/>
                  <w:vAlign w:val="center"/>
                </w:tcPr>
                <w:p w14:paraId="5789DC8D">
                  <w:pPr>
                    <w:pStyle w:val="2"/>
                    <w:snapToGrid/>
                    <w:spacing w:line="280" w:lineRule="exact"/>
                    <w:ind w:firstLine="0" w:firstLineChars="0"/>
                    <w:jc w:val="center"/>
                    <w:rPr>
                      <w:rFonts w:hint="default" w:ascii="Times New Roman" w:hAnsi="Times New Roman"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0.04</w:t>
                  </w:r>
                </w:p>
              </w:tc>
            </w:tr>
            <w:tr w14:paraId="59C588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31" w:type="dxa"/>
                  <w:gridSpan w:val="5"/>
                  <w:noWrap w:val="0"/>
                  <w:vAlign w:val="center"/>
                </w:tcPr>
                <w:p w14:paraId="7E618671">
                  <w:pPr>
                    <w:pStyle w:val="2"/>
                    <w:snapToGrid/>
                    <w:spacing w:line="280" w:lineRule="exact"/>
                    <w:ind w:firstLine="0" w:firstLineChars="0"/>
                    <w:jc w:val="center"/>
                    <w:rPr>
                      <w:rFonts w:hint="eastAsia" w:ascii="Times New Roman" w:hAnsi="Times New Roman" w:eastAsia="宋体" w:cs="宋体"/>
                      <w:b w:val="0"/>
                      <w:bCs w:val="0"/>
                      <w:color w:val="auto"/>
                      <w:kern w:val="2"/>
                      <w:sz w:val="21"/>
                      <w:szCs w:val="21"/>
                      <w:lang w:val="en-US" w:eastAsia="zh-CN" w:bidi="ar-SA"/>
                    </w:rPr>
                  </w:pPr>
                  <w:r>
                    <w:rPr>
                      <w:rFonts w:hint="eastAsia" w:ascii="Times New Roman" w:hAnsi="Times New Roman" w:eastAsia="宋体" w:cs="宋体"/>
                      <w:b w:val="0"/>
                      <w:bCs w:val="0"/>
                      <w:color w:val="auto"/>
                      <w:kern w:val="2"/>
                      <w:sz w:val="21"/>
                      <w:szCs w:val="21"/>
                      <w:lang w:val="en-US" w:eastAsia="zh-CN" w:bidi="ar-SA"/>
                    </w:rPr>
                    <w:t>项目Q值∑</w:t>
                  </w:r>
                </w:p>
              </w:tc>
              <w:tc>
                <w:tcPr>
                  <w:tcW w:w="1307" w:type="dxa"/>
                  <w:noWrap w:val="0"/>
                  <w:vAlign w:val="center"/>
                </w:tcPr>
                <w:p w14:paraId="35716780">
                  <w:pPr>
                    <w:pStyle w:val="2"/>
                    <w:snapToGrid/>
                    <w:spacing w:line="280" w:lineRule="exact"/>
                    <w:ind w:firstLine="0" w:firstLineChars="0"/>
                    <w:jc w:val="center"/>
                    <w:rPr>
                      <w:rFonts w:hint="default" w:ascii="Times New Roman" w:hAnsi="Times New Roman" w:eastAsia="宋体" w:cs="宋体"/>
                      <w:b w:val="0"/>
                      <w:bCs w:val="0"/>
                      <w:color w:val="auto"/>
                      <w:kern w:val="2"/>
                      <w:sz w:val="21"/>
                      <w:szCs w:val="21"/>
                      <w:lang w:val="en-US" w:eastAsia="zh-CN" w:bidi="ar-SA"/>
                    </w:rPr>
                  </w:pPr>
                  <w:r>
                    <w:rPr>
                      <w:rFonts w:hint="eastAsia" w:ascii="Times New Roman" w:hAnsi="Times New Roman" w:cs="宋体"/>
                      <w:b w:val="0"/>
                      <w:bCs w:val="0"/>
                      <w:color w:val="auto"/>
                      <w:kern w:val="2"/>
                      <w:sz w:val="21"/>
                      <w:szCs w:val="21"/>
                      <w:lang w:val="en-US" w:eastAsia="zh-CN" w:bidi="ar-SA"/>
                    </w:rPr>
                    <w:t>0.07074</w:t>
                  </w:r>
                </w:p>
              </w:tc>
            </w:tr>
          </w:tbl>
          <w:p w14:paraId="4259A3E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宋体"/>
                <w:b w:val="0"/>
                <w:bCs w:val="0"/>
                <w:color w:val="auto"/>
                <w:kern w:val="2"/>
                <w:sz w:val="24"/>
                <w:szCs w:val="24"/>
                <w:lang w:val="en-US" w:eastAsia="zh-CN" w:bidi="ar-SA"/>
              </w:rPr>
              <w:t>项目Q=0.</w:t>
            </w:r>
            <w:r>
              <w:rPr>
                <w:rFonts w:hint="eastAsia" w:cs="宋体"/>
                <w:b w:val="0"/>
                <w:bCs w:val="0"/>
                <w:color w:val="auto"/>
                <w:kern w:val="2"/>
                <w:sz w:val="24"/>
                <w:szCs w:val="24"/>
                <w:lang w:val="en-US" w:eastAsia="zh-CN" w:bidi="ar-SA"/>
              </w:rPr>
              <w:t>07074</w:t>
            </w:r>
            <w:r>
              <w:rPr>
                <w:rFonts w:hint="eastAsia" w:ascii="Times New Roman" w:hAnsi="Times New Roman" w:eastAsia="宋体" w:cs="宋体"/>
                <w:b w:val="0"/>
                <w:bCs w:val="0"/>
                <w:color w:val="auto"/>
                <w:kern w:val="2"/>
                <w:sz w:val="24"/>
                <w:szCs w:val="24"/>
                <w:lang w:val="en-US" w:eastAsia="zh-CN" w:bidi="ar-SA"/>
              </w:rPr>
              <w:t>＜1，根据《建设项目环境风险评价技术导则》（HJ169-2018）附录C.1.1，本</w:t>
            </w:r>
            <w:r>
              <w:rPr>
                <w:rFonts w:hint="default" w:ascii="Times New Roman" w:hAnsi="Times New Roman" w:eastAsia="宋体" w:cs="Times New Roman"/>
                <w:b w:val="0"/>
                <w:bCs w:val="0"/>
                <w:color w:val="auto"/>
                <w:kern w:val="2"/>
                <w:sz w:val="24"/>
                <w:szCs w:val="24"/>
                <w:lang w:val="en-US" w:eastAsia="zh-CN" w:bidi="ar-SA"/>
              </w:rPr>
              <w:t>项目风险潜势为Ⅰ。</w:t>
            </w:r>
          </w:p>
          <w:p w14:paraId="32D7A3BA">
            <w:pPr>
              <w:pStyle w:val="2"/>
              <w:keepNext w:val="0"/>
              <w:keepLines w:val="0"/>
              <w:pageBreakBefore w:val="0"/>
              <w:widowControl w:val="0"/>
              <w:numPr>
                <w:ilvl w:val="0"/>
                <w:numId w:val="15"/>
              </w:numPr>
              <w:kinsoku/>
              <w:wordWrap/>
              <w:overflowPunct/>
              <w:topLinePunct w:val="0"/>
              <w:bidi w:val="0"/>
              <w:adjustRightInd w:val="0"/>
              <w:spacing w:line="360" w:lineRule="auto"/>
              <w:ind w:firstLine="480" w:firstLineChars="200"/>
              <w:jc w:val="both"/>
              <w:textAlignment w:val="auto"/>
              <w:rPr>
                <w:rFonts w:hint="default" w:ascii="Times New Roman" w:hAnsi="Times New Roman" w:cs="Times New Roman"/>
                <w:b w:val="0"/>
                <w:bCs/>
                <w:color w:val="auto"/>
              </w:rPr>
            </w:pPr>
            <w:r>
              <w:rPr>
                <w:rFonts w:hint="default" w:ascii="Times New Roman" w:hAnsi="Times New Roman" w:cs="Times New Roman"/>
                <w:b w:val="0"/>
                <w:bCs/>
                <w:color w:val="auto"/>
              </w:rPr>
              <w:t>评价等级</w:t>
            </w:r>
          </w:p>
          <w:p w14:paraId="3E8D8CCB">
            <w:pPr>
              <w:pStyle w:val="2"/>
              <w:keepNext w:val="0"/>
              <w:keepLines w:val="0"/>
              <w:pageBreakBefore w:val="0"/>
              <w:widowControl w:val="0"/>
              <w:kinsoku/>
              <w:wordWrap/>
              <w:overflowPunct/>
              <w:topLinePunct w:val="0"/>
              <w:bidi w:val="0"/>
              <w:adjustRightInd w:val="0"/>
              <w:spacing w:line="360" w:lineRule="auto"/>
              <w:ind w:firstLine="480" w:firstLineChars="2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本项目风险潜势为I，</w:t>
            </w:r>
            <w:r>
              <w:rPr>
                <w:rFonts w:hint="eastAsia" w:ascii="Times New Roman" w:hAnsi="Times New Roman" w:cs="Times New Roman"/>
                <w:b w:val="0"/>
                <w:bCs w:val="0"/>
                <w:color w:val="auto"/>
                <w:lang w:eastAsia="zh-CN"/>
              </w:rPr>
              <w:t>无须设置</w:t>
            </w:r>
            <w:r>
              <w:rPr>
                <w:rFonts w:hint="default" w:ascii="Times New Roman" w:hAnsi="Times New Roman" w:cs="Times New Roman"/>
                <w:b w:val="0"/>
                <w:bCs w:val="0"/>
                <w:color w:val="auto"/>
              </w:rPr>
              <w:t>评价等级及评价范围，仅作简单分析。</w:t>
            </w:r>
          </w:p>
          <w:p w14:paraId="7AC99B4C">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3、风险单元识别</w:t>
            </w:r>
          </w:p>
          <w:p w14:paraId="59CB149A">
            <w:pPr>
              <w:keepNext w:val="0"/>
              <w:keepLines w:val="0"/>
              <w:pageBreakBefore w:val="0"/>
              <w:kinsoku/>
              <w:wordWrap/>
              <w:overflowPunct/>
              <w:topLinePunct w:val="0"/>
              <w:bidi w:val="0"/>
              <w:adjustRightInd w:val="0"/>
              <w:snapToGrid w:val="0"/>
              <w:spacing w:line="360" w:lineRule="auto"/>
              <w:ind w:firstLine="480" w:firstLineChars="200"/>
              <w:rPr>
                <w:color w:val="auto"/>
                <w:sz w:val="24"/>
              </w:rPr>
            </w:pPr>
            <w:r>
              <w:rPr>
                <w:color w:val="auto"/>
                <w:sz w:val="24"/>
              </w:rPr>
              <w:t>生产系统危险性识别包括主要生产装置、储运系统、公用工程系统、工程环保设施及辅助生产设施等。根据</w:t>
            </w:r>
            <w:r>
              <w:rPr>
                <w:rFonts w:hint="eastAsia"/>
                <w:color w:val="auto"/>
                <w:sz w:val="24"/>
              </w:rPr>
              <w:t>本</w:t>
            </w:r>
            <w:r>
              <w:rPr>
                <w:color w:val="auto"/>
                <w:sz w:val="24"/>
              </w:rPr>
              <w:t>项目特点，本次评价生产系统危险性识别结果为风险物质的储存设施，</w:t>
            </w:r>
            <w:r>
              <w:rPr>
                <w:rFonts w:hint="eastAsia"/>
                <w:color w:val="auto"/>
                <w:sz w:val="24"/>
              </w:rPr>
              <w:t>主要为危废暂存</w:t>
            </w:r>
            <w:r>
              <w:rPr>
                <w:rFonts w:hint="eastAsia"/>
                <w:color w:val="auto"/>
                <w:sz w:val="24"/>
                <w:lang w:val="en-US" w:eastAsia="zh-CN"/>
              </w:rPr>
              <w:t>间</w:t>
            </w:r>
            <w:r>
              <w:rPr>
                <w:rFonts w:hint="eastAsia"/>
                <w:color w:val="auto"/>
                <w:sz w:val="24"/>
              </w:rPr>
              <w:t>和原料区</w:t>
            </w:r>
            <w:r>
              <w:rPr>
                <w:color w:val="auto"/>
                <w:sz w:val="24"/>
              </w:rPr>
              <w:t>。</w:t>
            </w:r>
          </w:p>
          <w:p w14:paraId="3245D5FE">
            <w:pPr>
              <w:keepNext w:val="0"/>
              <w:keepLines w:val="0"/>
              <w:pageBreakBefore w:val="0"/>
              <w:kinsoku/>
              <w:wordWrap/>
              <w:overflowPunct/>
              <w:topLinePunct w:val="0"/>
              <w:bidi w:val="0"/>
              <w:adjustRightInd w:val="0"/>
              <w:snapToGrid w:val="0"/>
              <w:spacing w:line="360" w:lineRule="auto"/>
              <w:ind w:firstLine="480" w:firstLineChars="200"/>
              <w:rPr>
                <w:b w:val="0"/>
                <w:bCs w:val="0"/>
                <w:color w:val="auto"/>
                <w:sz w:val="24"/>
              </w:rPr>
            </w:pPr>
            <w:r>
              <w:rPr>
                <w:rFonts w:hint="eastAsia"/>
                <w:b w:val="0"/>
                <w:bCs w:val="0"/>
                <w:color w:val="auto"/>
                <w:sz w:val="24"/>
              </w:rPr>
              <w:t>4</w:t>
            </w:r>
            <w:r>
              <w:rPr>
                <w:b w:val="0"/>
                <w:bCs w:val="0"/>
                <w:color w:val="auto"/>
                <w:sz w:val="24"/>
              </w:rPr>
              <w:t>、</w:t>
            </w:r>
            <w:r>
              <w:rPr>
                <w:rFonts w:hint="eastAsia"/>
                <w:b w:val="0"/>
                <w:bCs w:val="0"/>
                <w:color w:val="auto"/>
                <w:sz w:val="24"/>
              </w:rPr>
              <w:t>环境</w:t>
            </w:r>
            <w:r>
              <w:rPr>
                <w:b w:val="0"/>
                <w:bCs w:val="0"/>
                <w:color w:val="auto"/>
                <w:sz w:val="24"/>
              </w:rPr>
              <w:t>风险</w:t>
            </w:r>
            <w:r>
              <w:rPr>
                <w:rFonts w:hint="eastAsia"/>
                <w:b w:val="0"/>
                <w:bCs w:val="0"/>
                <w:color w:val="auto"/>
                <w:sz w:val="24"/>
              </w:rPr>
              <w:t>类型</w:t>
            </w:r>
          </w:p>
          <w:p w14:paraId="2094454E">
            <w:pPr>
              <w:keepNext w:val="0"/>
              <w:keepLines w:val="0"/>
              <w:pageBreakBefore w:val="0"/>
              <w:kinsoku/>
              <w:wordWrap/>
              <w:overflowPunct/>
              <w:topLinePunct w:val="0"/>
              <w:bidi w:val="0"/>
              <w:spacing w:line="360" w:lineRule="auto"/>
              <w:ind w:firstLine="480" w:firstLineChars="200"/>
              <w:rPr>
                <w:color w:val="auto"/>
                <w:sz w:val="24"/>
              </w:rPr>
            </w:pPr>
            <w:r>
              <w:rPr>
                <w:color w:val="auto"/>
                <w:sz w:val="24"/>
              </w:rPr>
              <w:t>本项目环境风险类型主要为：</w:t>
            </w:r>
          </w:p>
          <w:p w14:paraId="7C93C60D">
            <w:pPr>
              <w:keepNext w:val="0"/>
              <w:keepLines w:val="0"/>
              <w:pageBreakBefore w:val="0"/>
              <w:kinsoku/>
              <w:wordWrap/>
              <w:overflowPunct/>
              <w:topLinePunct w:val="0"/>
              <w:bidi w:val="0"/>
              <w:spacing w:line="360" w:lineRule="auto"/>
              <w:ind w:firstLine="480" w:firstLineChars="200"/>
              <w:rPr>
                <w:color w:val="auto"/>
                <w:sz w:val="24"/>
              </w:rPr>
            </w:pPr>
            <w:r>
              <w:rPr>
                <w:rFonts w:hint="eastAsia"/>
                <w:color w:val="auto"/>
                <w:sz w:val="24"/>
              </w:rPr>
              <w:t>①</w:t>
            </w:r>
            <w:r>
              <w:rPr>
                <w:color w:val="auto"/>
                <w:sz w:val="24"/>
              </w:rPr>
              <w:t>废气处理设施故障，从而影响大气环境；</w:t>
            </w:r>
          </w:p>
          <w:p w14:paraId="17BFD200">
            <w:pPr>
              <w:pStyle w:val="20"/>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color w:val="auto"/>
                <w:szCs w:val="24"/>
              </w:rPr>
            </w:pPr>
            <w:r>
              <w:rPr>
                <w:rFonts w:hint="eastAsia" w:ascii="Times New Roman" w:hAnsi="Times New Roman"/>
                <w:color w:val="auto"/>
                <w:szCs w:val="24"/>
              </w:rPr>
              <w:t>②</w:t>
            </w:r>
            <w:r>
              <w:rPr>
                <w:rFonts w:ascii="Times New Roman" w:hAnsi="Times New Roman"/>
                <w:color w:val="auto"/>
                <w:szCs w:val="24"/>
              </w:rPr>
              <w:t>一般固废暂存区遇明火发生火灾，从而影响大气环境</w:t>
            </w:r>
            <w:r>
              <w:rPr>
                <w:rFonts w:hint="eastAsia" w:ascii="Times New Roman" w:hAnsi="Times New Roman"/>
                <w:color w:val="auto"/>
                <w:szCs w:val="24"/>
              </w:rPr>
              <w:t>；</w:t>
            </w:r>
          </w:p>
          <w:p w14:paraId="5F48601C">
            <w:pPr>
              <w:pStyle w:val="20"/>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b w:val="0"/>
                <w:bCs w:val="0"/>
                <w:snapToGrid w:val="0"/>
                <w:color w:val="auto"/>
                <w:szCs w:val="24"/>
              </w:rPr>
            </w:pPr>
            <w:r>
              <w:rPr>
                <w:rFonts w:hint="eastAsia" w:ascii="Times New Roman" w:hAnsi="Times New Roman"/>
                <w:b w:val="0"/>
                <w:bCs w:val="0"/>
                <w:snapToGrid w:val="0"/>
                <w:color w:val="auto"/>
                <w:szCs w:val="24"/>
              </w:rPr>
              <w:t>5</w:t>
            </w:r>
            <w:r>
              <w:rPr>
                <w:rFonts w:ascii="Times New Roman" w:hAnsi="Times New Roman"/>
                <w:b w:val="0"/>
                <w:bCs w:val="0"/>
                <w:snapToGrid w:val="0"/>
                <w:color w:val="auto"/>
                <w:szCs w:val="24"/>
              </w:rPr>
              <w:t>、环境风险防范措施</w:t>
            </w:r>
          </w:p>
          <w:p w14:paraId="4CC59A10">
            <w:pPr>
              <w:pStyle w:val="20"/>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ascii="Times New Roman" w:hAnsi="Times New Roman"/>
                <w:color w:val="auto"/>
                <w:szCs w:val="24"/>
              </w:rPr>
              <w:t>①</w:t>
            </w:r>
            <w:r>
              <w:rPr>
                <w:rFonts w:ascii="Times New Roman" w:hAnsi="Times New Roman"/>
                <w:snapToGrid w:val="0"/>
                <w:color w:val="auto"/>
                <w:szCs w:val="24"/>
              </w:rPr>
              <w:t>废气治理风险防范措施除加强操作人员工作素质外，主要在于对废气治理装置的日常运行维护，保证各废气处理系统处于良好的工作状态，最大程度减少废气治理风险事故发生的可能性。如发现人为原因不开启废气治理设施，责任人应受行政和经济处罚，并承担事故排放责任。若废气治理措施因故不能运行，则生产必须停止。</w:t>
            </w:r>
          </w:p>
          <w:p w14:paraId="3D7E2F11">
            <w:pPr>
              <w:pStyle w:val="20"/>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cs="宋体"/>
                <w:snapToGrid w:val="0"/>
                <w:color w:val="auto"/>
                <w:szCs w:val="24"/>
              </w:rPr>
            </w:pPr>
            <w:r>
              <w:rPr>
                <w:rFonts w:ascii="Times New Roman" w:hAnsi="Times New Roman"/>
                <w:color w:val="auto"/>
                <w:szCs w:val="24"/>
              </w:rPr>
              <w:t>②</w:t>
            </w:r>
            <w:r>
              <w:rPr>
                <w:bCs/>
                <w:color w:val="auto"/>
                <w:szCs w:val="24"/>
              </w:rPr>
              <w:t>安排</w:t>
            </w:r>
            <w:r>
              <w:rPr>
                <w:rFonts w:hint="eastAsia"/>
                <w:bCs/>
                <w:color w:val="auto"/>
                <w:szCs w:val="24"/>
              </w:rPr>
              <w:t>专员</w:t>
            </w:r>
            <w:r>
              <w:rPr>
                <w:bCs/>
                <w:color w:val="auto"/>
                <w:szCs w:val="24"/>
              </w:rPr>
              <w:t>定期对</w:t>
            </w:r>
            <w:r>
              <w:rPr>
                <w:rFonts w:hint="eastAsia"/>
                <w:bCs/>
                <w:color w:val="auto"/>
                <w:szCs w:val="24"/>
              </w:rPr>
              <w:t>危废</w:t>
            </w:r>
            <w:r>
              <w:rPr>
                <w:rFonts w:hint="eastAsia"/>
                <w:bCs/>
                <w:color w:val="auto"/>
                <w:szCs w:val="24"/>
                <w:lang w:val="en-US" w:eastAsia="zh-CN"/>
              </w:rPr>
              <w:t>间</w:t>
            </w:r>
            <w:r>
              <w:rPr>
                <w:rFonts w:hint="eastAsia"/>
                <w:bCs/>
                <w:color w:val="auto"/>
                <w:szCs w:val="24"/>
              </w:rPr>
              <w:t>和一般固废暂存区</w:t>
            </w:r>
            <w:r>
              <w:rPr>
                <w:bCs/>
                <w:color w:val="auto"/>
                <w:szCs w:val="24"/>
              </w:rPr>
              <w:t>进行检查，严格遵守安全操作规程和消防安全管理制度，远离火种、热源，工作场所严禁吸烟，从源头杜绝火灾事故发生。</w:t>
            </w:r>
          </w:p>
          <w:p w14:paraId="62D5A0CA">
            <w:pPr>
              <w:pStyle w:val="20"/>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ascii="Times New Roman" w:hAnsi="Times New Roman"/>
                <w:color w:val="auto"/>
                <w:szCs w:val="24"/>
              </w:rPr>
              <w:t>③</w:t>
            </w:r>
            <w:r>
              <w:rPr>
                <w:rFonts w:ascii="Times New Roman" w:hAnsi="Times New Roman"/>
                <w:snapToGrid w:val="0"/>
                <w:color w:val="auto"/>
                <w:szCs w:val="24"/>
              </w:rPr>
              <w:t>定期进行安全环保宣传教育以及紧急事故模拟演习，提高事故应变能力</w:t>
            </w:r>
            <w:r>
              <w:rPr>
                <w:rFonts w:hint="eastAsia" w:ascii="Times New Roman" w:hAnsi="Times New Roman"/>
                <w:snapToGrid w:val="0"/>
                <w:color w:val="auto"/>
                <w:szCs w:val="24"/>
              </w:rPr>
              <w:t>。</w:t>
            </w:r>
          </w:p>
          <w:p w14:paraId="310C1452">
            <w:pPr>
              <w:pStyle w:val="20"/>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b w:val="0"/>
                <w:bCs w:val="0"/>
                <w:snapToGrid w:val="0"/>
                <w:color w:val="auto"/>
                <w:szCs w:val="24"/>
              </w:rPr>
            </w:pPr>
            <w:r>
              <w:rPr>
                <w:rFonts w:hint="eastAsia" w:ascii="Times New Roman" w:hAnsi="Times New Roman"/>
                <w:b w:val="0"/>
                <w:bCs w:val="0"/>
                <w:snapToGrid w:val="0"/>
                <w:color w:val="auto"/>
                <w:szCs w:val="24"/>
              </w:rPr>
              <w:t>6</w:t>
            </w:r>
            <w:r>
              <w:rPr>
                <w:rFonts w:ascii="Times New Roman" w:hAnsi="Times New Roman"/>
                <w:b w:val="0"/>
                <w:bCs w:val="0"/>
                <w:snapToGrid w:val="0"/>
                <w:color w:val="auto"/>
                <w:szCs w:val="24"/>
              </w:rPr>
              <w:t>、环境风险</w:t>
            </w:r>
            <w:r>
              <w:rPr>
                <w:rFonts w:hint="eastAsia" w:ascii="Times New Roman" w:hAnsi="Times New Roman"/>
                <w:b w:val="0"/>
                <w:bCs w:val="0"/>
                <w:snapToGrid w:val="0"/>
                <w:color w:val="auto"/>
                <w:szCs w:val="24"/>
              </w:rPr>
              <w:t>应急处置</w:t>
            </w:r>
            <w:r>
              <w:rPr>
                <w:rFonts w:ascii="Times New Roman" w:hAnsi="Times New Roman"/>
                <w:b w:val="0"/>
                <w:bCs w:val="0"/>
                <w:snapToGrid w:val="0"/>
                <w:color w:val="auto"/>
                <w:szCs w:val="24"/>
              </w:rPr>
              <w:t>措施</w:t>
            </w:r>
          </w:p>
          <w:p w14:paraId="13BC9A98">
            <w:pPr>
              <w:pStyle w:val="20"/>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hint="eastAsia" w:ascii="Times New Roman" w:hAnsi="Times New Roman"/>
                <w:color w:val="auto"/>
                <w:szCs w:val="24"/>
              </w:rPr>
              <w:t>①</w:t>
            </w:r>
            <w:r>
              <w:rPr>
                <w:rFonts w:hint="eastAsia" w:ascii="Times New Roman" w:hAnsi="Times New Roman"/>
                <w:snapToGrid w:val="0"/>
                <w:color w:val="auto"/>
                <w:szCs w:val="24"/>
              </w:rPr>
              <w:t>废气处理设施故障事故</w:t>
            </w:r>
          </w:p>
          <w:p w14:paraId="6EDCF55D">
            <w:pPr>
              <w:pStyle w:val="20"/>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hint="eastAsia" w:ascii="Times New Roman" w:hAnsi="Times New Roman"/>
                <w:snapToGrid w:val="0"/>
                <w:color w:val="auto"/>
                <w:szCs w:val="24"/>
              </w:rPr>
              <w:t>当本项目有机废气治理设施发生故障，不能正常运行时，应立即停止对应产污工序的设备运行，待废气处理设施维修好后再开机运行。</w:t>
            </w:r>
          </w:p>
          <w:p w14:paraId="085CA1D6">
            <w:pPr>
              <w:pStyle w:val="20"/>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hint="eastAsia" w:ascii="Times New Roman" w:hAnsi="Times New Roman"/>
                <w:color w:val="auto"/>
                <w:szCs w:val="24"/>
              </w:rPr>
              <w:t>②</w:t>
            </w:r>
            <w:r>
              <w:rPr>
                <w:rFonts w:hint="eastAsia" w:ascii="Times New Roman" w:hAnsi="Times New Roman"/>
                <w:snapToGrid w:val="0"/>
                <w:color w:val="auto"/>
                <w:szCs w:val="24"/>
              </w:rPr>
              <w:t>火灾环境事故</w:t>
            </w:r>
          </w:p>
          <w:p w14:paraId="7ACF1068">
            <w:pPr>
              <w:pStyle w:val="20"/>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hint="eastAsia" w:ascii="Times New Roman" w:hAnsi="Times New Roman"/>
                <w:snapToGrid w:val="0"/>
                <w:color w:val="auto"/>
                <w:szCs w:val="24"/>
              </w:rPr>
              <w:t>当发生火灾事故时，应迅速将易燃物撤离至安全区，禁止无关人员进入火灾区，严格限制出入。救援人员佩戴防毒面具及防护服，使用应急救援物资</w:t>
            </w:r>
            <w:r>
              <w:rPr>
                <w:rFonts w:hint="eastAsia" w:ascii="Times New Roman" w:hAnsi="Times New Roman"/>
                <w:snapToGrid w:val="0"/>
                <w:color w:val="auto"/>
                <w:szCs w:val="24"/>
                <w:lang w:val="en-US" w:eastAsia="zh-CN"/>
              </w:rPr>
              <w:t>进行</w:t>
            </w:r>
            <w:r>
              <w:rPr>
                <w:rFonts w:hint="eastAsia" w:ascii="Times New Roman" w:hAnsi="Times New Roman"/>
                <w:snapToGrid w:val="0"/>
                <w:color w:val="auto"/>
                <w:szCs w:val="24"/>
              </w:rPr>
              <w:t>灭火。</w:t>
            </w:r>
            <w:r>
              <w:rPr>
                <w:rFonts w:ascii="Times New Roman" w:hAnsi="Times New Roman"/>
                <w:snapToGrid w:val="0"/>
                <w:color w:val="auto"/>
                <w:szCs w:val="24"/>
              </w:rPr>
              <w:t>发生小面积火灾</w:t>
            </w:r>
            <w:r>
              <w:rPr>
                <w:rFonts w:hint="eastAsia" w:ascii="Times New Roman" w:hAnsi="Times New Roman"/>
                <w:snapToGrid w:val="0"/>
                <w:color w:val="auto"/>
                <w:szCs w:val="24"/>
              </w:rPr>
              <w:t>时</w:t>
            </w:r>
            <w:r>
              <w:rPr>
                <w:rFonts w:ascii="Times New Roman" w:hAnsi="Times New Roman"/>
                <w:snapToGrid w:val="0"/>
                <w:color w:val="auto"/>
                <w:szCs w:val="24"/>
              </w:rPr>
              <w:t>，采用灭火器、</w:t>
            </w:r>
            <w:r>
              <w:rPr>
                <w:rFonts w:hint="eastAsia" w:ascii="Times New Roman" w:hAnsi="Times New Roman"/>
                <w:snapToGrid w:val="0"/>
                <w:color w:val="auto"/>
                <w:szCs w:val="24"/>
                <w:lang w:eastAsia="zh-CN"/>
              </w:rPr>
              <w:t>消防水</w:t>
            </w:r>
            <w:r>
              <w:rPr>
                <w:rFonts w:ascii="Times New Roman" w:hAnsi="Times New Roman"/>
                <w:snapToGrid w:val="0"/>
                <w:color w:val="auto"/>
                <w:szCs w:val="24"/>
              </w:rPr>
              <w:t>灭火；</w:t>
            </w:r>
            <w:r>
              <w:rPr>
                <w:rFonts w:hint="eastAsia" w:ascii="Times New Roman" w:hAnsi="Times New Roman"/>
                <w:snapToGrid w:val="0"/>
                <w:color w:val="auto"/>
                <w:szCs w:val="24"/>
              </w:rPr>
              <w:t>发生</w:t>
            </w:r>
            <w:r>
              <w:rPr>
                <w:rFonts w:ascii="Times New Roman" w:hAnsi="Times New Roman"/>
                <w:snapToGrid w:val="0"/>
                <w:color w:val="auto"/>
                <w:szCs w:val="24"/>
              </w:rPr>
              <w:t>大面积火灾</w:t>
            </w:r>
            <w:r>
              <w:rPr>
                <w:rFonts w:hint="eastAsia" w:ascii="Times New Roman" w:hAnsi="Times New Roman"/>
                <w:snapToGrid w:val="0"/>
                <w:color w:val="auto"/>
                <w:szCs w:val="24"/>
              </w:rPr>
              <w:t>时，</w:t>
            </w:r>
            <w:r>
              <w:rPr>
                <w:rFonts w:ascii="Times New Roman" w:hAnsi="Times New Roman"/>
                <w:snapToGrid w:val="0"/>
                <w:color w:val="auto"/>
                <w:szCs w:val="24"/>
              </w:rPr>
              <w:t>需使用消防水灭火，产生的消防废水</w:t>
            </w:r>
            <w:r>
              <w:rPr>
                <w:rFonts w:hint="eastAsia" w:ascii="Times New Roman" w:hAnsi="Times New Roman"/>
                <w:snapToGrid w:val="0"/>
                <w:color w:val="auto"/>
                <w:szCs w:val="24"/>
              </w:rPr>
              <w:t>需进行收集</w:t>
            </w:r>
            <w:r>
              <w:rPr>
                <w:rFonts w:ascii="Times New Roman" w:hAnsi="Times New Roman"/>
                <w:snapToGrid w:val="0"/>
                <w:color w:val="auto"/>
                <w:szCs w:val="24"/>
              </w:rPr>
              <w:t>。在火灾事故发生时，及时关闭</w:t>
            </w:r>
            <w:r>
              <w:rPr>
                <w:rFonts w:hint="eastAsia" w:ascii="Times New Roman" w:hAnsi="Times New Roman"/>
                <w:snapToGrid w:val="0"/>
                <w:color w:val="auto"/>
                <w:szCs w:val="24"/>
              </w:rPr>
              <w:t>雨水口紧急关闭阀门，</w:t>
            </w:r>
            <w:r>
              <w:rPr>
                <w:rFonts w:ascii="Times New Roman" w:hAnsi="Times New Roman"/>
                <w:snapToGrid w:val="0"/>
                <w:color w:val="auto"/>
                <w:szCs w:val="24"/>
              </w:rPr>
              <w:t>使事故废水收集至事故应急池中进行暂存，待事故结束后，直接交由有资质单位处理。</w:t>
            </w:r>
          </w:p>
          <w:p w14:paraId="0755C9E7">
            <w:pPr>
              <w:pStyle w:val="20"/>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b w:val="0"/>
                <w:bCs w:val="0"/>
                <w:snapToGrid w:val="0"/>
                <w:color w:val="auto"/>
                <w:szCs w:val="24"/>
              </w:rPr>
            </w:pPr>
            <w:r>
              <w:rPr>
                <w:rFonts w:hint="eastAsia" w:ascii="Times New Roman" w:hAnsi="Times New Roman"/>
                <w:b w:val="0"/>
                <w:bCs w:val="0"/>
                <w:snapToGrid w:val="0"/>
                <w:color w:val="auto"/>
                <w:szCs w:val="24"/>
              </w:rPr>
              <w:t>7、风险评价结论</w:t>
            </w:r>
          </w:p>
          <w:p w14:paraId="0A09D19B">
            <w:pPr>
              <w:pStyle w:val="20"/>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ascii="Times New Roman" w:hAnsi="Times New Roman"/>
                <w:snapToGrid w:val="0"/>
                <w:color w:val="auto"/>
                <w:szCs w:val="24"/>
              </w:rPr>
              <w:t>在各</w:t>
            </w:r>
            <w:r>
              <w:rPr>
                <w:rFonts w:hint="eastAsia" w:ascii="Times New Roman" w:hAnsi="Times New Roman"/>
                <w:snapToGrid w:val="0"/>
                <w:color w:val="auto"/>
                <w:szCs w:val="24"/>
              </w:rPr>
              <w:t>项</w:t>
            </w:r>
            <w:r>
              <w:rPr>
                <w:rFonts w:ascii="Times New Roman" w:hAnsi="Times New Roman"/>
                <w:snapToGrid w:val="0"/>
                <w:color w:val="auto"/>
                <w:szCs w:val="24"/>
              </w:rPr>
              <w:t>环境风险防范措施落实到位的情况下，可降低建设项目的环境风险，最大程度减少对环境可能造成的危害，本项目对环境的风险影响</w:t>
            </w:r>
            <w:r>
              <w:rPr>
                <w:rFonts w:hint="eastAsia" w:ascii="Times New Roman" w:hAnsi="Times New Roman"/>
                <w:snapToGrid w:val="0"/>
                <w:color w:val="auto"/>
                <w:szCs w:val="24"/>
              </w:rPr>
              <w:t>在可接受范围内</w:t>
            </w:r>
            <w:r>
              <w:rPr>
                <w:rFonts w:ascii="Times New Roman" w:hAnsi="Times New Roman"/>
                <w:snapToGrid w:val="0"/>
                <w:color w:val="auto"/>
                <w:szCs w:val="24"/>
              </w:rPr>
              <w:t>。</w:t>
            </w:r>
          </w:p>
          <w:p w14:paraId="26A63B7A">
            <w:pPr>
              <w:pStyle w:val="49"/>
              <w:keepNext w:val="0"/>
              <w:keepLines w:val="0"/>
              <w:pageBreakBefore w:val="0"/>
              <w:kinsoku/>
              <w:wordWrap/>
              <w:overflowPunct/>
              <w:topLinePunct w:val="0"/>
              <w:bidi w:val="0"/>
              <w:snapToGrid w:val="0"/>
              <w:spacing w:line="360" w:lineRule="auto"/>
              <w:ind w:firstLine="482"/>
              <w:jc w:val="both"/>
              <w:rPr>
                <w:rFonts w:ascii="Times New Roman" w:eastAsia="宋体"/>
                <w:b/>
                <w:color w:val="auto"/>
                <w:sz w:val="24"/>
                <w:szCs w:val="24"/>
              </w:rPr>
            </w:pPr>
            <w:r>
              <w:rPr>
                <w:rFonts w:hint="eastAsia" w:ascii="Times New Roman" w:eastAsia="宋体"/>
                <w:b/>
                <w:color w:val="auto"/>
                <w:sz w:val="24"/>
                <w:szCs w:val="24"/>
                <w:lang w:val="en-US" w:eastAsia="zh-CN"/>
              </w:rPr>
              <w:t>七</w:t>
            </w:r>
            <w:r>
              <w:rPr>
                <w:rFonts w:hint="eastAsia" w:ascii="Times New Roman" w:eastAsia="宋体"/>
                <w:b/>
                <w:color w:val="auto"/>
                <w:sz w:val="24"/>
                <w:szCs w:val="24"/>
              </w:rPr>
              <w:t>、本项目环保投资及“三同时”验收</w:t>
            </w:r>
          </w:p>
          <w:p w14:paraId="5941C8B5">
            <w:pPr>
              <w:pStyle w:val="6"/>
              <w:keepNext w:val="0"/>
              <w:keepLines w:val="0"/>
              <w:pageBreakBefore w:val="0"/>
              <w:kinsoku/>
              <w:wordWrap/>
              <w:overflowPunct/>
              <w:topLinePunct w:val="0"/>
              <w:bidi w:val="0"/>
              <w:spacing w:after="0" w:line="360" w:lineRule="auto"/>
              <w:ind w:left="0" w:leftChars="0" w:firstLine="480"/>
              <w:rPr>
                <w:color w:val="auto"/>
              </w:rPr>
            </w:pPr>
            <w:r>
              <w:rPr>
                <w:color w:val="auto"/>
              </w:rPr>
              <w:t>本项目总投资为</w:t>
            </w:r>
            <w:r>
              <w:rPr>
                <w:rFonts w:hint="eastAsia"/>
                <w:color w:val="auto"/>
                <w:lang w:val="en-US" w:eastAsia="zh-CN"/>
              </w:rPr>
              <w:t>2000</w:t>
            </w:r>
            <w:r>
              <w:rPr>
                <w:color w:val="auto"/>
              </w:rPr>
              <w:t>万元，</w:t>
            </w:r>
            <w:r>
              <w:rPr>
                <w:rFonts w:hint="eastAsia" w:ascii="Times New Roman" w:hAnsi="Times New Roman" w:cs="Times New Roman"/>
                <w:color w:val="auto"/>
              </w:rPr>
              <w:t>其中环保投资</w:t>
            </w:r>
            <w:r>
              <w:rPr>
                <w:rFonts w:hint="eastAsia" w:cs="Times New Roman"/>
                <w:color w:val="auto"/>
                <w:lang w:val="en-US" w:eastAsia="zh-CN"/>
              </w:rPr>
              <w:t>31</w:t>
            </w:r>
            <w:r>
              <w:rPr>
                <w:rFonts w:hint="eastAsia" w:ascii="Times New Roman" w:hAnsi="Times New Roman" w:cs="Times New Roman"/>
                <w:color w:val="auto"/>
              </w:rPr>
              <w:t>万元，环保投资占总投资的</w:t>
            </w:r>
            <w:r>
              <w:rPr>
                <w:rFonts w:hint="eastAsia" w:cs="Times New Roman"/>
                <w:color w:val="auto"/>
                <w:lang w:val="en-US" w:eastAsia="zh-CN"/>
              </w:rPr>
              <w:t>1.55</w:t>
            </w:r>
            <w:r>
              <w:rPr>
                <w:rFonts w:hint="eastAsia" w:ascii="Times New Roman" w:hAnsi="Times New Roman" w:cs="Times New Roman"/>
                <w:color w:val="auto"/>
              </w:rPr>
              <w:t>%。本项目环保投资及“三</w:t>
            </w:r>
            <w:r>
              <w:rPr>
                <w:rFonts w:hint="eastAsia"/>
                <w:color w:val="auto"/>
              </w:rPr>
              <w:t>同时”验收内容见</w:t>
            </w:r>
            <w:r>
              <w:rPr>
                <w:rFonts w:hint="eastAsia"/>
                <w:color w:val="auto"/>
                <w:lang w:val="en-US" w:eastAsia="zh-CN"/>
              </w:rPr>
              <w:t>下表</w:t>
            </w:r>
            <w:r>
              <w:rPr>
                <w:rFonts w:hint="eastAsia"/>
                <w:color w:val="auto"/>
              </w:rPr>
              <w:t>。</w:t>
            </w:r>
          </w:p>
          <w:p w14:paraId="1788F644">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ascii="Times New Roman" w:hAnsi="Times New Roman"/>
                <w:b/>
                <w:bCs/>
                <w:color w:val="auto"/>
                <w:sz w:val="21"/>
                <w:szCs w:val="21"/>
              </w:rPr>
            </w:pPr>
            <w:r>
              <w:rPr>
                <w:rFonts w:hint="eastAsia" w:ascii="Times New Roman" w:hAnsi="Times New Roman"/>
                <w:b/>
                <w:bCs/>
                <w:color w:val="auto"/>
                <w:sz w:val="21"/>
                <w:szCs w:val="21"/>
              </w:rPr>
              <w:t>表4-</w:t>
            </w:r>
            <w:r>
              <w:rPr>
                <w:rFonts w:hint="eastAsia" w:ascii="Times New Roman" w:hAnsi="Times New Roman"/>
                <w:b/>
                <w:bCs/>
                <w:color w:val="auto"/>
                <w:sz w:val="21"/>
                <w:szCs w:val="21"/>
                <w:lang w:val="en-US" w:eastAsia="zh-CN"/>
              </w:rPr>
              <w:t xml:space="preserve">27  </w:t>
            </w:r>
            <w:r>
              <w:rPr>
                <w:rFonts w:hint="eastAsia" w:ascii="Times New Roman" w:hAnsi="Times New Roman"/>
                <w:b/>
                <w:bCs/>
                <w:color w:val="auto"/>
                <w:sz w:val="21"/>
                <w:szCs w:val="21"/>
              </w:rPr>
              <w:t>本项目环保投资及“三同时”验收一览表</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008"/>
              <w:gridCol w:w="1080"/>
              <w:gridCol w:w="2240"/>
              <w:gridCol w:w="1320"/>
              <w:gridCol w:w="690"/>
              <w:gridCol w:w="360"/>
            </w:tblGrid>
            <w:tr w14:paraId="54C86B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14:paraId="1D9F4EE5">
                  <w:pPr>
                    <w:pStyle w:val="20"/>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项目</w:t>
                  </w:r>
                </w:p>
              </w:tc>
              <w:tc>
                <w:tcPr>
                  <w:tcW w:w="643" w:type="pct"/>
                  <w:noWrap w:val="0"/>
                  <w:vAlign w:val="center"/>
                </w:tcPr>
                <w:p w14:paraId="71B85600">
                  <w:pPr>
                    <w:pStyle w:val="20"/>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污染源</w:t>
                  </w:r>
                </w:p>
              </w:tc>
              <w:tc>
                <w:tcPr>
                  <w:tcW w:w="689" w:type="pct"/>
                  <w:noWrap w:val="0"/>
                  <w:vAlign w:val="center"/>
                </w:tcPr>
                <w:p w14:paraId="28783165">
                  <w:pPr>
                    <w:pStyle w:val="20"/>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污染物</w:t>
                  </w:r>
                </w:p>
              </w:tc>
              <w:tc>
                <w:tcPr>
                  <w:tcW w:w="1429" w:type="pct"/>
                  <w:noWrap w:val="0"/>
                  <w:vAlign w:val="center"/>
                </w:tcPr>
                <w:p w14:paraId="021442AE">
                  <w:pPr>
                    <w:pStyle w:val="20"/>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rPr>
                    <w:t>治理措施（设施数量、规模、处理能力等）</w:t>
                  </w:r>
                </w:p>
              </w:tc>
              <w:tc>
                <w:tcPr>
                  <w:tcW w:w="842" w:type="pct"/>
                  <w:noWrap w:val="0"/>
                  <w:vAlign w:val="center"/>
                </w:tcPr>
                <w:p w14:paraId="69AF2E01">
                  <w:pPr>
                    <w:pStyle w:val="20"/>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rPr>
                    <w:t>处理效果、执行标准或拟达要求</w:t>
                  </w:r>
                </w:p>
              </w:tc>
              <w:tc>
                <w:tcPr>
                  <w:tcW w:w="440" w:type="pct"/>
                  <w:noWrap w:val="0"/>
                  <w:vAlign w:val="center"/>
                </w:tcPr>
                <w:p w14:paraId="179E3612">
                  <w:pPr>
                    <w:pStyle w:val="20"/>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rPr>
                    <w:t>环保投资（万元）</w:t>
                  </w:r>
                </w:p>
              </w:tc>
              <w:tc>
                <w:tcPr>
                  <w:tcW w:w="229" w:type="pct"/>
                  <w:noWrap w:val="0"/>
                  <w:vAlign w:val="center"/>
                </w:tcPr>
                <w:p w14:paraId="34DDDDFF">
                  <w:pPr>
                    <w:pStyle w:val="20"/>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进度</w:t>
                  </w:r>
                </w:p>
              </w:tc>
            </w:tr>
            <w:tr w14:paraId="7B8E45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25" w:type="pct"/>
                  <w:noWrap w:val="0"/>
                  <w:vAlign w:val="center"/>
                </w:tcPr>
                <w:p w14:paraId="6A7E83F0">
                  <w:pPr>
                    <w:pStyle w:val="20"/>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废气治理</w:t>
                  </w:r>
                </w:p>
              </w:tc>
              <w:tc>
                <w:tcPr>
                  <w:tcW w:w="643" w:type="pct"/>
                  <w:noWrap w:val="0"/>
                  <w:vAlign w:val="center"/>
                </w:tcPr>
                <w:p w14:paraId="3B3B90C2">
                  <w:pPr>
                    <w:pStyle w:val="20"/>
                    <w:spacing w:before="0" w:beforeAutospacing="0" w:after="0" w:afterAutospacing="0"/>
                    <w:jc w:val="center"/>
                    <w:outlineLvl w:val="0"/>
                    <w:rPr>
                      <w:rFonts w:hint="default" w:ascii="Times New Roman" w:hAnsi="Times New Roman" w:eastAsia="宋体"/>
                      <w:color w:val="auto"/>
                      <w:kern w:val="0"/>
                      <w:sz w:val="21"/>
                      <w:szCs w:val="20"/>
                      <w:lang w:val="en-US" w:eastAsia="zh-CN" w:bidi="ar-SA"/>
                    </w:rPr>
                  </w:pPr>
                  <w:r>
                    <w:rPr>
                      <w:rFonts w:hint="eastAsia" w:ascii="Times New Roman" w:hAnsi="Times New Roman"/>
                      <w:color w:val="auto"/>
                      <w:kern w:val="0"/>
                      <w:sz w:val="21"/>
                      <w:szCs w:val="20"/>
                      <w:lang w:val="en-US" w:eastAsia="zh-CN" w:bidi="ar-SA"/>
                    </w:rPr>
                    <w:t>灌装合胶、密封、合片、加热</w:t>
                  </w:r>
                </w:p>
              </w:tc>
              <w:tc>
                <w:tcPr>
                  <w:tcW w:w="689" w:type="pct"/>
                  <w:noWrap w:val="0"/>
                  <w:vAlign w:val="center"/>
                </w:tcPr>
                <w:p w14:paraId="471D70F9">
                  <w:pPr>
                    <w:pStyle w:val="20"/>
                    <w:spacing w:before="0" w:beforeAutospacing="0" w:after="0" w:afterAutospacing="0"/>
                    <w:jc w:val="center"/>
                    <w:outlineLvl w:val="0"/>
                    <w:rPr>
                      <w:rFonts w:hint="default" w:ascii="Times New Roman" w:hAnsi="Times New Roman" w:eastAsia="宋体"/>
                      <w:color w:val="auto"/>
                      <w:kern w:val="0"/>
                      <w:sz w:val="21"/>
                      <w:szCs w:val="20"/>
                      <w:lang w:val="en-US" w:eastAsia="zh-CN" w:bidi="ar-SA"/>
                    </w:rPr>
                  </w:pPr>
                  <w:r>
                    <w:rPr>
                      <w:rFonts w:hint="eastAsia" w:ascii="Times New Roman" w:hAnsi="Times New Roman" w:eastAsia="宋体" w:cs="Times New Roman"/>
                      <w:color w:val="auto"/>
                      <w:sz w:val="21"/>
                      <w:lang w:val="en-US" w:eastAsia="zh-CN"/>
                    </w:rPr>
                    <w:t>非甲烷总烃</w:t>
                  </w:r>
                </w:p>
              </w:tc>
              <w:tc>
                <w:tcPr>
                  <w:tcW w:w="1429" w:type="pct"/>
                  <w:noWrap w:val="0"/>
                  <w:vAlign w:val="center"/>
                </w:tcPr>
                <w:p w14:paraId="1263A97D">
                  <w:pPr>
                    <w:pStyle w:val="20"/>
                    <w:spacing w:before="0" w:beforeAutospacing="0" w:after="0" w:afterAutospacing="0"/>
                    <w:jc w:val="center"/>
                    <w:outlineLvl w:val="0"/>
                    <w:rPr>
                      <w:rFonts w:hint="eastAsia" w:eastAsia="宋体"/>
                      <w:color w:val="auto"/>
                      <w:lang w:val="en-US" w:eastAsia="zh-CN"/>
                    </w:rPr>
                  </w:pPr>
                  <w:r>
                    <w:rPr>
                      <w:rFonts w:hint="eastAsia" w:ascii="Times New Roman" w:hAnsi="Times New Roman"/>
                      <w:color w:val="auto"/>
                      <w:sz w:val="21"/>
                      <w:szCs w:val="21"/>
                    </w:rPr>
                    <w:t>集</w:t>
                  </w:r>
                  <w:r>
                    <w:rPr>
                      <w:rFonts w:hint="eastAsia" w:ascii="Times New Roman" w:hAnsi="Times New Roman" w:eastAsia="宋体" w:cs="Times New Roman"/>
                      <w:color w:val="auto"/>
                      <w:sz w:val="21"/>
                      <w:szCs w:val="21"/>
                    </w:rPr>
                    <w:t>气罩收集后，采用二级活性炭吸附装置</w:t>
                  </w:r>
                  <w:r>
                    <w:rPr>
                      <w:rFonts w:ascii="Times New Roman" w:hAnsi="Times New Roman" w:eastAsia="宋体" w:cs="Times New Roman"/>
                      <w:color w:val="auto"/>
                      <w:sz w:val="21"/>
                      <w:szCs w:val="21"/>
                    </w:rPr>
                    <w:t>处理</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通过15米高</w:t>
                  </w:r>
                  <w:r>
                    <w:rPr>
                      <w:rFonts w:ascii="Times New Roman" w:hAnsi="Times New Roman"/>
                      <w:color w:val="auto"/>
                      <w:sz w:val="21"/>
                      <w:szCs w:val="21"/>
                    </w:rPr>
                    <w:t>排气筒</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DA001）</w:t>
                  </w:r>
                  <w:r>
                    <w:rPr>
                      <w:rFonts w:ascii="Times New Roman" w:hAnsi="Times New Roman"/>
                      <w:color w:val="auto"/>
                      <w:sz w:val="21"/>
                      <w:szCs w:val="21"/>
                    </w:rPr>
                    <w:t>排放</w:t>
                  </w:r>
                </w:p>
              </w:tc>
              <w:tc>
                <w:tcPr>
                  <w:tcW w:w="842" w:type="pct"/>
                  <w:noWrap w:val="0"/>
                  <w:vAlign w:val="center"/>
                </w:tcPr>
                <w:p w14:paraId="55548C90">
                  <w:pPr>
                    <w:pStyle w:val="20"/>
                    <w:spacing w:before="0" w:beforeAutospacing="0" w:after="0" w:afterAutospacing="0"/>
                    <w:jc w:val="center"/>
                    <w:outlineLvl w:val="0"/>
                    <w:rPr>
                      <w:rFonts w:ascii="Times New Roman" w:hAnsi="Times New Roman"/>
                      <w:color w:val="auto"/>
                      <w:kern w:val="0"/>
                      <w:sz w:val="21"/>
                      <w:szCs w:val="20"/>
                      <w:lang w:val="en-US" w:eastAsia="zh-CN" w:bidi="ar-SA"/>
                    </w:rPr>
                  </w:pPr>
                  <w:r>
                    <w:rPr>
                      <w:rFonts w:hint="eastAsia" w:ascii="Times New Roman" w:hAnsi="Times New Roman"/>
                      <w:color w:val="auto"/>
                      <w:sz w:val="21"/>
                    </w:rPr>
                    <w:t>《玻璃工业大气污染物排放标准》（GB26453-2022）</w:t>
                  </w:r>
                </w:p>
              </w:tc>
              <w:tc>
                <w:tcPr>
                  <w:tcW w:w="440" w:type="pct"/>
                  <w:noWrap w:val="0"/>
                  <w:vAlign w:val="center"/>
                </w:tcPr>
                <w:p w14:paraId="503BD5FE">
                  <w:pPr>
                    <w:pStyle w:val="20"/>
                    <w:spacing w:before="0" w:beforeAutospacing="0" w:after="0" w:afterAutospacing="0"/>
                    <w:jc w:val="center"/>
                    <w:outlineLvl w:val="0"/>
                    <w:rPr>
                      <w:rFonts w:hint="eastAsia" w:ascii="Times New Roman" w:hAnsi="Times New Roman"/>
                      <w:color w:val="auto"/>
                      <w:sz w:val="21"/>
                      <w:lang w:val="en-US" w:eastAsia="zh-CN"/>
                    </w:rPr>
                  </w:pPr>
                  <w:r>
                    <w:rPr>
                      <w:rFonts w:hint="eastAsia" w:ascii="Times New Roman" w:hAnsi="Times New Roman"/>
                      <w:color w:val="auto"/>
                      <w:sz w:val="21"/>
                      <w:lang w:val="en-US" w:eastAsia="zh-CN"/>
                    </w:rPr>
                    <w:t>15</w:t>
                  </w:r>
                </w:p>
              </w:tc>
              <w:tc>
                <w:tcPr>
                  <w:tcW w:w="229" w:type="pct"/>
                  <w:vMerge w:val="restart"/>
                  <w:noWrap w:val="0"/>
                  <w:vAlign w:val="center"/>
                </w:tcPr>
                <w:p w14:paraId="7A9D7FED">
                  <w:pPr>
                    <w:pStyle w:val="20"/>
                    <w:spacing w:before="0" w:beforeAutospacing="0" w:after="0" w:afterAutospacing="0"/>
                    <w:jc w:val="center"/>
                    <w:outlineLvl w:val="0"/>
                    <w:rPr>
                      <w:rFonts w:hint="default" w:ascii="Times New Roman" w:hAnsi="Times New Roman" w:eastAsia="宋体"/>
                      <w:color w:val="auto"/>
                      <w:sz w:val="21"/>
                      <w:lang w:val="en-US" w:eastAsia="zh-CN"/>
                    </w:rPr>
                  </w:pPr>
                </w:p>
                <w:p w14:paraId="0752F4B4">
                  <w:pPr>
                    <w:pStyle w:val="20"/>
                    <w:spacing w:before="0" w:beforeAutospacing="0" w:after="0" w:afterAutospacing="0"/>
                    <w:jc w:val="center"/>
                    <w:outlineLvl w:val="0"/>
                    <w:rPr>
                      <w:rFonts w:hint="default" w:ascii="Times New Roman" w:hAnsi="Times New Roman" w:eastAsia="宋体"/>
                      <w:color w:val="auto"/>
                      <w:sz w:val="21"/>
                      <w:lang w:val="en-US" w:eastAsia="zh-CN"/>
                    </w:rPr>
                  </w:pPr>
                </w:p>
                <w:p w14:paraId="65D5D9BD">
                  <w:pPr>
                    <w:pStyle w:val="20"/>
                    <w:spacing w:before="0" w:beforeAutospacing="0" w:after="0" w:afterAutospacing="0"/>
                    <w:jc w:val="center"/>
                    <w:outlineLvl w:val="0"/>
                    <w:rPr>
                      <w:rFonts w:hint="default" w:ascii="Times New Roman" w:hAnsi="Times New Roman" w:eastAsia="宋体"/>
                      <w:color w:val="auto"/>
                      <w:sz w:val="21"/>
                      <w:lang w:val="en-US" w:eastAsia="zh-CN"/>
                    </w:rPr>
                  </w:pPr>
                </w:p>
                <w:p w14:paraId="66AC21C2">
                  <w:pPr>
                    <w:pStyle w:val="20"/>
                    <w:spacing w:before="0" w:beforeAutospacing="0" w:after="0" w:afterAutospacing="0"/>
                    <w:jc w:val="center"/>
                    <w:outlineLvl w:val="0"/>
                    <w:rPr>
                      <w:rFonts w:hint="default" w:ascii="Times New Roman" w:hAnsi="Times New Roman" w:eastAsia="宋体"/>
                      <w:color w:val="auto"/>
                      <w:sz w:val="21"/>
                      <w:lang w:val="en-US" w:eastAsia="zh-CN"/>
                    </w:rPr>
                  </w:pPr>
                </w:p>
                <w:p w14:paraId="76B89B3D">
                  <w:pPr>
                    <w:pStyle w:val="20"/>
                    <w:spacing w:before="0" w:beforeAutospacing="0" w:after="0" w:afterAutospacing="0"/>
                    <w:jc w:val="center"/>
                    <w:outlineLvl w:val="0"/>
                    <w:rPr>
                      <w:rFonts w:hint="default" w:ascii="Times New Roman" w:hAnsi="Times New Roman" w:eastAsia="宋体"/>
                      <w:color w:val="auto"/>
                      <w:sz w:val="21"/>
                      <w:lang w:val="en-US" w:eastAsia="zh-CN"/>
                    </w:rPr>
                  </w:pPr>
                </w:p>
                <w:p w14:paraId="7BEBB32E">
                  <w:pPr>
                    <w:pStyle w:val="20"/>
                    <w:spacing w:before="0" w:beforeAutospacing="0" w:after="0" w:afterAutospacing="0"/>
                    <w:jc w:val="center"/>
                    <w:outlineLvl w:val="0"/>
                    <w:rPr>
                      <w:rFonts w:hint="default" w:ascii="Times New Roman" w:hAnsi="Times New Roman" w:eastAsia="宋体"/>
                      <w:color w:val="auto"/>
                      <w:sz w:val="21"/>
                      <w:lang w:val="en-US" w:eastAsia="zh-CN"/>
                    </w:rPr>
                  </w:pPr>
                </w:p>
                <w:p w14:paraId="6139AAF2">
                  <w:pPr>
                    <w:pStyle w:val="20"/>
                    <w:spacing w:before="0" w:beforeAutospacing="0" w:after="0" w:afterAutospacing="0"/>
                    <w:jc w:val="center"/>
                    <w:outlineLvl w:val="0"/>
                    <w:rPr>
                      <w:rFonts w:hint="default" w:ascii="Times New Roman" w:hAnsi="Times New Roman" w:eastAsia="宋体"/>
                      <w:color w:val="auto"/>
                      <w:sz w:val="21"/>
                      <w:lang w:val="en-US" w:eastAsia="zh-CN"/>
                    </w:rPr>
                  </w:pPr>
                </w:p>
                <w:p w14:paraId="6580B79D">
                  <w:pPr>
                    <w:pStyle w:val="20"/>
                    <w:spacing w:before="0" w:beforeAutospacing="0" w:after="0" w:afterAutospacing="0"/>
                    <w:jc w:val="center"/>
                    <w:outlineLvl w:val="0"/>
                    <w:rPr>
                      <w:rFonts w:hint="default" w:ascii="Times New Roman" w:hAnsi="Times New Roman" w:eastAsia="宋体"/>
                      <w:color w:val="auto"/>
                      <w:sz w:val="21"/>
                      <w:lang w:val="en-US" w:eastAsia="zh-CN"/>
                    </w:rPr>
                  </w:pPr>
                </w:p>
                <w:p w14:paraId="28F44DD2">
                  <w:pPr>
                    <w:pStyle w:val="20"/>
                    <w:spacing w:before="0" w:beforeAutospacing="0" w:after="0" w:afterAutospacing="0"/>
                    <w:jc w:val="center"/>
                    <w:outlineLvl w:val="0"/>
                    <w:rPr>
                      <w:rFonts w:hint="default" w:ascii="Times New Roman" w:hAnsi="Times New Roman" w:eastAsia="宋体"/>
                      <w:color w:val="auto"/>
                      <w:sz w:val="21"/>
                      <w:lang w:val="en-US" w:eastAsia="zh-CN"/>
                    </w:rPr>
                  </w:pPr>
                </w:p>
                <w:p w14:paraId="3CF7A2E0">
                  <w:pPr>
                    <w:pStyle w:val="20"/>
                    <w:spacing w:before="0" w:beforeAutospacing="0" w:after="0" w:afterAutospacing="0"/>
                    <w:jc w:val="center"/>
                    <w:outlineLvl w:val="0"/>
                    <w:rPr>
                      <w:rFonts w:hint="default" w:ascii="Times New Roman" w:hAnsi="Times New Roman" w:eastAsia="宋体"/>
                      <w:color w:val="auto"/>
                      <w:sz w:val="21"/>
                      <w:lang w:val="en-US" w:eastAsia="zh-CN"/>
                    </w:rPr>
                  </w:pPr>
                </w:p>
                <w:p w14:paraId="56D6D70B">
                  <w:pPr>
                    <w:pStyle w:val="20"/>
                    <w:spacing w:before="0" w:beforeAutospacing="0" w:after="0" w:afterAutospacing="0"/>
                    <w:jc w:val="center"/>
                    <w:outlineLvl w:val="0"/>
                    <w:rPr>
                      <w:rFonts w:hint="default" w:ascii="Times New Roman" w:hAnsi="Times New Roman" w:eastAsia="宋体"/>
                      <w:color w:val="auto"/>
                      <w:sz w:val="21"/>
                      <w:lang w:val="en-US" w:eastAsia="zh-CN"/>
                    </w:rPr>
                  </w:pPr>
                </w:p>
                <w:p w14:paraId="2F4804BC">
                  <w:pPr>
                    <w:pStyle w:val="20"/>
                    <w:spacing w:before="0" w:beforeAutospacing="0" w:after="0" w:afterAutospacing="0"/>
                    <w:jc w:val="center"/>
                    <w:outlineLvl w:val="0"/>
                    <w:rPr>
                      <w:rFonts w:hint="default" w:ascii="Times New Roman" w:hAnsi="Times New Roman" w:eastAsia="宋体"/>
                      <w:color w:val="auto"/>
                      <w:sz w:val="21"/>
                      <w:lang w:val="en-US" w:eastAsia="zh-CN"/>
                    </w:rPr>
                  </w:pPr>
                </w:p>
                <w:p w14:paraId="34476596">
                  <w:pPr>
                    <w:pStyle w:val="20"/>
                    <w:spacing w:before="0" w:beforeAutospacing="0" w:after="0" w:afterAutospacing="0"/>
                    <w:jc w:val="center"/>
                    <w:outlineLvl w:val="0"/>
                    <w:rPr>
                      <w:rFonts w:hint="default" w:ascii="Times New Roman" w:hAnsi="Times New Roman" w:eastAsia="宋体"/>
                      <w:color w:val="auto"/>
                      <w:sz w:val="21"/>
                      <w:lang w:val="en-US" w:eastAsia="zh-CN"/>
                    </w:rPr>
                  </w:pPr>
                </w:p>
                <w:p w14:paraId="5F13A56C">
                  <w:pPr>
                    <w:pStyle w:val="20"/>
                    <w:spacing w:before="0" w:beforeAutospacing="0" w:after="0" w:afterAutospacing="0"/>
                    <w:jc w:val="center"/>
                    <w:outlineLvl w:val="0"/>
                    <w:rPr>
                      <w:rFonts w:hint="default" w:ascii="Times New Roman" w:hAnsi="Times New Roman" w:eastAsia="宋体"/>
                      <w:color w:val="auto"/>
                      <w:sz w:val="21"/>
                      <w:lang w:val="en-US" w:eastAsia="zh-CN"/>
                    </w:rPr>
                  </w:pPr>
                </w:p>
                <w:p w14:paraId="017CE7D0">
                  <w:pPr>
                    <w:pStyle w:val="20"/>
                    <w:spacing w:before="0" w:beforeAutospacing="0" w:after="0" w:afterAutospacing="0"/>
                    <w:jc w:val="center"/>
                    <w:outlineLvl w:val="0"/>
                    <w:rPr>
                      <w:rFonts w:hint="default" w:ascii="Times New Roman" w:hAnsi="Times New Roman" w:eastAsia="宋体"/>
                      <w:color w:val="auto"/>
                      <w:sz w:val="21"/>
                      <w:lang w:val="en-US" w:eastAsia="zh-CN"/>
                    </w:rPr>
                  </w:pPr>
                </w:p>
                <w:p w14:paraId="2BEBE6B9">
                  <w:pPr>
                    <w:pStyle w:val="20"/>
                    <w:spacing w:before="0" w:beforeAutospacing="0" w:after="0" w:afterAutospacing="0"/>
                    <w:jc w:val="center"/>
                    <w:outlineLvl w:val="0"/>
                    <w:rPr>
                      <w:rFonts w:hint="default" w:ascii="Times New Roman" w:hAnsi="Times New Roman" w:eastAsia="宋体"/>
                      <w:color w:val="auto"/>
                      <w:sz w:val="21"/>
                      <w:lang w:val="en-US" w:eastAsia="zh-CN"/>
                    </w:rPr>
                  </w:pPr>
                </w:p>
                <w:p w14:paraId="6202E0B9">
                  <w:pPr>
                    <w:pStyle w:val="20"/>
                    <w:spacing w:before="0" w:beforeAutospacing="0" w:after="0" w:afterAutospacing="0"/>
                    <w:jc w:val="center"/>
                    <w:outlineLvl w:val="0"/>
                    <w:rPr>
                      <w:rFonts w:hint="default" w:ascii="Times New Roman" w:hAnsi="Times New Roman" w:eastAsia="宋体"/>
                      <w:color w:val="auto"/>
                      <w:sz w:val="21"/>
                      <w:lang w:val="en-US" w:eastAsia="zh-CN"/>
                    </w:rPr>
                  </w:pPr>
                </w:p>
                <w:p w14:paraId="5BF569DA">
                  <w:pPr>
                    <w:pStyle w:val="20"/>
                    <w:spacing w:before="0" w:beforeAutospacing="0" w:after="0" w:afterAutospacing="0"/>
                    <w:jc w:val="center"/>
                    <w:outlineLvl w:val="0"/>
                    <w:rPr>
                      <w:rFonts w:hint="default" w:ascii="Times New Roman" w:hAnsi="Times New Roman" w:eastAsia="宋体"/>
                      <w:color w:val="auto"/>
                      <w:sz w:val="21"/>
                      <w:lang w:val="en-US" w:eastAsia="zh-CN"/>
                    </w:rPr>
                  </w:pPr>
                </w:p>
                <w:p w14:paraId="4F4E0CC2">
                  <w:pPr>
                    <w:pStyle w:val="20"/>
                    <w:spacing w:before="0" w:beforeAutospacing="0" w:after="0" w:afterAutospacing="0"/>
                    <w:jc w:val="center"/>
                    <w:outlineLvl w:val="0"/>
                    <w:rPr>
                      <w:rFonts w:hint="default" w:ascii="Times New Roman" w:hAnsi="Times New Roman" w:eastAsia="宋体"/>
                      <w:color w:val="auto"/>
                      <w:sz w:val="21"/>
                      <w:lang w:val="en-US" w:eastAsia="zh-CN"/>
                    </w:rPr>
                  </w:pPr>
                </w:p>
                <w:p w14:paraId="37DFC9C5">
                  <w:pPr>
                    <w:pStyle w:val="20"/>
                    <w:spacing w:before="0" w:beforeAutospacing="0" w:after="0" w:afterAutospacing="0"/>
                    <w:jc w:val="center"/>
                    <w:outlineLvl w:val="0"/>
                    <w:rPr>
                      <w:rFonts w:hint="default" w:ascii="Times New Roman" w:hAnsi="Times New Roman" w:eastAsia="宋体"/>
                      <w:color w:val="auto"/>
                      <w:sz w:val="21"/>
                      <w:lang w:val="en-US" w:eastAsia="zh-CN"/>
                    </w:rPr>
                  </w:pPr>
                  <w:r>
                    <w:rPr>
                      <w:rFonts w:hint="default" w:ascii="Times New Roman" w:hAnsi="Times New Roman"/>
                      <w:color w:val="auto"/>
                      <w:sz w:val="21"/>
                      <w:lang w:val="en-US" w:eastAsia="zh-CN"/>
                    </w:rPr>
                    <w:t>与主体工程同时设计、同时施工、同时投入运行</w:t>
                  </w:r>
                </w:p>
              </w:tc>
            </w:tr>
            <w:tr w14:paraId="507249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725" w:type="pct"/>
                  <w:noWrap w:val="0"/>
                  <w:vAlign w:val="center"/>
                </w:tcPr>
                <w:p w14:paraId="4A32B627">
                  <w:pPr>
                    <w:pStyle w:val="20"/>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废水治理</w:t>
                  </w:r>
                </w:p>
              </w:tc>
              <w:tc>
                <w:tcPr>
                  <w:tcW w:w="643" w:type="pct"/>
                  <w:noWrap w:val="0"/>
                  <w:vAlign w:val="center"/>
                </w:tcPr>
                <w:p w14:paraId="403A08FE">
                  <w:pPr>
                    <w:pStyle w:val="20"/>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生活</w:t>
                  </w:r>
                </w:p>
                <w:p w14:paraId="04C6B408">
                  <w:pPr>
                    <w:pStyle w:val="20"/>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污水</w:t>
                  </w:r>
                </w:p>
              </w:tc>
              <w:tc>
                <w:tcPr>
                  <w:tcW w:w="689" w:type="pct"/>
                  <w:noWrap w:val="0"/>
                  <w:vAlign w:val="center"/>
                </w:tcPr>
                <w:p w14:paraId="3987B5D8">
                  <w:pPr>
                    <w:pStyle w:val="20"/>
                    <w:spacing w:before="0" w:beforeAutospacing="0" w:after="0" w:afterAutospacing="0"/>
                    <w:jc w:val="center"/>
                    <w:outlineLvl w:val="0"/>
                    <w:rPr>
                      <w:rFonts w:hint="default" w:ascii="Times New Roman" w:hAnsi="Times New Roman"/>
                      <w:color w:val="auto"/>
                      <w:sz w:val="21"/>
                      <w:lang w:val="en-US"/>
                    </w:rPr>
                  </w:pPr>
                  <w:r>
                    <w:rPr>
                      <w:rFonts w:hint="eastAsia" w:ascii="Times New Roman" w:hAnsi="Times New Roman"/>
                      <w:color w:val="auto"/>
                      <w:sz w:val="21"/>
                    </w:rPr>
                    <w:t>COD、SS、NH</w:t>
                  </w:r>
                  <w:r>
                    <w:rPr>
                      <w:rFonts w:hint="eastAsia" w:ascii="Times New Roman" w:hAnsi="Times New Roman"/>
                      <w:color w:val="auto"/>
                      <w:sz w:val="21"/>
                      <w:vertAlign w:val="subscript"/>
                    </w:rPr>
                    <w:t>3</w:t>
                  </w:r>
                  <w:r>
                    <w:rPr>
                      <w:rFonts w:hint="eastAsia" w:ascii="Times New Roman" w:hAnsi="Times New Roman"/>
                      <w:color w:val="auto"/>
                      <w:sz w:val="21"/>
                    </w:rPr>
                    <w:t>-N、T</w:t>
                  </w:r>
                  <w:r>
                    <w:rPr>
                      <w:rFonts w:hint="eastAsia" w:ascii="Times New Roman" w:hAnsi="Times New Roman"/>
                      <w:color w:val="auto"/>
                      <w:sz w:val="21"/>
                      <w:lang w:val="en-US" w:eastAsia="zh-CN"/>
                    </w:rPr>
                    <w:t>N</w:t>
                  </w:r>
                  <w:r>
                    <w:rPr>
                      <w:rFonts w:hint="eastAsia" w:ascii="Times New Roman" w:hAnsi="Times New Roman"/>
                      <w:color w:val="auto"/>
                      <w:sz w:val="21"/>
                    </w:rPr>
                    <w:t>、T</w:t>
                  </w:r>
                  <w:r>
                    <w:rPr>
                      <w:rFonts w:hint="eastAsia" w:ascii="Times New Roman" w:hAnsi="Times New Roman"/>
                      <w:color w:val="auto"/>
                      <w:sz w:val="21"/>
                      <w:lang w:val="en-US" w:eastAsia="zh-CN"/>
                    </w:rPr>
                    <w:t>P</w:t>
                  </w:r>
                </w:p>
              </w:tc>
              <w:tc>
                <w:tcPr>
                  <w:tcW w:w="1429" w:type="pct"/>
                  <w:noWrap w:val="0"/>
                  <w:vAlign w:val="center"/>
                </w:tcPr>
                <w:p w14:paraId="3E9ADFA5">
                  <w:pPr>
                    <w:pStyle w:val="20"/>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经</w:t>
                  </w:r>
                  <w:r>
                    <w:rPr>
                      <w:rFonts w:hint="eastAsia" w:ascii="Times New Roman" w:hAnsi="Times New Roman"/>
                      <w:color w:val="auto"/>
                      <w:sz w:val="21"/>
                      <w:lang w:eastAsia="zh-CN"/>
                    </w:rPr>
                    <w:t>化粪池预处理</w:t>
                  </w:r>
                  <w:r>
                    <w:rPr>
                      <w:rFonts w:hint="eastAsia" w:ascii="Times New Roman" w:hAnsi="Times New Roman"/>
                      <w:color w:val="auto"/>
                      <w:sz w:val="21"/>
                      <w:lang w:val="en-US" w:eastAsia="zh-CN"/>
                    </w:rPr>
                    <w:t>后接管至涟水经济开发区西区污水处理厂</w:t>
                  </w:r>
                </w:p>
              </w:tc>
              <w:tc>
                <w:tcPr>
                  <w:tcW w:w="842" w:type="pct"/>
                  <w:noWrap w:val="0"/>
                  <w:vAlign w:val="center"/>
                </w:tcPr>
                <w:p w14:paraId="45A35EB7">
                  <w:pPr>
                    <w:pStyle w:val="20"/>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达到涟水经济开发区西区污水处理厂接管标准</w:t>
                  </w:r>
                </w:p>
              </w:tc>
              <w:tc>
                <w:tcPr>
                  <w:tcW w:w="440" w:type="pct"/>
                  <w:noWrap w:val="0"/>
                  <w:vAlign w:val="center"/>
                </w:tcPr>
                <w:p w14:paraId="491CF6CD">
                  <w:pPr>
                    <w:pStyle w:val="20"/>
                    <w:spacing w:before="0" w:beforeAutospacing="0" w:after="0" w:afterAutospacing="0"/>
                    <w:jc w:val="center"/>
                    <w:outlineLvl w:val="0"/>
                    <w:rPr>
                      <w:rFonts w:hint="eastAsia" w:ascii="Times New Roman" w:hAnsi="Times New Roman"/>
                      <w:color w:val="auto"/>
                      <w:sz w:val="21"/>
                      <w:lang w:val="en-US" w:eastAsia="zh-CN"/>
                    </w:rPr>
                  </w:pPr>
                  <w:r>
                    <w:rPr>
                      <w:rFonts w:hint="eastAsia" w:ascii="Times New Roman" w:hAnsi="Times New Roman"/>
                      <w:color w:val="auto"/>
                      <w:sz w:val="21"/>
                      <w:lang w:val="en-US" w:eastAsia="zh-CN"/>
                    </w:rPr>
                    <w:t>2</w:t>
                  </w:r>
                </w:p>
              </w:tc>
              <w:tc>
                <w:tcPr>
                  <w:tcW w:w="229" w:type="pct"/>
                  <w:vMerge w:val="continue"/>
                  <w:noWrap w:val="0"/>
                  <w:vAlign w:val="center"/>
                </w:tcPr>
                <w:p w14:paraId="51C4E82F">
                  <w:pPr>
                    <w:pStyle w:val="20"/>
                    <w:spacing w:before="0" w:beforeAutospacing="0" w:after="0" w:afterAutospacing="0"/>
                    <w:jc w:val="center"/>
                    <w:outlineLvl w:val="0"/>
                    <w:rPr>
                      <w:rFonts w:hint="eastAsia" w:ascii="Times New Roman" w:hAnsi="Times New Roman" w:eastAsia="宋体"/>
                      <w:color w:val="auto"/>
                      <w:sz w:val="21"/>
                      <w:lang w:eastAsia="zh-CN"/>
                    </w:rPr>
                  </w:pPr>
                </w:p>
              </w:tc>
            </w:tr>
            <w:tr w14:paraId="24E578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25" w:type="pct"/>
                  <w:noWrap w:val="0"/>
                  <w:vAlign w:val="center"/>
                </w:tcPr>
                <w:p w14:paraId="6F013F67">
                  <w:pPr>
                    <w:pStyle w:val="20"/>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噪声治理</w:t>
                  </w:r>
                </w:p>
              </w:tc>
              <w:tc>
                <w:tcPr>
                  <w:tcW w:w="643" w:type="pct"/>
                  <w:noWrap w:val="0"/>
                  <w:vAlign w:val="center"/>
                </w:tcPr>
                <w:p w14:paraId="38E6002C">
                  <w:pPr>
                    <w:pStyle w:val="20"/>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生产</w:t>
                  </w:r>
                </w:p>
                <w:p w14:paraId="1CB2E411">
                  <w:pPr>
                    <w:pStyle w:val="20"/>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设备</w:t>
                  </w:r>
                </w:p>
              </w:tc>
              <w:tc>
                <w:tcPr>
                  <w:tcW w:w="689" w:type="pct"/>
                  <w:noWrap w:val="0"/>
                  <w:vAlign w:val="center"/>
                </w:tcPr>
                <w:p w14:paraId="5046DF7C">
                  <w:pPr>
                    <w:pStyle w:val="20"/>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噪声</w:t>
                  </w:r>
                </w:p>
              </w:tc>
              <w:tc>
                <w:tcPr>
                  <w:tcW w:w="1429" w:type="pct"/>
                  <w:noWrap w:val="0"/>
                  <w:vAlign w:val="center"/>
                </w:tcPr>
                <w:p w14:paraId="0CFFE3FF">
                  <w:pPr>
                    <w:pStyle w:val="20"/>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rPr>
                    <w:t>合理布局、基础</w:t>
                  </w:r>
                  <w:r>
                    <w:rPr>
                      <w:rFonts w:hint="eastAsia" w:ascii="Times New Roman" w:hAnsi="Times New Roman"/>
                      <w:color w:val="auto"/>
                      <w:sz w:val="21"/>
                      <w:lang w:val="en-US" w:eastAsia="zh-CN"/>
                    </w:rPr>
                    <w:t>减</w:t>
                  </w:r>
                  <w:r>
                    <w:rPr>
                      <w:rFonts w:ascii="Times New Roman" w:hAnsi="Times New Roman"/>
                      <w:color w:val="auto"/>
                      <w:sz w:val="21"/>
                    </w:rPr>
                    <w:t>震、墙体隔声</w:t>
                  </w:r>
                </w:p>
              </w:tc>
              <w:tc>
                <w:tcPr>
                  <w:tcW w:w="842" w:type="pct"/>
                  <w:noWrap w:val="0"/>
                  <w:vAlign w:val="center"/>
                </w:tcPr>
                <w:p w14:paraId="4F41D8EA">
                  <w:pPr>
                    <w:pStyle w:val="20"/>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厂界达标</w:t>
                  </w:r>
                </w:p>
              </w:tc>
              <w:tc>
                <w:tcPr>
                  <w:tcW w:w="440" w:type="pct"/>
                  <w:noWrap w:val="0"/>
                  <w:vAlign w:val="center"/>
                </w:tcPr>
                <w:p w14:paraId="61445675">
                  <w:pPr>
                    <w:pStyle w:val="20"/>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2</w:t>
                  </w:r>
                </w:p>
              </w:tc>
              <w:tc>
                <w:tcPr>
                  <w:tcW w:w="229" w:type="pct"/>
                  <w:vMerge w:val="continue"/>
                  <w:noWrap w:val="0"/>
                  <w:vAlign w:val="center"/>
                </w:tcPr>
                <w:p w14:paraId="0A7CB71E">
                  <w:pPr>
                    <w:pStyle w:val="20"/>
                    <w:spacing w:before="0" w:beforeAutospacing="0" w:after="0" w:afterAutospacing="0"/>
                    <w:jc w:val="center"/>
                    <w:outlineLvl w:val="0"/>
                    <w:rPr>
                      <w:rFonts w:ascii="Times New Roman" w:hAnsi="Times New Roman"/>
                      <w:color w:val="auto"/>
                      <w:sz w:val="21"/>
                    </w:rPr>
                  </w:pPr>
                </w:p>
              </w:tc>
            </w:tr>
            <w:tr w14:paraId="3152C7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restart"/>
                  <w:noWrap w:val="0"/>
                  <w:vAlign w:val="center"/>
                </w:tcPr>
                <w:p w14:paraId="4C2613BA">
                  <w:pPr>
                    <w:pStyle w:val="20"/>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固废治理</w:t>
                  </w:r>
                </w:p>
              </w:tc>
              <w:tc>
                <w:tcPr>
                  <w:tcW w:w="643" w:type="pct"/>
                  <w:shd w:val="clear" w:color="auto" w:fill="auto"/>
                  <w:noWrap w:val="0"/>
                  <w:vAlign w:val="center"/>
                </w:tcPr>
                <w:p w14:paraId="73F6248D">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ascii="Times New Roman" w:hAnsi="Times New Roman" w:eastAsia="宋体" w:cs="Times New Roman"/>
                      <w:color w:val="auto"/>
                      <w:kern w:val="0"/>
                      <w:sz w:val="21"/>
                      <w:szCs w:val="20"/>
                      <w:lang w:val="en-US" w:eastAsia="zh-CN" w:bidi="ar-SA"/>
                    </w:rPr>
                  </w:pPr>
                  <w:r>
                    <w:rPr>
                      <w:rFonts w:hint="eastAsia"/>
                      <w:color w:val="auto"/>
                      <w:sz w:val="21"/>
                      <w:lang w:val="en-US" w:eastAsia="zh-CN"/>
                    </w:rPr>
                    <w:t>切割、钻孔、开挖、钢化</w:t>
                  </w:r>
                </w:p>
              </w:tc>
              <w:tc>
                <w:tcPr>
                  <w:tcW w:w="689" w:type="pct"/>
                  <w:noWrap w:val="0"/>
                  <w:vAlign w:val="center"/>
                </w:tcPr>
                <w:p w14:paraId="00A86E6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ascii="Times New Roman" w:hAnsi="Times New Roman" w:eastAsia="宋体" w:cs="Times New Roman"/>
                      <w:color w:val="auto"/>
                      <w:sz w:val="21"/>
                    </w:rPr>
                  </w:pPr>
                  <w:r>
                    <w:rPr>
                      <w:rFonts w:hint="eastAsia"/>
                      <w:color w:val="auto"/>
                      <w:sz w:val="21"/>
                      <w:lang w:val="en-US" w:eastAsia="zh-CN"/>
                    </w:rPr>
                    <w:t>玻璃边角料</w:t>
                  </w:r>
                </w:p>
              </w:tc>
              <w:tc>
                <w:tcPr>
                  <w:tcW w:w="1429" w:type="pct"/>
                  <w:vMerge w:val="restart"/>
                  <w:noWrap w:val="0"/>
                  <w:vAlign w:val="center"/>
                </w:tcPr>
                <w:p w14:paraId="23F6A150">
                  <w:pPr>
                    <w:pStyle w:val="20"/>
                    <w:spacing w:before="0" w:beforeAutospacing="0" w:after="0" w:afterAutospacing="0"/>
                    <w:jc w:val="center"/>
                    <w:outlineLvl w:val="0"/>
                    <w:rPr>
                      <w:rFonts w:hint="default" w:ascii="Times New Roman" w:hAnsi="Times New Roman" w:eastAsia="宋体"/>
                      <w:color w:val="auto"/>
                      <w:sz w:val="21"/>
                      <w:lang w:val="en-US" w:eastAsia="zh-CN"/>
                    </w:rPr>
                  </w:pPr>
                  <w:r>
                    <w:rPr>
                      <w:rFonts w:ascii="Times New Roman" w:hAnsi="Times New Roman"/>
                      <w:color w:val="auto"/>
                      <w:sz w:val="21"/>
                    </w:rPr>
                    <w:t>设置1个</w:t>
                  </w:r>
                  <w:r>
                    <w:rPr>
                      <w:rFonts w:hint="eastAsia" w:ascii="Times New Roman" w:hAnsi="Times New Roman"/>
                      <w:color w:val="auto"/>
                      <w:sz w:val="21"/>
                      <w:lang w:val="en-US" w:eastAsia="zh-CN"/>
                    </w:rPr>
                    <w:t>60</w:t>
                  </w:r>
                  <w:r>
                    <w:rPr>
                      <w:rFonts w:ascii="Times New Roman" w:hAnsi="Times New Roman"/>
                      <w:color w:val="auto"/>
                      <w:sz w:val="21"/>
                    </w:rPr>
                    <w:t>m</w:t>
                  </w:r>
                  <w:r>
                    <w:rPr>
                      <w:rFonts w:ascii="Times New Roman" w:hAnsi="Times New Roman"/>
                      <w:color w:val="auto"/>
                      <w:sz w:val="21"/>
                      <w:vertAlign w:val="superscript"/>
                    </w:rPr>
                    <w:t>2</w:t>
                  </w:r>
                  <w:r>
                    <w:rPr>
                      <w:rFonts w:ascii="Times New Roman" w:hAnsi="Times New Roman"/>
                      <w:color w:val="auto"/>
                      <w:sz w:val="21"/>
                    </w:rPr>
                    <w:t>一般固废暂存区，</w:t>
                  </w:r>
                  <w:r>
                    <w:rPr>
                      <w:rFonts w:hint="eastAsia" w:ascii="Times New Roman" w:hAnsi="Times New Roman"/>
                      <w:color w:val="auto"/>
                      <w:sz w:val="21"/>
                      <w:lang w:val="en-US" w:eastAsia="zh-CN"/>
                    </w:rPr>
                    <w:t>玻璃边角料、沉渣、废包装材料、铝边角料</w:t>
                  </w:r>
                  <w:r>
                    <w:rPr>
                      <w:rFonts w:ascii="Times New Roman" w:hAnsi="Times New Roman"/>
                      <w:color w:val="auto"/>
                      <w:sz w:val="21"/>
                    </w:rPr>
                    <w:t>外售给废旧资源回收公司</w:t>
                  </w:r>
                  <w:r>
                    <w:rPr>
                      <w:rFonts w:hint="eastAsia" w:ascii="Times New Roman" w:hAnsi="Times New Roman"/>
                      <w:color w:val="auto"/>
                      <w:sz w:val="21"/>
                      <w:lang w:eastAsia="zh-CN"/>
                    </w:rPr>
                    <w:t>，</w:t>
                  </w:r>
                  <w:r>
                    <w:rPr>
                      <w:rFonts w:hint="eastAsia" w:ascii="Times New Roman" w:hAnsi="Times New Roman"/>
                      <w:color w:val="auto"/>
                      <w:sz w:val="21"/>
                      <w:lang w:val="en-US" w:eastAsia="zh-CN"/>
                    </w:rPr>
                    <w:t>废硅酮胶包装桶由原料供应商回收利用</w:t>
                  </w:r>
                </w:p>
              </w:tc>
              <w:tc>
                <w:tcPr>
                  <w:tcW w:w="842" w:type="pct"/>
                  <w:vMerge w:val="restart"/>
                  <w:noWrap w:val="0"/>
                  <w:vAlign w:val="center"/>
                </w:tcPr>
                <w:p w14:paraId="26D2F881">
                  <w:pPr>
                    <w:pStyle w:val="20"/>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w:t>
                  </w:r>
                </w:p>
              </w:tc>
              <w:tc>
                <w:tcPr>
                  <w:tcW w:w="440" w:type="pct"/>
                  <w:vMerge w:val="restart"/>
                  <w:noWrap w:val="0"/>
                  <w:vAlign w:val="center"/>
                </w:tcPr>
                <w:p w14:paraId="7A8BCDE7">
                  <w:pPr>
                    <w:pStyle w:val="20"/>
                    <w:spacing w:before="0" w:beforeAutospacing="0" w:after="0" w:afterAutospacing="0"/>
                    <w:jc w:val="center"/>
                    <w:outlineLvl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1.5</w:t>
                  </w:r>
                </w:p>
              </w:tc>
              <w:tc>
                <w:tcPr>
                  <w:tcW w:w="229" w:type="pct"/>
                  <w:vMerge w:val="continue"/>
                  <w:noWrap w:val="0"/>
                  <w:vAlign w:val="center"/>
                </w:tcPr>
                <w:p w14:paraId="439EA90E">
                  <w:pPr>
                    <w:pStyle w:val="20"/>
                    <w:spacing w:before="0" w:beforeAutospacing="0" w:after="0" w:afterAutospacing="0"/>
                    <w:jc w:val="center"/>
                    <w:outlineLvl w:val="0"/>
                    <w:rPr>
                      <w:rFonts w:hint="default" w:ascii="Times New Roman" w:hAnsi="Times New Roman" w:eastAsia="宋体"/>
                      <w:color w:val="auto"/>
                      <w:sz w:val="21"/>
                      <w:lang w:val="en-US" w:eastAsia="zh-CN"/>
                    </w:rPr>
                  </w:pPr>
                </w:p>
              </w:tc>
            </w:tr>
            <w:tr w14:paraId="5CC74B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406AF327">
                  <w:pPr>
                    <w:pStyle w:val="20"/>
                    <w:spacing w:before="0" w:beforeAutospacing="0" w:after="0" w:afterAutospacing="0"/>
                    <w:jc w:val="center"/>
                    <w:outlineLvl w:val="0"/>
                    <w:rPr>
                      <w:rFonts w:ascii="Times New Roman" w:hAnsi="Times New Roman"/>
                      <w:color w:val="auto"/>
                      <w:sz w:val="21"/>
                    </w:rPr>
                  </w:pPr>
                </w:p>
              </w:tc>
              <w:tc>
                <w:tcPr>
                  <w:tcW w:w="643" w:type="pct"/>
                  <w:shd w:val="clear" w:color="auto" w:fill="auto"/>
                  <w:noWrap w:val="0"/>
                  <w:vAlign w:val="center"/>
                </w:tcPr>
                <w:p w14:paraId="04FF2037">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color w:val="auto"/>
                      <w:kern w:val="0"/>
                      <w:sz w:val="21"/>
                      <w:szCs w:val="20"/>
                      <w:lang w:val="en-US" w:eastAsia="zh-CN" w:bidi="ar-SA"/>
                    </w:rPr>
                  </w:pPr>
                  <w:r>
                    <w:rPr>
                      <w:rFonts w:hint="eastAsia"/>
                      <w:color w:val="auto"/>
                      <w:sz w:val="21"/>
                      <w:lang w:val="en-US" w:eastAsia="zh-CN"/>
                    </w:rPr>
                    <w:t>检验</w:t>
                  </w:r>
                </w:p>
              </w:tc>
              <w:tc>
                <w:tcPr>
                  <w:tcW w:w="689" w:type="pct"/>
                  <w:shd w:val="clear" w:color="auto" w:fill="auto"/>
                  <w:noWrap w:val="0"/>
                  <w:vAlign w:val="center"/>
                </w:tcPr>
                <w:p w14:paraId="5E6BBEE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color w:val="auto"/>
                      <w:kern w:val="0"/>
                      <w:sz w:val="21"/>
                      <w:szCs w:val="20"/>
                      <w:lang w:val="en-US" w:eastAsia="zh-CN" w:bidi="ar-SA"/>
                    </w:rPr>
                  </w:pPr>
                  <w:r>
                    <w:rPr>
                      <w:rFonts w:hint="eastAsia"/>
                      <w:color w:val="auto"/>
                      <w:sz w:val="21"/>
                      <w:lang w:val="en-US" w:eastAsia="zh-CN"/>
                    </w:rPr>
                    <w:t>不合格品</w:t>
                  </w:r>
                </w:p>
              </w:tc>
              <w:tc>
                <w:tcPr>
                  <w:tcW w:w="1429" w:type="pct"/>
                  <w:vMerge w:val="continue"/>
                  <w:noWrap w:val="0"/>
                  <w:vAlign w:val="center"/>
                </w:tcPr>
                <w:p w14:paraId="2C38C379">
                  <w:pPr>
                    <w:pStyle w:val="20"/>
                    <w:spacing w:before="0" w:beforeAutospacing="0" w:after="0" w:afterAutospacing="0"/>
                    <w:jc w:val="center"/>
                    <w:outlineLvl w:val="0"/>
                    <w:rPr>
                      <w:rFonts w:ascii="Times New Roman" w:hAnsi="Times New Roman"/>
                      <w:color w:val="auto"/>
                      <w:sz w:val="21"/>
                    </w:rPr>
                  </w:pPr>
                </w:p>
              </w:tc>
              <w:tc>
                <w:tcPr>
                  <w:tcW w:w="842" w:type="pct"/>
                  <w:vMerge w:val="continue"/>
                  <w:noWrap w:val="0"/>
                  <w:vAlign w:val="center"/>
                </w:tcPr>
                <w:p w14:paraId="61CC73C1">
                  <w:pPr>
                    <w:pStyle w:val="20"/>
                    <w:spacing w:before="0" w:beforeAutospacing="0" w:after="0" w:afterAutospacing="0"/>
                    <w:jc w:val="center"/>
                    <w:outlineLvl w:val="0"/>
                    <w:rPr>
                      <w:rFonts w:ascii="Times New Roman" w:hAnsi="Times New Roman"/>
                      <w:color w:val="auto"/>
                      <w:sz w:val="21"/>
                    </w:rPr>
                  </w:pPr>
                </w:p>
              </w:tc>
              <w:tc>
                <w:tcPr>
                  <w:tcW w:w="440" w:type="pct"/>
                  <w:vMerge w:val="continue"/>
                  <w:noWrap w:val="0"/>
                  <w:vAlign w:val="center"/>
                </w:tcPr>
                <w:p w14:paraId="36BC20F6">
                  <w:pPr>
                    <w:pStyle w:val="20"/>
                    <w:spacing w:before="0" w:beforeAutospacing="0" w:after="0" w:afterAutospacing="0"/>
                    <w:jc w:val="center"/>
                    <w:outlineLvl w:val="0"/>
                    <w:rPr>
                      <w:rFonts w:hint="eastAsia" w:ascii="Times New Roman" w:hAnsi="Times New Roman"/>
                      <w:color w:val="auto"/>
                      <w:sz w:val="21"/>
                      <w:lang w:val="en-US" w:eastAsia="zh-CN"/>
                    </w:rPr>
                  </w:pPr>
                </w:p>
              </w:tc>
              <w:tc>
                <w:tcPr>
                  <w:tcW w:w="229" w:type="pct"/>
                  <w:vMerge w:val="continue"/>
                  <w:noWrap w:val="0"/>
                  <w:vAlign w:val="center"/>
                </w:tcPr>
                <w:p w14:paraId="0F2DECC1">
                  <w:pPr>
                    <w:pStyle w:val="20"/>
                    <w:spacing w:before="0" w:beforeAutospacing="0" w:after="0" w:afterAutospacing="0"/>
                    <w:jc w:val="center"/>
                    <w:outlineLvl w:val="0"/>
                    <w:rPr>
                      <w:rFonts w:hint="default" w:ascii="Times New Roman" w:hAnsi="Times New Roman" w:eastAsia="宋体"/>
                      <w:color w:val="auto"/>
                      <w:sz w:val="21"/>
                      <w:lang w:val="en-US" w:eastAsia="zh-CN"/>
                    </w:rPr>
                  </w:pPr>
                </w:p>
              </w:tc>
            </w:tr>
            <w:tr w14:paraId="11455D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0FAD0764">
                  <w:pPr>
                    <w:pStyle w:val="20"/>
                    <w:spacing w:before="0" w:beforeAutospacing="0" w:after="0" w:afterAutospacing="0"/>
                    <w:jc w:val="center"/>
                    <w:outlineLvl w:val="0"/>
                    <w:rPr>
                      <w:rFonts w:ascii="Times New Roman" w:hAnsi="Times New Roman"/>
                      <w:color w:val="auto"/>
                      <w:sz w:val="21"/>
                    </w:rPr>
                  </w:pPr>
                </w:p>
              </w:tc>
              <w:tc>
                <w:tcPr>
                  <w:tcW w:w="643" w:type="pct"/>
                  <w:shd w:val="clear" w:color="auto" w:fill="auto"/>
                  <w:noWrap w:val="0"/>
                  <w:vAlign w:val="center"/>
                </w:tcPr>
                <w:p w14:paraId="07CF84FB">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color w:val="auto"/>
                      <w:kern w:val="0"/>
                      <w:sz w:val="21"/>
                      <w:szCs w:val="20"/>
                      <w:lang w:val="en-US" w:eastAsia="zh-CN" w:bidi="ar-SA"/>
                    </w:rPr>
                  </w:pPr>
                  <w:r>
                    <w:rPr>
                      <w:rFonts w:hint="eastAsia"/>
                      <w:color w:val="auto"/>
                      <w:sz w:val="21"/>
                      <w:lang w:val="en-US" w:eastAsia="zh-CN"/>
                    </w:rPr>
                    <w:t>废水治理</w:t>
                  </w:r>
                </w:p>
              </w:tc>
              <w:tc>
                <w:tcPr>
                  <w:tcW w:w="689" w:type="pct"/>
                  <w:noWrap w:val="0"/>
                  <w:vAlign w:val="center"/>
                </w:tcPr>
                <w:p w14:paraId="5B6572CF">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olor w:val="auto"/>
                      <w:sz w:val="21"/>
                      <w:lang w:val="en-US" w:eastAsia="zh-CN"/>
                    </w:rPr>
                  </w:pPr>
                  <w:r>
                    <w:rPr>
                      <w:rFonts w:hint="eastAsia"/>
                      <w:color w:val="auto"/>
                      <w:sz w:val="21"/>
                      <w:lang w:val="en-US" w:eastAsia="zh-CN"/>
                    </w:rPr>
                    <w:t>沉渣</w:t>
                  </w:r>
                </w:p>
              </w:tc>
              <w:tc>
                <w:tcPr>
                  <w:tcW w:w="1429" w:type="pct"/>
                  <w:vMerge w:val="continue"/>
                  <w:noWrap w:val="0"/>
                  <w:vAlign w:val="center"/>
                </w:tcPr>
                <w:p w14:paraId="2CEAC0D2">
                  <w:pPr>
                    <w:pStyle w:val="20"/>
                    <w:spacing w:before="0" w:beforeAutospacing="0" w:after="0" w:afterAutospacing="0"/>
                    <w:jc w:val="center"/>
                    <w:outlineLvl w:val="0"/>
                    <w:rPr>
                      <w:rFonts w:ascii="Times New Roman" w:hAnsi="Times New Roman"/>
                      <w:color w:val="auto"/>
                      <w:sz w:val="21"/>
                    </w:rPr>
                  </w:pPr>
                </w:p>
              </w:tc>
              <w:tc>
                <w:tcPr>
                  <w:tcW w:w="842" w:type="pct"/>
                  <w:vMerge w:val="continue"/>
                  <w:noWrap w:val="0"/>
                  <w:vAlign w:val="center"/>
                </w:tcPr>
                <w:p w14:paraId="1B029251">
                  <w:pPr>
                    <w:pStyle w:val="20"/>
                    <w:spacing w:before="0" w:beforeAutospacing="0" w:after="0" w:afterAutospacing="0"/>
                    <w:jc w:val="center"/>
                    <w:outlineLvl w:val="0"/>
                    <w:rPr>
                      <w:rFonts w:ascii="Times New Roman" w:hAnsi="Times New Roman"/>
                      <w:color w:val="auto"/>
                      <w:sz w:val="21"/>
                    </w:rPr>
                  </w:pPr>
                </w:p>
              </w:tc>
              <w:tc>
                <w:tcPr>
                  <w:tcW w:w="440" w:type="pct"/>
                  <w:vMerge w:val="continue"/>
                  <w:noWrap w:val="0"/>
                  <w:vAlign w:val="center"/>
                </w:tcPr>
                <w:p w14:paraId="3E459752">
                  <w:pPr>
                    <w:pStyle w:val="20"/>
                    <w:spacing w:before="0" w:beforeAutospacing="0" w:after="0" w:afterAutospacing="0"/>
                    <w:jc w:val="center"/>
                    <w:outlineLvl w:val="0"/>
                    <w:rPr>
                      <w:rFonts w:hint="eastAsia" w:ascii="Times New Roman" w:hAnsi="Times New Roman"/>
                      <w:color w:val="auto"/>
                      <w:sz w:val="21"/>
                      <w:lang w:val="en-US" w:eastAsia="zh-CN"/>
                    </w:rPr>
                  </w:pPr>
                </w:p>
              </w:tc>
              <w:tc>
                <w:tcPr>
                  <w:tcW w:w="229" w:type="pct"/>
                  <w:vMerge w:val="continue"/>
                  <w:noWrap w:val="0"/>
                  <w:vAlign w:val="center"/>
                </w:tcPr>
                <w:p w14:paraId="6E267726">
                  <w:pPr>
                    <w:pStyle w:val="20"/>
                    <w:spacing w:before="0" w:beforeAutospacing="0" w:after="0" w:afterAutospacing="0"/>
                    <w:jc w:val="center"/>
                    <w:outlineLvl w:val="0"/>
                    <w:rPr>
                      <w:rFonts w:hint="default" w:ascii="Times New Roman" w:hAnsi="Times New Roman" w:eastAsia="宋体"/>
                      <w:color w:val="auto"/>
                      <w:sz w:val="21"/>
                      <w:lang w:val="en-US" w:eastAsia="zh-CN"/>
                    </w:rPr>
                  </w:pPr>
                </w:p>
              </w:tc>
            </w:tr>
            <w:tr w14:paraId="57ABC0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75DE111F">
                  <w:pPr>
                    <w:pStyle w:val="20"/>
                    <w:spacing w:before="0" w:beforeAutospacing="0" w:after="0" w:afterAutospacing="0"/>
                    <w:jc w:val="center"/>
                    <w:outlineLvl w:val="0"/>
                    <w:rPr>
                      <w:rFonts w:ascii="Times New Roman" w:hAnsi="Times New Roman"/>
                      <w:color w:val="auto"/>
                      <w:sz w:val="21"/>
                    </w:rPr>
                  </w:pPr>
                </w:p>
              </w:tc>
              <w:tc>
                <w:tcPr>
                  <w:tcW w:w="643" w:type="pct"/>
                  <w:shd w:val="clear" w:color="auto" w:fill="auto"/>
                  <w:noWrap w:val="0"/>
                  <w:vAlign w:val="center"/>
                </w:tcPr>
                <w:p w14:paraId="44C77DE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color w:val="auto"/>
                      <w:kern w:val="0"/>
                      <w:sz w:val="21"/>
                      <w:szCs w:val="20"/>
                      <w:lang w:val="en-US" w:eastAsia="zh-CN" w:bidi="ar-SA"/>
                    </w:rPr>
                  </w:pPr>
                  <w:r>
                    <w:rPr>
                      <w:rFonts w:hint="eastAsia"/>
                      <w:color w:val="auto"/>
                      <w:sz w:val="21"/>
                      <w:lang w:val="en-US" w:eastAsia="zh-CN"/>
                    </w:rPr>
                    <w:t>PVB和丁基胶包装</w:t>
                  </w:r>
                </w:p>
              </w:tc>
              <w:tc>
                <w:tcPr>
                  <w:tcW w:w="689" w:type="pct"/>
                  <w:noWrap w:val="0"/>
                  <w:vAlign w:val="center"/>
                </w:tcPr>
                <w:p w14:paraId="27B45FC5">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color w:val="auto"/>
                      <w:sz w:val="21"/>
                      <w:lang w:val="en-US" w:eastAsia="zh-CN"/>
                    </w:rPr>
                  </w:pPr>
                  <w:r>
                    <w:rPr>
                      <w:rFonts w:hint="eastAsia"/>
                      <w:color w:val="auto"/>
                      <w:sz w:val="21"/>
                      <w:lang w:val="en-US" w:eastAsia="zh-CN"/>
                    </w:rPr>
                    <w:t>废包装材料</w:t>
                  </w:r>
                </w:p>
              </w:tc>
              <w:tc>
                <w:tcPr>
                  <w:tcW w:w="1429" w:type="pct"/>
                  <w:vMerge w:val="continue"/>
                  <w:noWrap w:val="0"/>
                  <w:vAlign w:val="center"/>
                </w:tcPr>
                <w:p w14:paraId="5A56B176">
                  <w:pPr>
                    <w:pStyle w:val="20"/>
                    <w:spacing w:before="0" w:beforeAutospacing="0" w:after="0" w:afterAutospacing="0"/>
                    <w:jc w:val="center"/>
                    <w:outlineLvl w:val="0"/>
                    <w:rPr>
                      <w:rFonts w:ascii="Times New Roman" w:hAnsi="Times New Roman"/>
                      <w:color w:val="auto"/>
                      <w:sz w:val="21"/>
                    </w:rPr>
                  </w:pPr>
                </w:p>
              </w:tc>
              <w:tc>
                <w:tcPr>
                  <w:tcW w:w="842" w:type="pct"/>
                  <w:vMerge w:val="continue"/>
                  <w:noWrap w:val="0"/>
                  <w:vAlign w:val="center"/>
                </w:tcPr>
                <w:p w14:paraId="22E42C4A">
                  <w:pPr>
                    <w:pStyle w:val="20"/>
                    <w:spacing w:before="0" w:beforeAutospacing="0" w:after="0" w:afterAutospacing="0"/>
                    <w:jc w:val="center"/>
                    <w:outlineLvl w:val="0"/>
                    <w:rPr>
                      <w:rFonts w:ascii="Times New Roman" w:hAnsi="Times New Roman"/>
                      <w:color w:val="auto"/>
                      <w:sz w:val="21"/>
                    </w:rPr>
                  </w:pPr>
                </w:p>
              </w:tc>
              <w:tc>
                <w:tcPr>
                  <w:tcW w:w="440" w:type="pct"/>
                  <w:vMerge w:val="continue"/>
                  <w:noWrap w:val="0"/>
                  <w:vAlign w:val="center"/>
                </w:tcPr>
                <w:p w14:paraId="05723662">
                  <w:pPr>
                    <w:pStyle w:val="20"/>
                    <w:spacing w:before="0" w:beforeAutospacing="0" w:after="0" w:afterAutospacing="0"/>
                    <w:jc w:val="center"/>
                    <w:outlineLvl w:val="0"/>
                    <w:rPr>
                      <w:rFonts w:hint="eastAsia" w:ascii="Times New Roman" w:hAnsi="Times New Roman"/>
                      <w:color w:val="auto"/>
                      <w:sz w:val="21"/>
                      <w:lang w:val="en-US" w:eastAsia="zh-CN"/>
                    </w:rPr>
                  </w:pPr>
                </w:p>
              </w:tc>
              <w:tc>
                <w:tcPr>
                  <w:tcW w:w="229" w:type="pct"/>
                  <w:vMerge w:val="continue"/>
                  <w:noWrap w:val="0"/>
                  <w:vAlign w:val="center"/>
                </w:tcPr>
                <w:p w14:paraId="02B02BE1">
                  <w:pPr>
                    <w:pStyle w:val="20"/>
                    <w:spacing w:before="0" w:beforeAutospacing="0" w:after="0" w:afterAutospacing="0"/>
                    <w:jc w:val="center"/>
                    <w:outlineLvl w:val="0"/>
                    <w:rPr>
                      <w:rFonts w:hint="default" w:ascii="Times New Roman" w:hAnsi="Times New Roman" w:eastAsia="宋体"/>
                      <w:color w:val="auto"/>
                      <w:sz w:val="21"/>
                      <w:lang w:val="en-US" w:eastAsia="zh-CN"/>
                    </w:rPr>
                  </w:pPr>
                </w:p>
              </w:tc>
            </w:tr>
            <w:tr w14:paraId="253584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0D7E89DC">
                  <w:pPr>
                    <w:pStyle w:val="20"/>
                    <w:spacing w:before="0" w:beforeAutospacing="0" w:after="0" w:afterAutospacing="0"/>
                    <w:jc w:val="center"/>
                    <w:outlineLvl w:val="0"/>
                    <w:rPr>
                      <w:rFonts w:ascii="Times New Roman" w:hAnsi="Times New Roman"/>
                      <w:color w:val="auto"/>
                      <w:sz w:val="21"/>
                    </w:rPr>
                  </w:pPr>
                </w:p>
              </w:tc>
              <w:tc>
                <w:tcPr>
                  <w:tcW w:w="643" w:type="pct"/>
                  <w:shd w:val="clear" w:color="auto" w:fill="auto"/>
                  <w:noWrap w:val="0"/>
                  <w:vAlign w:val="center"/>
                </w:tcPr>
                <w:p w14:paraId="57B71CE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color w:val="auto"/>
                      <w:kern w:val="0"/>
                      <w:sz w:val="21"/>
                      <w:szCs w:val="20"/>
                      <w:lang w:val="en-US" w:eastAsia="zh-CN" w:bidi="ar-SA"/>
                    </w:rPr>
                  </w:pPr>
                  <w:r>
                    <w:rPr>
                      <w:rFonts w:hint="eastAsia"/>
                      <w:color w:val="auto"/>
                      <w:sz w:val="21"/>
                      <w:lang w:val="en-US" w:eastAsia="zh-CN"/>
                    </w:rPr>
                    <w:t>折弯裁切</w:t>
                  </w:r>
                </w:p>
              </w:tc>
              <w:tc>
                <w:tcPr>
                  <w:tcW w:w="689" w:type="pct"/>
                  <w:noWrap w:val="0"/>
                  <w:vAlign w:val="center"/>
                </w:tcPr>
                <w:p w14:paraId="571703CA">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color w:val="auto"/>
                      <w:sz w:val="21"/>
                      <w:lang w:val="en-US" w:eastAsia="zh-CN"/>
                    </w:rPr>
                  </w:pPr>
                  <w:r>
                    <w:rPr>
                      <w:rFonts w:hint="eastAsia"/>
                      <w:color w:val="auto"/>
                      <w:sz w:val="21"/>
                      <w:lang w:val="en-US" w:eastAsia="zh-CN"/>
                    </w:rPr>
                    <w:t>铝边角料</w:t>
                  </w:r>
                </w:p>
              </w:tc>
              <w:tc>
                <w:tcPr>
                  <w:tcW w:w="1429" w:type="pct"/>
                  <w:vMerge w:val="continue"/>
                  <w:noWrap w:val="0"/>
                  <w:vAlign w:val="center"/>
                </w:tcPr>
                <w:p w14:paraId="28E85366">
                  <w:pPr>
                    <w:pStyle w:val="20"/>
                    <w:spacing w:before="0" w:beforeAutospacing="0" w:after="0" w:afterAutospacing="0"/>
                    <w:jc w:val="center"/>
                    <w:outlineLvl w:val="0"/>
                    <w:rPr>
                      <w:rFonts w:ascii="Times New Roman" w:hAnsi="Times New Roman"/>
                      <w:color w:val="auto"/>
                      <w:sz w:val="21"/>
                    </w:rPr>
                  </w:pPr>
                </w:p>
              </w:tc>
              <w:tc>
                <w:tcPr>
                  <w:tcW w:w="842" w:type="pct"/>
                  <w:vMerge w:val="continue"/>
                  <w:noWrap w:val="0"/>
                  <w:vAlign w:val="center"/>
                </w:tcPr>
                <w:p w14:paraId="327CC393">
                  <w:pPr>
                    <w:pStyle w:val="20"/>
                    <w:spacing w:before="0" w:beforeAutospacing="0" w:after="0" w:afterAutospacing="0"/>
                    <w:jc w:val="center"/>
                    <w:outlineLvl w:val="0"/>
                    <w:rPr>
                      <w:rFonts w:ascii="Times New Roman" w:hAnsi="Times New Roman"/>
                      <w:color w:val="auto"/>
                      <w:sz w:val="21"/>
                    </w:rPr>
                  </w:pPr>
                </w:p>
              </w:tc>
              <w:tc>
                <w:tcPr>
                  <w:tcW w:w="440" w:type="pct"/>
                  <w:vMerge w:val="continue"/>
                  <w:noWrap w:val="0"/>
                  <w:vAlign w:val="center"/>
                </w:tcPr>
                <w:p w14:paraId="394307DC">
                  <w:pPr>
                    <w:pStyle w:val="20"/>
                    <w:spacing w:before="0" w:beforeAutospacing="0" w:after="0" w:afterAutospacing="0"/>
                    <w:jc w:val="center"/>
                    <w:outlineLvl w:val="0"/>
                    <w:rPr>
                      <w:rFonts w:hint="eastAsia" w:ascii="Times New Roman" w:hAnsi="Times New Roman"/>
                      <w:color w:val="auto"/>
                      <w:sz w:val="21"/>
                      <w:lang w:val="en-US" w:eastAsia="zh-CN"/>
                    </w:rPr>
                  </w:pPr>
                </w:p>
              </w:tc>
              <w:tc>
                <w:tcPr>
                  <w:tcW w:w="229" w:type="pct"/>
                  <w:vMerge w:val="continue"/>
                  <w:noWrap w:val="0"/>
                  <w:vAlign w:val="center"/>
                </w:tcPr>
                <w:p w14:paraId="560FEE0F">
                  <w:pPr>
                    <w:pStyle w:val="20"/>
                    <w:spacing w:before="0" w:beforeAutospacing="0" w:after="0" w:afterAutospacing="0"/>
                    <w:jc w:val="center"/>
                    <w:outlineLvl w:val="0"/>
                    <w:rPr>
                      <w:rFonts w:hint="default" w:ascii="Times New Roman" w:hAnsi="Times New Roman" w:eastAsia="宋体"/>
                      <w:color w:val="auto"/>
                      <w:sz w:val="21"/>
                      <w:lang w:val="en-US" w:eastAsia="zh-CN"/>
                    </w:rPr>
                  </w:pPr>
                </w:p>
              </w:tc>
            </w:tr>
            <w:tr w14:paraId="1C48A9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1B1DD6F3">
                  <w:pPr>
                    <w:pStyle w:val="20"/>
                    <w:spacing w:before="0" w:beforeAutospacing="0" w:after="0" w:afterAutospacing="0"/>
                    <w:jc w:val="center"/>
                    <w:outlineLvl w:val="0"/>
                    <w:rPr>
                      <w:rFonts w:ascii="Times New Roman" w:hAnsi="Times New Roman"/>
                      <w:color w:val="auto"/>
                      <w:sz w:val="21"/>
                    </w:rPr>
                  </w:pPr>
                </w:p>
              </w:tc>
              <w:tc>
                <w:tcPr>
                  <w:tcW w:w="643" w:type="pct"/>
                  <w:shd w:val="clear" w:color="auto" w:fill="auto"/>
                  <w:noWrap w:val="0"/>
                  <w:vAlign w:val="center"/>
                </w:tcPr>
                <w:p w14:paraId="6AC898AB">
                  <w:pPr>
                    <w:pStyle w:val="30"/>
                    <w:bidi w:val="0"/>
                    <w:ind w:firstLine="0" w:firstLineChars="0"/>
                    <w:rPr>
                      <w:rFonts w:hint="eastAsia" w:ascii="Times New Roman" w:hAnsi="Times New Roman" w:eastAsia="宋体" w:cs="Times New Roman"/>
                      <w:color w:val="auto"/>
                      <w:kern w:val="0"/>
                      <w:sz w:val="21"/>
                      <w:szCs w:val="20"/>
                      <w:lang w:val="en-US" w:eastAsia="zh-CN" w:bidi="ar-SA"/>
                    </w:rPr>
                  </w:pPr>
                  <w:r>
                    <w:rPr>
                      <w:rFonts w:hint="eastAsia"/>
                      <w:color w:val="auto"/>
                      <w:lang w:val="en-US" w:eastAsia="zh-CN"/>
                    </w:rPr>
                    <w:t>硅酮胶外包装</w:t>
                  </w:r>
                </w:p>
              </w:tc>
              <w:tc>
                <w:tcPr>
                  <w:tcW w:w="689" w:type="pct"/>
                  <w:noWrap w:val="0"/>
                  <w:vAlign w:val="center"/>
                </w:tcPr>
                <w:p w14:paraId="0242EF21">
                  <w:pPr>
                    <w:pStyle w:val="30"/>
                    <w:bidi w:val="0"/>
                    <w:ind w:firstLine="0" w:firstLineChars="0"/>
                    <w:rPr>
                      <w:rFonts w:hint="eastAsia" w:ascii="Times New Roman" w:hAnsi="Times New Roman"/>
                      <w:color w:val="auto"/>
                      <w:sz w:val="21"/>
                      <w:lang w:val="en-US" w:eastAsia="zh-CN"/>
                    </w:rPr>
                  </w:pPr>
                  <w:r>
                    <w:rPr>
                      <w:rFonts w:hint="eastAsia"/>
                      <w:color w:val="auto"/>
                      <w:lang w:val="en-US" w:eastAsia="zh-CN"/>
                    </w:rPr>
                    <w:t>废硅酮胶包装桶</w:t>
                  </w:r>
                </w:p>
              </w:tc>
              <w:tc>
                <w:tcPr>
                  <w:tcW w:w="1429" w:type="pct"/>
                  <w:vMerge w:val="continue"/>
                  <w:noWrap w:val="0"/>
                  <w:vAlign w:val="center"/>
                </w:tcPr>
                <w:p w14:paraId="510959F1">
                  <w:pPr>
                    <w:pStyle w:val="20"/>
                    <w:spacing w:before="0" w:beforeAutospacing="0" w:after="0" w:afterAutospacing="0"/>
                    <w:jc w:val="center"/>
                    <w:outlineLvl w:val="0"/>
                    <w:rPr>
                      <w:rFonts w:ascii="Times New Roman" w:hAnsi="Times New Roman"/>
                      <w:color w:val="auto"/>
                      <w:sz w:val="21"/>
                    </w:rPr>
                  </w:pPr>
                </w:p>
              </w:tc>
              <w:tc>
                <w:tcPr>
                  <w:tcW w:w="842" w:type="pct"/>
                  <w:vMerge w:val="continue"/>
                  <w:noWrap w:val="0"/>
                  <w:vAlign w:val="center"/>
                </w:tcPr>
                <w:p w14:paraId="7956AC77">
                  <w:pPr>
                    <w:pStyle w:val="20"/>
                    <w:spacing w:before="0" w:beforeAutospacing="0" w:after="0" w:afterAutospacing="0"/>
                    <w:jc w:val="center"/>
                    <w:outlineLvl w:val="0"/>
                    <w:rPr>
                      <w:rFonts w:ascii="Times New Roman" w:hAnsi="Times New Roman"/>
                      <w:color w:val="auto"/>
                      <w:sz w:val="21"/>
                    </w:rPr>
                  </w:pPr>
                </w:p>
              </w:tc>
              <w:tc>
                <w:tcPr>
                  <w:tcW w:w="440" w:type="pct"/>
                  <w:vMerge w:val="continue"/>
                  <w:noWrap w:val="0"/>
                  <w:vAlign w:val="center"/>
                </w:tcPr>
                <w:p w14:paraId="76C0B033">
                  <w:pPr>
                    <w:pStyle w:val="20"/>
                    <w:spacing w:before="0" w:beforeAutospacing="0" w:after="0" w:afterAutospacing="0"/>
                    <w:jc w:val="center"/>
                    <w:outlineLvl w:val="0"/>
                    <w:rPr>
                      <w:rFonts w:hint="eastAsia" w:ascii="Times New Roman" w:hAnsi="Times New Roman"/>
                      <w:color w:val="auto"/>
                      <w:sz w:val="21"/>
                      <w:lang w:val="en-US" w:eastAsia="zh-CN"/>
                    </w:rPr>
                  </w:pPr>
                </w:p>
              </w:tc>
              <w:tc>
                <w:tcPr>
                  <w:tcW w:w="229" w:type="pct"/>
                  <w:vMerge w:val="continue"/>
                  <w:noWrap w:val="0"/>
                  <w:vAlign w:val="center"/>
                </w:tcPr>
                <w:p w14:paraId="59FAD42B">
                  <w:pPr>
                    <w:pStyle w:val="20"/>
                    <w:spacing w:before="0" w:beforeAutospacing="0" w:after="0" w:afterAutospacing="0"/>
                    <w:jc w:val="center"/>
                    <w:outlineLvl w:val="0"/>
                    <w:rPr>
                      <w:rFonts w:hint="default" w:ascii="Times New Roman" w:hAnsi="Times New Roman" w:eastAsia="宋体"/>
                      <w:color w:val="auto"/>
                      <w:sz w:val="21"/>
                      <w:lang w:val="en-US" w:eastAsia="zh-CN"/>
                    </w:rPr>
                  </w:pPr>
                </w:p>
              </w:tc>
            </w:tr>
            <w:tr w14:paraId="7D7CAC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20D31C5D">
                  <w:pPr>
                    <w:pStyle w:val="20"/>
                    <w:spacing w:before="0" w:beforeAutospacing="0" w:after="0" w:afterAutospacing="0"/>
                    <w:jc w:val="center"/>
                    <w:outlineLvl w:val="0"/>
                    <w:rPr>
                      <w:rFonts w:ascii="Times New Roman" w:hAnsi="Times New Roman"/>
                      <w:color w:val="auto"/>
                      <w:sz w:val="21"/>
                    </w:rPr>
                  </w:pPr>
                </w:p>
              </w:tc>
              <w:tc>
                <w:tcPr>
                  <w:tcW w:w="643" w:type="pct"/>
                  <w:noWrap w:val="0"/>
                  <w:vAlign w:val="center"/>
                </w:tcPr>
                <w:p w14:paraId="0DB4C539">
                  <w:pPr>
                    <w:pStyle w:val="20"/>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硅酮胶内包装</w:t>
                  </w:r>
                </w:p>
              </w:tc>
              <w:tc>
                <w:tcPr>
                  <w:tcW w:w="689" w:type="pct"/>
                  <w:noWrap w:val="0"/>
                  <w:vAlign w:val="center"/>
                </w:tcPr>
                <w:p w14:paraId="71BC054A">
                  <w:pPr>
                    <w:pStyle w:val="20"/>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废硅酮胶包装袋</w:t>
                  </w:r>
                </w:p>
              </w:tc>
              <w:tc>
                <w:tcPr>
                  <w:tcW w:w="1429" w:type="pct"/>
                  <w:vMerge w:val="restart"/>
                  <w:noWrap w:val="0"/>
                  <w:vAlign w:val="center"/>
                </w:tcPr>
                <w:p w14:paraId="57EDDEF9">
                  <w:pPr>
                    <w:pStyle w:val="20"/>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rPr>
                    <w:t>设置</w:t>
                  </w:r>
                  <w:r>
                    <w:rPr>
                      <w:rFonts w:ascii="Times New Roman" w:hAnsi="Times New Roman" w:eastAsia="宋体" w:cs="Times New Roman"/>
                      <w:color w:val="auto"/>
                      <w:sz w:val="21"/>
                    </w:rPr>
                    <w:t>1个</w:t>
                  </w:r>
                  <w:r>
                    <w:rPr>
                      <w:rFonts w:hint="eastAsia" w:ascii="Times New Roman" w:hAnsi="Times New Roman" w:cs="Times New Roman"/>
                      <w:color w:val="auto"/>
                      <w:sz w:val="21"/>
                      <w:lang w:val="en-US" w:eastAsia="zh-CN"/>
                    </w:rPr>
                    <w:t>20</w:t>
                  </w:r>
                  <w:r>
                    <w:rPr>
                      <w:rFonts w:ascii="Times New Roman" w:hAnsi="Times New Roman" w:eastAsia="宋体" w:cs="Times New Roman"/>
                      <w:color w:val="auto"/>
                      <w:sz w:val="21"/>
                    </w:rPr>
                    <w:t>m</w:t>
                  </w:r>
                  <w:r>
                    <w:rPr>
                      <w:rFonts w:ascii="Times New Roman" w:hAnsi="Times New Roman" w:eastAsia="宋体" w:cs="Times New Roman"/>
                      <w:color w:val="auto"/>
                      <w:sz w:val="21"/>
                      <w:vertAlign w:val="superscript"/>
                    </w:rPr>
                    <w:t>2</w:t>
                  </w:r>
                  <w:r>
                    <w:rPr>
                      <w:rFonts w:ascii="Times New Roman" w:hAnsi="Times New Roman" w:eastAsia="宋体" w:cs="Times New Roman"/>
                      <w:color w:val="auto"/>
                      <w:sz w:val="21"/>
                    </w:rPr>
                    <w:t>危废暂存</w:t>
                  </w:r>
                  <w:r>
                    <w:rPr>
                      <w:rFonts w:hint="eastAsia" w:ascii="Times New Roman" w:hAnsi="Times New Roman" w:cs="Times New Roman"/>
                      <w:color w:val="auto"/>
                      <w:sz w:val="21"/>
                      <w:lang w:val="en-US" w:eastAsia="zh-CN"/>
                    </w:rPr>
                    <w:t>间</w:t>
                  </w:r>
                  <w:r>
                    <w:rPr>
                      <w:rFonts w:ascii="Times New Roman" w:hAnsi="Times New Roman" w:eastAsia="宋体" w:cs="Times New Roman"/>
                      <w:color w:val="auto"/>
                      <w:sz w:val="21"/>
                    </w:rPr>
                    <w:t>，委托有危</w:t>
                  </w:r>
                  <w:r>
                    <w:rPr>
                      <w:rFonts w:ascii="Times New Roman" w:hAnsi="Times New Roman"/>
                      <w:color w:val="auto"/>
                      <w:sz w:val="21"/>
                    </w:rPr>
                    <w:t>废处置资质单位处置</w:t>
                  </w:r>
                </w:p>
              </w:tc>
              <w:tc>
                <w:tcPr>
                  <w:tcW w:w="842" w:type="pct"/>
                  <w:vMerge w:val="continue"/>
                  <w:noWrap w:val="0"/>
                  <w:vAlign w:val="center"/>
                </w:tcPr>
                <w:p w14:paraId="759C6066">
                  <w:pPr>
                    <w:pStyle w:val="20"/>
                    <w:spacing w:before="0" w:beforeAutospacing="0" w:after="0" w:afterAutospacing="0"/>
                    <w:jc w:val="center"/>
                    <w:outlineLvl w:val="0"/>
                    <w:rPr>
                      <w:rFonts w:ascii="Times New Roman" w:hAnsi="Times New Roman"/>
                      <w:color w:val="auto"/>
                      <w:sz w:val="21"/>
                    </w:rPr>
                  </w:pPr>
                </w:p>
              </w:tc>
              <w:tc>
                <w:tcPr>
                  <w:tcW w:w="440" w:type="pct"/>
                  <w:vMerge w:val="restart"/>
                  <w:noWrap w:val="0"/>
                  <w:vAlign w:val="center"/>
                </w:tcPr>
                <w:p w14:paraId="0B87E911">
                  <w:pPr>
                    <w:pStyle w:val="20"/>
                    <w:spacing w:before="0" w:beforeAutospacing="0" w:after="0" w:afterAutospacing="0"/>
                    <w:jc w:val="center"/>
                    <w:outlineLvl w:val="0"/>
                    <w:rPr>
                      <w:rFonts w:hint="eastAsia" w:ascii="Times New Roman" w:hAnsi="Times New Roman"/>
                      <w:color w:val="auto"/>
                      <w:sz w:val="21"/>
                      <w:lang w:val="en-US" w:eastAsia="zh-CN"/>
                    </w:rPr>
                  </w:pPr>
                  <w:r>
                    <w:rPr>
                      <w:rFonts w:hint="eastAsia" w:ascii="Times New Roman" w:hAnsi="Times New Roman"/>
                      <w:color w:val="auto"/>
                      <w:sz w:val="21"/>
                      <w:lang w:val="en-US" w:eastAsia="zh-CN"/>
                    </w:rPr>
                    <w:t>6</w:t>
                  </w:r>
                </w:p>
              </w:tc>
              <w:tc>
                <w:tcPr>
                  <w:tcW w:w="229" w:type="pct"/>
                  <w:vMerge w:val="continue"/>
                  <w:noWrap w:val="0"/>
                  <w:vAlign w:val="center"/>
                </w:tcPr>
                <w:p w14:paraId="11AF58C0">
                  <w:pPr>
                    <w:pStyle w:val="20"/>
                    <w:spacing w:before="0" w:beforeAutospacing="0" w:after="0" w:afterAutospacing="0"/>
                    <w:jc w:val="center"/>
                    <w:outlineLvl w:val="0"/>
                    <w:rPr>
                      <w:rFonts w:hint="default" w:ascii="Times New Roman" w:hAnsi="Times New Roman" w:eastAsia="宋体"/>
                      <w:color w:val="auto"/>
                      <w:sz w:val="21"/>
                      <w:lang w:val="en-US" w:eastAsia="zh-CN"/>
                    </w:rPr>
                  </w:pPr>
                </w:p>
              </w:tc>
            </w:tr>
            <w:tr w14:paraId="3B6407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0EF6922C">
                  <w:pPr>
                    <w:pStyle w:val="20"/>
                    <w:spacing w:before="0" w:beforeAutospacing="0" w:after="0" w:afterAutospacing="0"/>
                    <w:jc w:val="center"/>
                    <w:outlineLvl w:val="0"/>
                    <w:rPr>
                      <w:rFonts w:ascii="Times New Roman" w:hAnsi="Times New Roman"/>
                      <w:color w:val="auto"/>
                      <w:sz w:val="21"/>
                    </w:rPr>
                  </w:pPr>
                </w:p>
              </w:tc>
              <w:tc>
                <w:tcPr>
                  <w:tcW w:w="643" w:type="pct"/>
                  <w:noWrap w:val="0"/>
                  <w:vAlign w:val="center"/>
                </w:tcPr>
                <w:p w14:paraId="2DD24D07">
                  <w:pPr>
                    <w:pStyle w:val="20"/>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有机废气治理</w:t>
                  </w:r>
                </w:p>
              </w:tc>
              <w:tc>
                <w:tcPr>
                  <w:tcW w:w="689" w:type="pct"/>
                  <w:noWrap w:val="0"/>
                  <w:vAlign w:val="center"/>
                </w:tcPr>
                <w:p w14:paraId="3E397092">
                  <w:pPr>
                    <w:pStyle w:val="20"/>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废活性炭</w:t>
                  </w:r>
                </w:p>
              </w:tc>
              <w:tc>
                <w:tcPr>
                  <w:tcW w:w="1429" w:type="pct"/>
                  <w:vMerge w:val="continue"/>
                  <w:noWrap w:val="0"/>
                  <w:vAlign w:val="center"/>
                </w:tcPr>
                <w:p w14:paraId="492767E4">
                  <w:pPr>
                    <w:pStyle w:val="20"/>
                    <w:spacing w:before="0" w:beforeAutospacing="0" w:after="0" w:afterAutospacing="0"/>
                    <w:jc w:val="center"/>
                    <w:outlineLvl w:val="0"/>
                    <w:rPr>
                      <w:rFonts w:ascii="Times New Roman" w:hAnsi="Times New Roman"/>
                      <w:color w:val="auto"/>
                      <w:sz w:val="21"/>
                    </w:rPr>
                  </w:pPr>
                </w:p>
              </w:tc>
              <w:tc>
                <w:tcPr>
                  <w:tcW w:w="842" w:type="pct"/>
                  <w:vMerge w:val="continue"/>
                  <w:noWrap w:val="0"/>
                  <w:vAlign w:val="center"/>
                </w:tcPr>
                <w:p w14:paraId="0AA5F50B">
                  <w:pPr>
                    <w:pStyle w:val="20"/>
                    <w:spacing w:before="0" w:beforeAutospacing="0" w:after="0" w:afterAutospacing="0"/>
                    <w:jc w:val="center"/>
                    <w:outlineLvl w:val="0"/>
                    <w:rPr>
                      <w:rFonts w:ascii="Times New Roman" w:hAnsi="Times New Roman"/>
                      <w:color w:val="auto"/>
                      <w:sz w:val="21"/>
                    </w:rPr>
                  </w:pPr>
                </w:p>
              </w:tc>
              <w:tc>
                <w:tcPr>
                  <w:tcW w:w="440" w:type="pct"/>
                  <w:vMerge w:val="continue"/>
                  <w:noWrap w:val="0"/>
                  <w:vAlign w:val="center"/>
                </w:tcPr>
                <w:p w14:paraId="7F1653CE">
                  <w:pPr>
                    <w:pStyle w:val="20"/>
                    <w:spacing w:before="0" w:beforeAutospacing="0" w:after="0" w:afterAutospacing="0"/>
                    <w:jc w:val="center"/>
                    <w:outlineLvl w:val="0"/>
                    <w:rPr>
                      <w:rFonts w:hint="eastAsia" w:ascii="Times New Roman" w:hAnsi="Times New Roman"/>
                      <w:color w:val="auto"/>
                      <w:sz w:val="21"/>
                      <w:lang w:val="en-US" w:eastAsia="zh-CN"/>
                    </w:rPr>
                  </w:pPr>
                </w:p>
              </w:tc>
              <w:tc>
                <w:tcPr>
                  <w:tcW w:w="229" w:type="pct"/>
                  <w:vMerge w:val="continue"/>
                  <w:noWrap w:val="0"/>
                  <w:vAlign w:val="center"/>
                </w:tcPr>
                <w:p w14:paraId="77BD3763">
                  <w:pPr>
                    <w:pStyle w:val="20"/>
                    <w:spacing w:before="0" w:beforeAutospacing="0" w:after="0" w:afterAutospacing="0"/>
                    <w:jc w:val="center"/>
                    <w:outlineLvl w:val="0"/>
                    <w:rPr>
                      <w:rFonts w:hint="default" w:ascii="Times New Roman" w:hAnsi="Times New Roman" w:eastAsia="宋体"/>
                      <w:color w:val="auto"/>
                      <w:sz w:val="21"/>
                      <w:lang w:val="en-US" w:eastAsia="zh-CN"/>
                    </w:rPr>
                  </w:pPr>
                </w:p>
              </w:tc>
            </w:tr>
            <w:tr w14:paraId="3B0E3D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vMerge w:val="continue"/>
                  <w:noWrap w:val="0"/>
                  <w:vAlign w:val="center"/>
                </w:tcPr>
                <w:p w14:paraId="7DB12B5A">
                  <w:pPr>
                    <w:pStyle w:val="20"/>
                    <w:spacing w:before="0" w:beforeAutospacing="0" w:after="0" w:afterAutospacing="0"/>
                    <w:jc w:val="center"/>
                    <w:outlineLvl w:val="0"/>
                    <w:rPr>
                      <w:rFonts w:ascii="Times New Roman" w:hAnsi="Times New Roman"/>
                      <w:color w:val="auto"/>
                      <w:sz w:val="21"/>
                    </w:rPr>
                  </w:pPr>
                </w:p>
              </w:tc>
              <w:tc>
                <w:tcPr>
                  <w:tcW w:w="643" w:type="pct"/>
                  <w:noWrap w:val="0"/>
                  <w:vAlign w:val="center"/>
                </w:tcPr>
                <w:p w14:paraId="476C621B">
                  <w:pPr>
                    <w:pStyle w:val="20"/>
                    <w:spacing w:before="0" w:beforeAutospacing="0" w:after="0" w:afterAutospacing="0"/>
                    <w:jc w:val="center"/>
                    <w:outlineLvl w:val="0"/>
                    <w:rPr>
                      <w:rFonts w:hint="default" w:ascii="Times New Roman" w:hAnsi="Times New Roman"/>
                      <w:color w:val="auto"/>
                      <w:sz w:val="21"/>
                      <w:lang w:val="en-US" w:eastAsia="zh-CN"/>
                    </w:rPr>
                  </w:pPr>
                  <w:r>
                    <w:rPr>
                      <w:rFonts w:hint="eastAsia" w:ascii="Times New Roman" w:hAnsi="Times New Roman"/>
                      <w:color w:val="auto"/>
                      <w:sz w:val="21"/>
                    </w:rPr>
                    <w:t>员工工作生活</w:t>
                  </w:r>
                </w:p>
              </w:tc>
              <w:tc>
                <w:tcPr>
                  <w:tcW w:w="689" w:type="pct"/>
                  <w:noWrap w:val="0"/>
                  <w:vAlign w:val="center"/>
                </w:tcPr>
                <w:p w14:paraId="3546644B">
                  <w:pPr>
                    <w:pStyle w:val="20"/>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生活</w:t>
                  </w:r>
                </w:p>
                <w:p w14:paraId="6125FB27">
                  <w:pPr>
                    <w:pStyle w:val="20"/>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rPr>
                    <w:t>垃圾</w:t>
                  </w:r>
                </w:p>
              </w:tc>
              <w:tc>
                <w:tcPr>
                  <w:tcW w:w="1429" w:type="pct"/>
                  <w:noWrap w:val="0"/>
                  <w:vAlign w:val="center"/>
                </w:tcPr>
                <w:p w14:paraId="40A47182">
                  <w:pPr>
                    <w:pStyle w:val="20"/>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rPr>
                    <w:t>设置垃圾桶、垃圾箱，委托环卫部门统一清运</w:t>
                  </w:r>
                </w:p>
              </w:tc>
              <w:tc>
                <w:tcPr>
                  <w:tcW w:w="842" w:type="pct"/>
                  <w:vMerge w:val="continue"/>
                  <w:noWrap w:val="0"/>
                  <w:vAlign w:val="center"/>
                </w:tcPr>
                <w:p w14:paraId="7B3BB83D">
                  <w:pPr>
                    <w:pStyle w:val="20"/>
                    <w:spacing w:before="0" w:beforeAutospacing="0" w:after="0" w:afterAutospacing="0"/>
                    <w:jc w:val="center"/>
                    <w:outlineLvl w:val="0"/>
                    <w:rPr>
                      <w:rFonts w:ascii="Times New Roman" w:hAnsi="Times New Roman"/>
                      <w:color w:val="auto"/>
                      <w:sz w:val="21"/>
                    </w:rPr>
                  </w:pPr>
                </w:p>
              </w:tc>
              <w:tc>
                <w:tcPr>
                  <w:tcW w:w="440" w:type="pct"/>
                  <w:noWrap w:val="0"/>
                  <w:vAlign w:val="center"/>
                </w:tcPr>
                <w:p w14:paraId="077C86D7">
                  <w:pPr>
                    <w:pStyle w:val="20"/>
                    <w:spacing w:before="0" w:beforeAutospacing="0" w:after="0" w:afterAutospacing="0"/>
                    <w:jc w:val="center"/>
                    <w:outlineLvl w:val="0"/>
                    <w:rPr>
                      <w:rFonts w:ascii="Times New Roman" w:hAnsi="Times New Roman"/>
                      <w:color w:val="auto"/>
                      <w:sz w:val="21"/>
                    </w:rPr>
                  </w:pPr>
                </w:p>
                <w:p w14:paraId="616D5553">
                  <w:pPr>
                    <w:pStyle w:val="20"/>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0.5</w:t>
                  </w:r>
                </w:p>
              </w:tc>
              <w:tc>
                <w:tcPr>
                  <w:tcW w:w="229" w:type="pct"/>
                  <w:vMerge w:val="continue"/>
                  <w:noWrap w:val="0"/>
                  <w:vAlign w:val="center"/>
                </w:tcPr>
                <w:p w14:paraId="427F6D76">
                  <w:pPr>
                    <w:pStyle w:val="20"/>
                    <w:spacing w:before="0" w:beforeAutospacing="0" w:after="0" w:afterAutospacing="0"/>
                    <w:jc w:val="center"/>
                    <w:outlineLvl w:val="0"/>
                    <w:rPr>
                      <w:rFonts w:hint="eastAsia" w:ascii="Times New Roman" w:hAnsi="Times New Roman"/>
                      <w:color w:val="auto"/>
                      <w:sz w:val="21"/>
                    </w:rPr>
                  </w:pPr>
                </w:p>
              </w:tc>
            </w:tr>
            <w:tr w14:paraId="048EA0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14:paraId="7D52D579">
                  <w:pPr>
                    <w:pStyle w:val="20"/>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事故应急措施</w:t>
                  </w:r>
                </w:p>
              </w:tc>
              <w:tc>
                <w:tcPr>
                  <w:tcW w:w="3604" w:type="pct"/>
                  <w:gridSpan w:val="4"/>
                  <w:noWrap w:val="0"/>
                  <w:vAlign w:val="center"/>
                </w:tcPr>
                <w:p w14:paraId="12306B7F">
                  <w:pPr>
                    <w:pStyle w:val="20"/>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rPr>
                    <w:t>事故应急物资</w:t>
                  </w:r>
                  <w:r>
                    <w:rPr>
                      <w:rFonts w:hint="eastAsia" w:ascii="Times New Roman" w:hAnsi="Times New Roman"/>
                      <w:color w:val="auto"/>
                      <w:sz w:val="21"/>
                      <w:lang w:eastAsia="zh-CN"/>
                    </w:rPr>
                    <w:t>、</w:t>
                  </w:r>
                  <w:r>
                    <w:rPr>
                      <w:rFonts w:hint="eastAsia" w:ascii="Times New Roman" w:hAnsi="Times New Roman"/>
                      <w:color w:val="auto"/>
                      <w:sz w:val="21"/>
                      <w:lang w:val="en-US" w:eastAsia="zh-CN"/>
                    </w:rPr>
                    <w:t>事故应急设施</w:t>
                  </w:r>
                </w:p>
              </w:tc>
              <w:tc>
                <w:tcPr>
                  <w:tcW w:w="440" w:type="pct"/>
                  <w:noWrap w:val="0"/>
                  <w:vAlign w:val="center"/>
                </w:tcPr>
                <w:p w14:paraId="7F68BA76">
                  <w:pPr>
                    <w:pStyle w:val="20"/>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4</w:t>
                  </w:r>
                </w:p>
              </w:tc>
              <w:tc>
                <w:tcPr>
                  <w:tcW w:w="229" w:type="pct"/>
                  <w:vMerge w:val="continue"/>
                  <w:noWrap w:val="0"/>
                  <w:vAlign w:val="center"/>
                </w:tcPr>
                <w:p w14:paraId="1D2098DF">
                  <w:pPr>
                    <w:pStyle w:val="20"/>
                    <w:spacing w:before="0" w:beforeAutospacing="0" w:after="0" w:afterAutospacing="0"/>
                    <w:jc w:val="center"/>
                    <w:outlineLvl w:val="0"/>
                    <w:rPr>
                      <w:rFonts w:ascii="Times New Roman" w:hAnsi="Times New Roman"/>
                      <w:color w:val="auto"/>
                      <w:sz w:val="21"/>
                    </w:rPr>
                  </w:pPr>
                </w:p>
              </w:tc>
            </w:tr>
            <w:tr w14:paraId="62D761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14:paraId="7786CC5A">
                  <w:pPr>
                    <w:pStyle w:val="20"/>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“以新带老”措施</w:t>
                  </w:r>
                </w:p>
              </w:tc>
              <w:tc>
                <w:tcPr>
                  <w:tcW w:w="3604" w:type="pct"/>
                  <w:gridSpan w:val="4"/>
                  <w:noWrap w:val="0"/>
                  <w:vAlign w:val="center"/>
                </w:tcPr>
                <w:p w14:paraId="1C1EDC41">
                  <w:pPr>
                    <w:pStyle w:val="20"/>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w:t>
                  </w:r>
                </w:p>
              </w:tc>
              <w:tc>
                <w:tcPr>
                  <w:tcW w:w="440" w:type="pct"/>
                  <w:noWrap w:val="0"/>
                  <w:vAlign w:val="center"/>
                </w:tcPr>
                <w:p w14:paraId="7759E999">
                  <w:pPr>
                    <w:pStyle w:val="20"/>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w:t>
                  </w:r>
                </w:p>
              </w:tc>
              <w:tc>
                <w:tcPr>
                  <w:tcW w:w="229" w:type="pct"/>
                  <w:vMerge w:val="continue"/>
                  <w:noWrap w:val="0"/>
                  <w:vAlign w:val="center"/>
                </w:tcPr>
                <w:p w14:paraId="77607451">
                  <w:pPr>
                    <w:pStyle w:val="20"/>
                    <w:spacing w:before="0" w:beforeAutospacing="0" w:after="0" w:afterAutospacing="0"/>
                    <w:jc w:val="center"/>
                    <w:outlineLvl w:val="0"/>
                    <w:rPr>
                      <w:rFonts w:ascii="Times New Roman" w:hAnsi="Times New Roman"/>
                      <w:color w:val="auto"/>
                      <w:sz w:val="21"/>
                    </w:rPr>
                  </w:pPr>
                </w:p>
              </w:tc>
            </w:tr>
            <w:tr w14:paraId="1C3F87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25" w:type="pct"/>
                  <w:noWrap w:val="0"/>
                  <w:vAlign w:val="center"/>
                </w:tcPr>
                <w:p w14:paraId="4E1D9C16">
                  <w:pPr>
                    <w:pStyle w:val="20"/>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清污分流、排污口规范化设置（流量计、在线</w:t>
                  </w:r>
                  <w:r>
                    <w:rPr>
                      <w:rFonts w:hint="eastAsia" w:ascii="Times New Roman" w:hAnsi="Times New Roman"/>
                      <w:color w:val="auto"/>
                      <w:sz w:val="21"/>
                      <w:lang w:eastAsia="zh-CN"/>
                    </w:rPr>
                    <w:t>检测仪</w:t>
                  </w:r>
                  <w:r>
                    <w:rPr>
                      <w:rFonts w:hint="eastAsia" w:ascii="Times New Roman" w:hAnsi="Times New Roman"/>
                      <w:color w:val="auto"/>
                      <w:sz w:val="21"/>
                    </w:rPr>
                    <w:t>等）</w:t>
                  </w:r>
                </w:p>
              </w:tc>
              <w:tc>
                <w:tcPr>
                  <w:tcW w:w="3604" w:type="pct"/>
                  <w:gridSpan w:val="4"/>
                  <w:noWrap w:val="0"/>
                  <w:vAlign w:val="center"/>
                </w:tcPr>
                <w:p w14:paraId="386D1120">
                  <w:pPr>
                    <w:pStyle w:val="20"/>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rPr>
                    <w:t>废气：设置</w:t>
                  </w:r>
                  <w:r>
                    <w:rPr>
                      <w:rFonts w:hint="eastAsia" w:ascii="Times New Roman" w:hAnsi="Times New Roman"/>
                      <w:color w:val="auto"/>
                      <w:sz w:val="21"/>
                      <w:lang w:val="en-US" w:eastAsia="zh-CN"/>
                    </w:rPr>
                    <w:t>1</w:t>
                  </w:r>
                  <w:r>
                    <w:rPr>
                      <w:rFonts w:ascii="Times New Roman" w:hAnsi="Times New Roman"/>
                      <w:color w:val="auto"/>
                      <w:sz w:val="21"/>
                    </w:rPr>
                    <w:t>个废气排放口</w:t>
                  </w:r>
                </w:p>
                <w:p w14:paraId="3B668C3A">
                  <w:pPr>
                    <w:pStyle w:val="20"/>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废水：</w:t>
                  </w:r>
                  <w:r>
                    <w:rPr>
                      <w:rFonts w:hint="eastAsia" w:ascii="Times New Roman" w:hAnsi="Times New Roman"/>
                      <w:color w:val="auto"/>
                      <w:sz w:val="21"/>
                      <w:lang w:val="en-US" w:eastAsia="zh-CN"/>
                    </w:rPr>
                    <w:t>1个</w:t>
                  </w:r>
                  <w:r>
                    <w:rPr>
                      <w:rFonts w:hint="eastAsia" w:ascii="Times New Roman" w:hAnsi="Times New Roman"/>
                      <w:color w:val="auto"/>
                      <w:sz w:val="21"/>
                    </w:rPr>
                    <w:t>雨水排口</w:t>
                  </w:r>
                  <w:r>
                    <w:rPr>
                      <w:rFonts w:hint="eastAsia" w:ascii="Times New Roman" w:hAnsi="Times New Roman"/>
                      <w:color w:val="auto"/>
                      <w:sz w:val="21"/>
                      <w:lang w:val="en-US" w:eastAsia="zh-CN"/>
                    </w:rPr>
                    <w:t>和1个污水排口</w:t>
                  </w:r>
                </w:p>
              </w:tc>
              <w:tc>
                <w:tcPr>
                  <w:tcW w:w="440" w:type="pct"/>
                  <w:noWrap w:val="0"/>
                  <w:vAlign w:val="center"/>
                </w:tcPr>
                <w:p w14:paraId="5104C92E">
                  <w:pPr>
                    <w:pStyle w:val="20"/>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w:t>
                  </w:r>
                </w:p>
              </w:tc>
              <w:tc>
                <w:tcPr>
                  <w:tcW w:w="229" w:type="pct"/>
                  <w:vMerge w:val="continue"/>
                  <w:noWrap w:val="0"/>
                  <w:vAlign w:val="center"/>
                </w:tcPr>
                <w:p w14:paraId="3593FCEB">
                  <w:pPr>
                    <w:pStyle w:val="20"/>
                    <w:spacing w:before="0" w:beforeAutospacing="0" w:after="0" w:afterAutospacing="0"/>
                    <w:jc w:val="center"/>
                    <w:outlineLvl w:val="0"/>
                    <w:rPr>
                      <w:rFonts w:ascii="Times New Roman" w:hAnsi="Times New Roman"/>
                      <w:color w:val="auto"/>
                      <w:sz w:val="21"/>
                    </w:rPr>
                  </w:pPr>
                </w:p>
              </w:tc>
            </w:tr>
            <w:tr w14:paraId="617548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14:paraId="36A9160C">
                  <w:pPr>
                    <w:pStyle w:val="20"/>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szCs w:val="18"/>
                    </w:rPr>
                    <w:t>总量平衡具体方案</w:t>
                  </w:r>
                </w:p>
              </w:tc>
              <w:tc>
                <w:tcPr>
                  <w:tcW w:w="3604" w:type="pct"/>
                  <w:gridSpan w:val="4"/>
                  <w:noWrap w:val="0"/>
                  <w:vAlign w:val="center"/>
                </w:tcPr>
                <w:p w14:paraId="3E3FD1F1">
                  <w:pPr>
                    <w:pStyle w:val="20"/>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jc w:val="both"/>
                    <w:textAlignment w:val="auto"/>
                    <w:outlineLvl w:val="0"/>
                    <w:rPr>
                      <w:rFonts w:hint="eastAsia" w:ascii="Times New Roman" w:hAnsi="Times New Roman"/>
                      <w:color w:val="auto"/>
                      <w:sz w:val="21"/>
                    </w:rPr>
                  </w:pPr>
                  <w:r>
                    <w:rPr>
                      <w:rFonts w:hint="eastAsia" w:ascii="Times New Roman" w:hAnsi="Times New Roman"/>
                      <w:color w:val="auto"/>
                      <w:sz w:val="21"/>
                    </w:rPr>
                    <w:t>废气：非甲烷总烃控制总量为0.108t/a（有组织0.051t/a，无组织0.057t/a），</w:t>
                  </w:r>
                  <w:r>
                    <w:rPr>
                      <w:rFonts w:hint="eastAsia" w:ascii="Times New Roman" w:hAnsi="Times New Roman"/>
                      <w:color w:val="auto"/>
                      <w:sz w:val="21"/>
                      <w:lang w:eastAsia="zh-CN"/>
                    </w:rPr>
                    <w:t>空气污染物</w:t>
                  </w:r>
                  <w:r>
                    <w:rPr>
                      <w:rFonts w:hint="eastAsia" w:ascii="Times New Roman" w:hAnsi="Times New Roman"/>
                      <w:color w:val="auto"/>
                      <w:sz w:val="21"/>
                    </w:rPr>
                    <w:t>总量在涟水县内平衡。</w:t>
                  </w:r>
                </w:p>
                <w:p w14:paraId="64B7A2E9">
                  <w:pPr>
                    <w:pStyle w:val="20"/>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jc w:val="both"/>
                    <w:textAlignment w:val="auto"/>
                    <w:outlineLvl w:val="0"/>
                    <w:rPr>
                      <w:rFonts w:hint="eastAsia" w:ascii="Times New Roman" w:hAnsi="Times New Roman"/>
                      <w:color w:val="auto"/>
                      <w:sz w:val="21"/>
                    </w:rPr>
                  </w:pPr>
                  <w:r>
                    <w:rPr>
                      <w:rFonts w:hint="eastAsia" w:ascii="Times New Roman" w:hAnsi="Times New Roman"/>
                      <w:color w:val="auto"/>
                      <w:sz w:val="21"/>
                    </w:rPr>
                    <w:t>废水：废水总量为360t/a，废水总量控制因子为：COD、NH</w:t>
                  </w:r>
                  <w:r>
                    <w:rPr>
                      <w:rFonts w:hint="eastAsia" w:ascii="Times New Roman" w:hAnsi="Times New Roman"/>
                      <w:color w:val="auto"/>
                      <w:sz w:val="21"/>
                      <w:vertAlign w:val="subscript"/>
                    </w:rPr>
                    <w:t>3</w:t>
                  </w:r>
                  <w:r>
                    <w:rPr>
                      <w:rFonts w:hint="eastAsia" w:ascii="Times New Roman" w:hAnsi="Times New Roman"/>
                      <w:color w:val="auto"/>
                      <w:sz w:val="21"/>
                    </w:rPr>
                    <w:t>-N、TP和TN，废水接管量为：COD0.09t/a、NH</w:t>
                  </w:r>
                  <w:r>
                    <w:rPr>
                      <w:rFonts w:hint="eastAsia" w:ascii="Times New Roman" w:hAnsi="Times New Roman"/>
                      <w:color w:val="auto"/>
                      <w:sz w:val="21"/>
                      <w:vertAlign w:val="subscript"/>
                    </w:rPr>
                    <w:t>3</w:t>
                  </w:r>
                  <w:r>
                    <w:rPr>
                      <w:rFonts w:hint="eastAsia" w:ascii="Times New Roman" w:hAnsi="Times New Roman"/>
                      <w:color w:val="auto"/>
                      <w:sz w:val="21"/>
                    </w:rPr>
                    <w:t>-N0.009t/a、TN0.013t/a、TP0.001t/a；废水环境排放量为：COD0.018t/a、NH</w:t>
                  </w:r>
                  <w:r>
                    <w:rPr>
                      <w:rFonts w:hint="eastAsia" w:ascii="Times New Roman" w:hAnsi="Times New Roman"/>
                      <w:color w:val="auto"/>
                      <w:sz w:val="21"/>
                      <w:vertAlign w:val="subscript"/>
                    </w:rPr>
                    <w:t>3</w:t>
                  </w:r>
                  <w:r>
                    <w:rPr>
                      <w:rFonts w:hint="eastAsia" w:ascii="Times New Roman" w:hAnsi="Times New Roman"/>
                      <w:color w:val="auto"/>
                      <w:sz w:val="21"/>
                    </w:rPr>
                    <w:t>-N0.0018t/a、TN0.0054t/a、TP0.0002t/a。废水在涟水经济开发区西区污水处理厂内平衡。</w:t>
                  </w:r>
                </w:p>
                <w:p w14:paraId="0738F9D8">
                  <w:pPr>
                    <w:pStyle w:val="20"/>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jc w:val="both"/>
                    <w:textAlignment w:val="auto"/>
                    <w:outlineLvl w:val="0"/>
                    <w:rPr>
                      <w:rFonts w:hint="eastAsia" w:ascii="Times New Roman" w:hAnsi="Times New Roman"/>
                      <w:color w:val="auto"/>
                      <w:sz w:val="21"/>
                    </w:rPr>
                  </w:pPr>
                  <w:r>
                    <w:rPr>
                      <w:rFonts w:hint="eastAsia" w:ascii="Times New Roman" w:hAnsi="Times New Roman"/>
                      <w:color w:val="auto"/>
                      <w:sz w:val="21"/>
                    </w:rPr>
                    <w:t>固废：本项目的固体废物全部合理处置，可以实现零排放。</w:t>
                  </w:r>
                </w:p>
              </w:tc>
              <w:tc>
                <w:tcPr>
                  <w:tcW w:w="440" w:type="pct"/>
                  <w:noWrap w:val="0"/>
                  <w:vAlign w:val="center"/>
                </w:tcPr>
                <w:p w14:paraId="67CB7092">
                  <w:pPr>
                    <w:pStyle w:val="20"/>
                    <w:spacing w:before="0" w:beforeAutospacing="0" w:after="0" w:afterAutospacing="0"/>
                    <w:jc w:val="center"/>
                    <w:outlineLvl w:val="0"/>
                    <w:rPr>
                      <w:rFonts w:hint="eastAsia" w:ascii="Times New Roman" w:hAnsi="Times New Roman"/>
                      <w:color w:val="auto"/>
                      <w:sz w:val="21"/>
                    </w:rPr>
                  </w:pPr>
                </w:p>
                <w:p w14:paraId="1C8BB27F">
                  <w:pPr>
                    <w:pStyle w:val="20"/>
                    <w:spacing w:before="0" w:beforeAutospacing="0" w:after="0" w:afterAutospacing="0"/>
                    <w:jc w:val="center"/>
                    <w:outlineLvl w:val="0"/>
                    <w:rPr>
                      <w:rFonts w:hint="eastAsia" w:ascii="Times New Roman" w:hAnsi="Times New Roman"/>
                      <w:color w:val="auto"/>
                      <w:sz w:val="21"/>
                    </w:rPr>
                  </w:pPr>
                </w:p>
                <w:p w14:paraId="04C49F96">
                  <w:pPr>
                    <w:pStyle w:val="20"/>
                    <w:spacing w:before="0" w:beforeAutospacing="0" w:after="0" w:afterAutospacing="0"/>
                    <w:jc w:val="center"/>
                    <w:outlineLvl w:val="0"/>
                    <w:rPr>
                      <w:rFonts w:hint="eastAsia" w:ascii="Times New Roman" w:hAnsi="Times New Roman"/>
                      <w:color w:val="auto"/>
                      <w:sz w:val="21"/>
                    </w:rPr>
                  </w:pPr>
                </w:p>
                <w:p w14:paraId="1E6BB08E">
                  <w:pPr>
                    <w:pStyle w:val="20"/>
                    <w:spacing w:before="0" w:beforeAutospacing="0" w:after="0" w:afterAutospacing="0"/>
                    <w:jc w:val="center"/>
                    <w:outlineLvl w:val="0"/>
                    <w:rPr>
                      <w:rFonts w:hint="eastAsia" w:ascii="Times New Roman" w:hAnsi="Times New Roman"/>
                      <w:color w:val="auto"/>
                      <w:sz w:val="21"/>
                    </w:rPr>
                  </w:pPr>
                </w:p>
                <w:p w14:paraId="5BE5C76C">
                  <w:pPr>
                    <w:pStyle w:val="20"/>
                    <w:spacing w:before="0" w:beforeAutospacing="0" w:after="0" w:afterAutospacing="0"/>
                    <w:jc w:val="center"/>
                    <w:outlineLvl w:val="0"/>
                    <w:rPr>
                      <w:rFonts w:hint="eastAsia" w:ascii="Times New Roman" w:hAnsi="Times New Roman"/>
                      <w:color w:val="auto"/>
                      <w:sz w:val="21"/>
                    </w:rPr>
                  </w:pPr>
                </w:p>
                <w:p w14:paraId="55F623F8">
                  <w:pPr>
                    <w:pStyle w:val="20"/>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w:t>
                  </w:r>
                </w:p>
              </w:tc>
              <w:tc>
                <w:tcPr>
                  <w:tcW w:w="229" w:type="pct"/>
                  <w:vMerge w:val="continue"/>
                  <w:noWrap w:val="0"/>
                  <w:vAlign w:val="center"/>
                </w:tcPr>
                <w:p w14:paraId="2D02D5AE">
                  <w:pPr>
                    <w:pStyle w:val="20"/>
                    <w:spacing w:before="0" w:beforeAutospacing="0" w:after="0" w:afterAutospacing="0"/>
                    <w:jc w:val="center"/>
                    <w:outlineLvl w:val="0"/>
                    <w:rPr>
                      <w:rFonts w:ascii="Times New Roman" w:hAnsi="Times New Roman"/>
                      <w:color w:val="auto"/>
                      <w:sz w:val="21"/>
                    </w:rPr>
                  </w:pPr>
                </w:p>
              </w:tc>
            </w:tr>
            <w:tr w14:paraId="3C357C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5" w:type="pct"/>
                  <w:noWrap w:val="0"/>
                  <w:vAlign w:val="center"/>
                </w:tcPr>
                <w:p w14:paraId="73F7B03C">
                  <w:pPr>
                    <w:pStyle w:val="20"/>
                    <w:spacing w:before="0" w:beforeAutospacing="0" w:after="0" w:afterAutospacing="0"/>
                    <w:jc w:val="center"/>
                    <w:outlineLvl w:val="0"/>
                    <w:rPr>
                      <w:rFonts w:ascii="Times New Roman" w:hAnsi="Times New Roman"/>
                      <w:color w:val="auto"/>
                      <w:sz w:val="21"/>
                    </w:rPr>
                  </w:pPr>
                  <w:r>
                    <w:rPr>
                      <w:rFonts w:ascii="Times New Roman" w:hAnsi="Times New Roman"/>
                      <w:color w:val="auto"/>
                      <w:sz w:val="21"/>
                      <w:szCs w:val="18"/>
                    </w:rPr>
                    <w:t>卫生防护距离设置（以设施或厂界设置，敏感保护目标情况等）</w:t>
                  </w:r>
                </w:p>
              </w:tc>
              <w:tc>
                <w:tcPr>
                  <w:tcW w:w="3604" w:type="pct"/>
                  <w:gridSpan w:val="4"/>
                  <w:noWrap w:val="0"/>
                  <w:vAlign w:val="center"/>
                </w:tcPr>
                <w:p w14:paraId="1DF33CDC">
                  <w:pPr>
                    <w:pStyle w:val="20"/>
                    <w:spacing w:before="0" w:beforeAutospacing="0" w:after="0" w:afterAutospacing="0"/>
                    <w:jc w:val="center"/>
                    <w:outlineLvl w:val="0"/>
                    <w:rPr>
                      <w:rFonts w:hint="eastAsia" w:ascii="Times New Roman" w:hAnsi="Times New Roman"/>
                      <w:color w:val="auto"/>
                      <w:sz w:val="21"/>
                    </w:rPr>
                  </w:pPr>
                </w:p>
                <w:p w14:paraId="4616F8F1">
                  <w:pPr>
                    <w:pStyle w:val="20"/>
                    <w:spacing w:before="0" w:beforeAutospacing="0" w:after="0" w:afterAutospacing="0"/>
                    <w:jc w:val="center"/>
                    <w:outlineLvl w:val="0"/>
                    <w:rPr>
                      <w:rFonts w:hint="eastAsia" w:ascii="Times New Roman" w:hAnsi="Times New Roman"/>
                      <w:color w:val="auto"/>
                      <w:sz w:val="21"/>
                    </w:rPr>
                  </w:pPr>
                </w:p>
                <w:p w14:paraId="046FBD68">
                  <w:pPr>
                    <w:pStyle w:val="20"/>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rPr>
                    <w:t>本项目</w:t>
                  </w:r>
                  <w:r>
                    <w:rPr>
                      <w:rFonts w:hint="eastAsia" w:ascii="Times New Roman" w:hAnsi="Times New Roman"/>
                      <w:color w:val="auto"/>
                      <w:sz w:val="21"/>
                      <w:lang w:val="en-US" w:eastAsia="zh-CN"/>
                    </w:rPr>
                    <w:t>以生产</w:t>
                  </w:r>
                  <w:r>
                    <w:rPr>
                      <w:rFonts w:hint="eastAsia" w:ascii="Times New Roman" w:hAnsi="Times New Roman"/>
                      <w:color w:val="auto"/>
                      <w:sz w:val="21"/>
                    </w:rPr>
                    <w:t>厂房边界为起点设置</w:t>
                  </w:r>
                  <w:r>
                    <w:rPr>
                      <w:rFonts w:hint="eastAsia" w:ascii="Times New Roman" w:hAnsi="Times New Roman"/>
                      <w:color w:val="auto"/>
                      <w:sz w:val="21"/>
                      <w:lang w:val="en-US" w:eastAsia="zh-CN"/>
                    </w:rPr>
                    <w:t>50</w:t>
                  </w:r>
                  <w:r>
                    <w:rPr>
                      <w:rFonts w:hint="eastAsia" w:ascii="Times New Roman" w:hAnsi="Times New Roman"/>
                      <w:color w:val="auto"/>
                      <w:sz w:val="21"/>
                    </w:rPr>
                    <w:t>m卫生防护距离，卫生防护距离内无环境敏感目标。</w:t>
                  </w:r>
                </w:p>
              </w:tc>
              <w:tc>
                <w:tcPr>
                  <w:tcW w:w="440" w:type="pct"/>
                  <w:noWrap w:val="0"/>
                  <w:vAlign w:val="center"/>
                </w:tcPr>
                <w:p w14:paraId="1451B5BE">
                  <w:pPr>
                    <w:pStyle w:val="20"/>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w:t>
                  </w:r>
                </w:p>
              </w:tc>
              <w:tc>
                <w:tcPr>
                  <w:tcW w:w="229" w:type="pct"/>
                  <w:vMerge w:val="continue"/>
                  <w:noWrap w:val="0"/>
                  <w:vAlign w:val="center"/>
                </w:tcPr>
                <w:p w14:paraId="44750BE7">
                  <w:pPr>
                    <w:pStyle w:val="20"/>
                    <w:spacing w:before="0" w:beforeAutospacing="0" w:after="0" w:afterAutospacing="0"/>
                    <w:jc w:val="center"/>
                    <w:outlineLvl w:val="0"/>
                    <w:rPr>
                      <w:rFonts w:ascii="Times New Roman" w:hAnsi="Times New Roman"/>
                      <w:color w:val="auto"/>
                      <w:sz w:val="21"/>
                    </w:rPr>
                  </w:pPr>
                </w:p>
              </w:tc>
            </w:tr>
            <w:tr w14:paraId="41DC1D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29" w:type="pct"/>
                  <w:gridSpan w:val="5"/>
                  <w:noWrap w:val="0"/>
                  <w:vAlign w:val="center"/>
                </w:tcPr>
                <w:p w14:paraId="391E4C86">
                  <w:pPr>
                    <w:pStyle w:val="20"/>
                    <w:spacing w:before="0" w:beforeAutospacing="0" w:after="0" w:afterAutospacing="0"/>
                    <w:jc w:val="center"/>
                    <w:outlineLvl w:val="0"/>
                    <w:rPr>
                      <w:rFonts w:hint="eastAsia" w:ascii="Times New Roman" w:hAnsi="Times New Roman"/>
                      <w:color w:val="auto"/>
                      <w:sz w:val="21"/>
                      <w:lang w:val="en-US" w:eastAsia="zh-CN"/>
                    </w:rPr>
                  </w:pPr>
                  <w:r>
                    <w:rPr>
                      <w:rFonts w:hint="eastAsia" w:ascii="Times New Roman" w:hAnsi="Times New Roman"/>
                      <w:color w:val="auto"/>
                      <w:sz w:val="21"/>
                    </w:rPr>
                    <w:t>合计</w:t>
                  </w:r>
                </w:p>
              </w:tc>
              <w:tc>
                <w:tcPr>
                  <w:tcW w:w="440" w:type="pct"/>
                  <w:noWrap w:val="0"/>
                  <w:vAlign w:val="center"/>
                </w:tcPr>
                <w:p w14:paraId="2CCF96FA">
                  <w:pPr>
                    <w:pStyle w:val="20"/>
                    <w:spacing w:before="0" w:beforeAutospacing="0" w:after="0" w:afterAutospacing="0"/>
                    <w:jc w:val="center"/>
                    <w:outlineLvl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31</w:t>
                  </w:r>
                </w:p>
              </w:tc>
              <w:tc>
                <w:tcPr>
                  <w:tcW w:w="229" w:type="pct"/>
                  <w:vMerge w:val="continue"/>
                  <w:noWrap w:val="0"/>
                  <w:vAlign w:val="center"/>
                </w:tcPr>
                <w:p w14:paraId="12F8007F">
                  <w:pPr>
                    <w:pStyle w:val="20"/>
                    <w:spacing w:before="0" w:beforeAutospacing="0" w:after="0" w:afterAutospacing="0"/>
                    <w:jc w:val="center"/>
                    <w:outlineLvl w:val="0"/>
                    <w:rPr>
                      <w:rFonts w:hint="default" w:ascii="Times New Roman" w:hAnsi="Times New Roman" w:eastAsia="宋体"/>
                      <w:color w:val="auto"/>
                      <w:sz w:val="21"/>
                      <w:lang w:val="en-US" w:eastAsia="zh-CN"/>
                    </w:rPr>
                  </w:pPr>
                </w:p>
              </w:tc>
            </w:tr>
          </w:tbl>
          <w:p w14:paraId="15789D87">
            <w:pPr>
              <w:pStyle w:val="20"/>
              <w:spacing w:before="0" w:beforeAutospacing="0" w:after="0" w:afterAutospacing="0"/>
              <w:jc w:val="both"/>
              <w:outlineLvl w:val="0"/>
              <w:rPr>
                <w:rFonts w:cs="宋体"/>
                <w:snapToGrid w:val="0"/>
                <w:color w:val="auto"/>
                <w:sz w:val="21"/>
                <w:szCs w:val="21"/>
              </w:rPr>
            </w:pPr>
          </w:p>
        </w:tc>
      </w:tr>
    </w:tbl>
    <w:p w14:paraId="4AC878FB">
      <w:pPr>
        <w:adjustRightInd w:val="0"/>
        <w:snapToGrid w:val="0"/>
        <w:spacing w:line="360" w:lineRule="auto"/>
        <w:rPr>
          <w:rFonts w:hint="eastAsia" w:ascii="宋体" w:cs="宋体"/>
          <w:b/>
          <w:color w:val="auto"/>
          <w:kern w:val="0"/>
          <w:sz w:val="28"/>
          <w:szCs w:val="28"/>
        </w:rPr>
        <w:sectPr>
          <w:pgSz w:w="11905" w:h="16838"/>
          <w:pgMar w:top="1701" w:right="1531" w:bottom="2126" w:left="1531" w:header="851" w:footer="850" w:gutter="0"/>
          <w:pgBorders>
            <w:top w:val="none" w:sz="0" w:space="0"/>
            <w:left w:val="none" w:sz="0" w:space="0"/>
            <w:bottom w:val="none" w:sz="0" w:space="0"/>
            <w:right w:val="none" w:sz="0" w:space="0"/>
          </w:pgBorders>
          <w:cols w:space="720" w:num="1"/>
          <w:rtlGutter w:val="0"/>
          <w:docGrid w:linePitch="312" w:charSpace="0"/>
        </w:sectPr>
      </w:pPr>
    </w:p>
    <w:p w14:paraId="179DD8B6">
      <w:pPr>
        <w:pStyle w:val="20"/>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5" w:name="_Hlk54167917"/>
      <w:r>
        <w:rPr>
          <w:rFonts w:hint="eastAsia" w:ascii="黑体" w:hAnsi="黑体" w:eastAsia="黑体"/>
          <w:snapToGrid w:val="0"/>
          <w:color w:val="auto"/>
          <w:sz w:val="30"/>
          <w:szCs w:val="30"/>
        </w:rPr>
        <w:t>环境保护措施监督检查清单</w:t>
      </w:r>
      <w:bookmarkEnd w:id="5"/>
    </w:p>
    <w:tbl>
      <w:tblPr>
        <w:tblStyle w:val="22"/>
        <w:tblW w:w="88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500"/>
        <w:gridCol w:w="1740"/>
        <w:gridCol w:w="1852"/>
        <w:gridCol w:w="2017"/>
      </w:tblGrid>
      <w:tr w14:paraId="171DCC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14:paraId="0D4D76F7">
            <w:pPr>
              <w:adjustRightInd w:val="0"/>
              <w:snapToGrid w:val="0"/>
              <w:ind w:firstLine="840"/>
              <w:jc w:val="center"/>
              <w:rPr>
                <w:rFonts w:cs="宋体"/>
                <w:color w:val="auto"/>
                <w:szCs w:val="21"/>
              </w:rPr>
            </w:pPr>
            <w:r>
              <w:rPr>
                <w:rFonts w:hint="eastAsia" w:cs="宋体"/>
                <w:color w:val="auto"/>
                <w:szCs w:val="21"/>
              </w:rPr>
              <w:t>内容</w:t>
            </w:r>
          </w:p>
          <w:p w14:paraId="4148532C">
            <w:pPr>
              <w:adjustRightInd w:val="0"/>
              <w:snapToGrid w:val="0"/>
              <w:jc w:val="center"/>
              <w:rPr>
                <w:rFonts w:hint="eastAsia" w:eastAsia="宋体" w:cs="宋体"/>
                <w:color w:val="auto"/>
                <w:szCs w:val="21"/>
                <w:lang w:eastAsia="zh-CN"/>
              </w:rPr>
            </w:pPr>
            <w:r>
              <w:rPr>
                <w:rFonts w:hint="eastAsia" w:cs="宋体"/>
                <w:color w:val="auto"/>
                <w:szCs w:val="21"/>
              </w:rPr>
              <w:t>要素</w:t>
            </w:r>
          </w:p>
        </w:tc>
        <w:tc>
          <w:tcPr>
            <w:tcW w:w="1500" w:type="dxa"/>
            <w:noWrap w:val="0"/>
            <w:vAlign w:val="center"/>
          </w:tcPr>
          <w:p w14:paraId="650CD75E">
            <w:pPr>
              <w:adjustRightInd w:val="0"/>
              <w:snapToGrid w:val="0"/>
              <w:jc w:val="center"/>
              <w:rPr>
                <w:rFonts w:cs="宋体"/>
                <w:color w:val="auto"/>
                <w:szCs w:val="21"/>
              </w:rPr>
            </w:pPr>
            <w:r>
              <w:rPr>
                <w:rFonts w:hint="eastAsia" w:cs="宋体"/>
                <w:color w:val="auto"/>
                <w:szCs w:val="21"/>
              </w:rPr>
              <w:t>排放口</w:t>
            </w:r>
            <w:r>
              <w:rPr>
                <w:rFonts w:hint="eastAsia" w:cs="宋体"/>
                <w:color w:val="auto"/>
                <w:szCs w:val="21"/>
                <w:lang w:eastAsia="zh-CN"/>
              </w:rPr>
              <w:t>（</w:t>
            </w:r>
            <w:r>
              <w:rPr>
                <w:rFonts w:hint="eastAsia" w:cs="宋体"/>
                <w:color w:val="auto"/>
                <w:szCs w:val="21"/>
              </w:rPr>
              <w:t>编号、</w:t>
            </w:r>
          </w:p>
          <w:p w14:paraId="559C0B8E">
            <w:pPr>
              <w:adjustRightInd w:val="0"/>
              <w:snapToGrid w:val="0"/>
              <w:jc w:val="center"/>
              <w:rPr>
                <w:rFonts w:cs="宋体"/>
                <w:color w:val="auto"/>
                <w:szCs w:val="21"/>
              </w:rPr>
            </w:pPr>
            <w:r>
              <w:rPr>
                <w:rFonts w:hint="eastAsia" w:cs="宋体"/>
                <w:color w:val="auto"/>
                <w:szCs w:val="21"/>
              </w:rPr>
              <w:t>名称</w:t>
            </w:r>
            <w:r>
              <w:rPr>
                <w:rFonts w:hint="eastAsia" w:cs="宋体"/>
                <w:color w:val="auto"/>
                <w:szCs w:val="21"/>
                <w:lang w:eastAsia="zh-CN"/>
              </w:rPr>
              <w:t>）</w:t>
            </w:r>
            <w:r>
              <w:rPr>
                <w:rFonts w:hint="eastAsia" w:cs="宋体"/>
                <w:color w:val="auto"/>
                <w:szCs w:val="21"/>
              </w:rPr>
              <w:t>/污染源</w:t>
            </w:r>
          </w:p>
        </w:tc>
        <w:tc>
          <w:tcPr>
            <w:tcW w:w="1740" w:type="dxa"/>
            <w:noWrap w:val="0"/>
            <w:vAlign w:val="center"/>
          </w:tcPr>
          <w:p w14:paraId="618701BF">
            <w:pPr>
              <w:adjustRightInd w:val="0"/>
              <w:snapToGrid w:val="0"/>
              <w:jc w:val="center"/>
              <w:rPr>
                <w:rFonts w:cs="宋体"/>
                <w:color w:val="auto"/>
                <w:szCs w:val="21"/>
              </w:rPr>
            </w:pPr>
            <w:r>
              <w:rPr>
                <w:rFonts w:hint="eastAsia" w:cs="宋体"/>
                <w:color w:val="auto"/>
                <w:szCs w:val="21"/>
              </w:rPr>
              <w:t>污染物项目</w:t>
            </w:r>
          </w:p>
        </w:tc>
        <w:tc>
          <w:tcPr>
            <w:tcW w:w="1852" w:type="dxa"/>
            <w:noWrap w:val="0"/>
            <w:vAlign w:val="center"/>
          </w:tcPr>
          <w:p w14:paraId="19EBA39E">
            <w:pPr>
              <w:adjustRightInd w:val="0"/>
              <w:snapToGrid w:val="0"/>
              <w:jc w:val="center"/>
              <w:rPr>
                <w:rFonts w:cs="宋体"/>
                <w:color w:val="auto"/>
                <w:szCs w:val="21"/>
              </w:rPr>
            </w:pPr>
            <w:r>
              <w:rPr>
                <w:rFonts w:hint="eastAsia" w:cs="宋体"/>
                <w:color w:val="auto"/>
                <w:szCs w:val="21"/>
              </w:rPr>
              <w:t>环境保护措施</w:t>
            </w:r>
          </w:p>
        </w:tc>
        <w:tc>
          <w:tcPr>
            <w:tcW w:w="2017" w:type="dxa"/>
            <w:noWrap w:val="0"/>
            <w:vAlign w:val="center"/>
          </w:tcPr>
          <w:p w14:paraId="50DD2002">
            <w:pPr>
              <w:adjustRightInd w:val="0"/>
              <w:snapToGrid w:val="0"/>
              <w:jc w:val="center"/>
              <w:rPr>
                <w:rFonts w:cs="宋体"/>
                <w:color w:val="auto"/>
                <w:szCs w:val="21"/>
              </w:rPr>
            </w:pPr>
            <w:r>
              <w:rPr>
                <w:rFonts w:hint="eastAsia" w:cs="宋体"/>
                <w:color w:val="auto"/>
                <w:szCs w:val="21"/>
              </w:rPr>
              <w:t>执行标准</w:t>
            </w:r>
          </w:p>
        </w:tc>
      </w:tr>
      <w:tr w14:paraId="5A973B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14:paraId="3292F048">
            <w:pPr>
              <w:adjustRightInd w:val="0"/>
              <w:snapToGrid w:val="0"/>
              <w:jc w:val="center"/>
              <w:rPr>
                <w:rFonts w:cs="宋体"/>
                <w:color w:val="auto"/>
                <w:szCs w:val="21"/>
              </w:rPr>
            </w:pPr>
            <w:r>
              <w:rPr>
                <w:rFonts w:hint="eastAsia" w:cs="宋体"/>
                <w:color w:val="auto"/>
                <w:szCs w:val="21"/>
              </w:rPr>
              <w:t>大气环境</w:t>
            </w:r>
          </w:p>
        </w:tc>
        <w:tc>
          <w:tcPr>
            <w:tcW w:w="1500" w:type="dxa"/>
            <w:noWrap w:val="0"/>
            <w:vAlign w:val="center"/>
          </w:tcPr>
          <w:p w14:paraId="1ECD08B7">
            <w:pPr>
              <w:adjustRightInd w:val="0"/>
              <w:snapToGrid w:val="0"/>
              <w:jc w:val="center"/>
              <w:rPr>
                <w:rFonts w:hint="default" w:eastAsia="宋体" w:cs="宋体"/>
                <w:color w:val="auto"/>
                <w:kern w:val="2"/>
                <w:sz w:val="21"/>
                <w:szCs w:val="21"/>
                <w:lang w:val="en-US" w:eastAsia="zh-CN" w:bidi="ar-SA"/>
              </w:rPr>
            </w:pPr>
            <w:r>
              <w:rPr>
                <w:rFonts w:hint="eastAsia" w:cs="宋体"/>
                <w:color w:val="auto"/>
                <w:szCs w:val="21"/>
              </w:rPr>
              <w:t>DA0</w:t>
            </w:r>
            <w:r>
              <w:rPr>
                <w:rFonts w:hint="eastAsia" w:cs="宋体"/>
                <w:color w:val="auto"/>
                <w:szCs w:val="21"/>
                <w:lang w:val="en-US" w:eastAsia="zh-CN"/>
              </w:rPr>
              <w:t>01</w:t>
            </w:r>
          </w:p>
        </w:tc>
        <w:tc>
          <w:tcPr>
            <w:tcW w:w="1740" w:type="dxa"/>
            <w:noWrap w:val="0"/>
            <w:vAlign w:val="center"/>
          </w:tcPr>
          <w:p w14:paraId="3A4D0535">
            <w:pPr>
              <w:adjustRightInd w:val="0"/>
              <w:snapToGrid w:val="0"/>
              <w:jc w:val="center"/>
              <w:rPr>
                <w:rFonts w:hint="default"/>
                <w:color w:val="auto"/>
                <w:szCs w:val="21"/>
                <w:lang w:val="en-US" w:eastAsia="zh-CN"/>
              </w:rPr>
            </w:pPr>
            <w:r>
              <w:rPr>
                <w:rFonts w:hint="eastAsia"/>
                <w:color w:val="auto"/>
                <w:szCs w:val="21"/>
                <w:lang w:val="en-US" w:eastAsia="zh-CN"/>
              </w:rPr>
              <w:t>非甲烷总烃</w:t>
            </w:r>
          </w:p>
        </w:tc>
        <w:tc>
          <w:tcPr>
            <w:tcW w:w="1852" w:type="dxa"/>
            <w:noWrap w:val="0"/>
            <w:vAlign w:val="center"/>
          </w:tcPr>
          <w:p w14:paraId="469D778B">
            <w:pPr>
              <w:adjustRightInd w:val="0"/>
              <w:snapToGrid w:val="0"/>
              <w:jc w:val="center"/>
              <w:rPr>
                <w:rFonts w:hint="eastAsia"/>
                <w:color w:val="auto"/>
                <w:szCs w:val="21"/>
                <w:lang w:val="en-US" w:eastAsia="zh-CN"/>
              </w:rPr>
            </w:pPr>
            <w:r>
              <w:rPr>
                <w:rFonts w:hint="eastAsia"/>
                <w:color w:val="auto"/>
                <w:szCs w:val="21"/>
                <w:lang w:val="en-US" w:eastAsia="zh-CN"/>
              </w:rPr>
              <w:t>集气罩+二级活性炭吸附装置+15米高排气筒排放</w:t>
            </w:r>
          </w:p>
        </w:tc>
        <w:tc>
          <w:tcPr>
            <w:tcW w:w="2017" w:type="dxa"/>
            <w:noWrap w:val="0"/>
            <w:vAlign w:val="center"/>
          </w:tcPr>
          <w:p w14:paraId="0D80572F">
            <w:pPr>
              <w:adjustRightInd w:val="0"/>
              <w:snapToGrid w:val="0"/>
              <w:jc w:val="center"/>
              <w:rPr>
                <w:rFonts w:hint="eastAsia"/>
                <w:color w:val="auto"/>
                <w:szCs w:val="21"/>
                <w:lang w:val="en-US" w:eastAsia="zh-CN"/>
              </w:rPr>
            </w:pPr>
            <w:r>
              <w:rPr>
                <w:rFonts w:hint="eastAsia" w:ascii="Times New Roman" w:hAnsi="Times New Roman"/>
                <w:color w:val="auto"/>
                <w:sz w:val="21"/>
              </w:rPr>
              <w:t>《玻璃工业大气污染物排放标准》（GB26453-2022）</w:t>
            </w:r>
          </w:p>
        </w:tc>
      </w:tr>
      <w:tr w14:paraId="783D34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1D2E433C">
            <w:pPr>
              <w:adjustRightInd w:val="0"/>
              <w:snapToGrid w:val="0"/>
              <w:jc w:val="center"/>
              <w:rPr>
                <w:rFonts w:hint="eastAsia" w:cs="宋体"/>
                <w:color w:val="auto"/>
                <w:szCs w:val="21"/>
              </w:rPr>
            </w:pPr>
          </w:p>
        </w:tc>
        <w:tc>
          <w:tcPr>
            <w:tcW w:w="1500" w:type="dxa"/>
            <w:noWrap w:val="0"/>
            <w:vAlign w:val="center"/>
          </w:tcPr>
          <w:p w14:paraId="50E8B45E">
            <w:pPr>
              <w:adjustRightInd w:val="0"/>
              <w:snapToGrid w:val="0"/>
              <w:jc w:val="center"/>
              <w:rPr>
                <w:rFonts w:hint="eastAsia" w:eastAsia="宋体" w:cs="宋体"/>
                <w:color w:val="auto"/>
                <w:szCs w:val="21"/>
                <w:lang w:val="en-US" w:eastAsia="zh-CN"/>
              </w:rPr>
            </w:pPr>
            <w:r>
              <w:rPr>
                <w:rFonts w:hint="eastAsia" w:cs="宋体"/>
                <w:color w:val="auto"/>
                <w:szCs w:val="21"/>
                <w:lang w:val="en-US" w:eastAsia="zh-CN"/>
              </w:rPr>
              <w:t>厂界无组织</w:t>
            </w:r>
          </w:p>
        </w:tc>
        <w:tc>
          <w:tcPr>
            <w:tcW w:w="1740" w:type="dxa"/>
            <w:noWrap w:val="0"/>
            <w:vAlign w:val="center"/>
          </w:tcPr>
          <w:p w14:paraId="59516E3F">
            <w:pPr>
              <w:adjustRightInd w:val="0"/>
              <w:snapToGrid w:val="0"/>
              <w:jc w:val="center"/>
              <w:rPr>
                <w:rFonts w:hint="default"/>
                <w:color w:val="auto"/>
                <w:szCs w:val="21"/>
                <w:lang w:val="en-US" w:eastAsia="zh-CN"/>
              </w:rPr>
            </w:pPr>
            <w:r>
              <w:rPr>
                <w:rFonts w:hint="eastAsia"/>
                <w:color w:val="auto"/>
                <w:szCs w:val="21"/>
                <w:lang w:val="en-US" w:eastAsia="zh-CN"/>
              </w:rPr>
              <w:t>非甲烷总烃</w:t>
            </w:r>
          </w:p>
        </w:tc>
        <w:tc>
          <w:tcPr>
            <w:tcW w:w="1852" w:type="dxa"/>
            <w:noWrap w:val="0"/>
            <w:vAlign w:val="center"/>
          </w:tcPr>
          <w:p w14:paraId="131B1D7A">
            <w:pPr>
              <w:adjustRightInd w:val="0"/>
              <w:snapToGrid w:val="0"/>
              <w:jc w:val="center"/>
              <w:rPr>
                <w:rFonts w:hint="default"/>
                <w:color w:val="auto"/>
                <w:szCs w:val="21"/>
                <w:lang w:val="en-US" w:eastAsia="zh-CN"/>
              </w:rPr>
            </w:pPr>
            <w:r>
              <w:rPr>
                <w:rFonts w:hint="eastAsia"/>
                <w:color w:val="auto"/>
                <w:szCs w:val="21"/>
                <w:lang w:val="en-US" w:eastAsia="zh-CN"/>
              </w:rPr>
              <w:t>车间生产室封闭、产污点设置集气罩收集</w:t>
            </w:r>
          </w:p>
        </w:tc>
        <w:tc>
          <w:tcPr>
            <w:tcW w:w="2017" w:type="dxa"/>
            <w:noWrap w:val="0"/>
            <w:vAlign w:val="center"/>
          </w:tcPr>
          <w:p w14:paraId="2B8453DC">
            <w:pPr>
              <w:adjustRightInd w:val="0"/>
              <w:snapToGrid w:val="0"/>
              <w:jc w:val="center"/>
              <w:rPr>
                <w:rFonts w:hint="eastAsia"/>
                <w:color w:val="auto"/>
                <w:szCs w:val="21"/>
                <w:lang w:val="en-US" w:eastAsia="zh-CN"/>
              </w:rPr>
            </w:pPr>
            <w:r>
              <w:rPr>
                <w:rFonts w:hint="eastAsia"/>
                <w:color w:val="auto"/>
                <w:szCs w:val="21"/>
                <w:lang w:val="en-US" w:eastAsia="zh-CN"/>
              </w:rPr>
              <w:t>江苏省地方标准《大气污染物综合排放标准》（DB32/4041-2021）</w:t>
            </w:r>
          </w:p>
        </w:tc>
      </w:tr>
      <w:tr w14:paraId="71C7D4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1FE27936">
            <w:pPr>
              <w:adjustRightInd w:val="0"/>
              <w:snapToGrid w:val="0"/>
              <w:jc w:val="center"/>
              <w:rPr>
                <w:rFonts w:cs="宋体"/>
                <w:color w:val="auto"/>
                <w:szCs w:val="21"/>
              </w:rPr>
            </w:pPr>
          </w:p>
        </w:tc>
        <w:tc>
          <w:tcPr>
            <w:tcW w:w="1500" w:type="dxa"/>
            <w:noWrap w:val="0"/>
            <w:vAlign w:val="center"/>
          </w:tcPr>
          <w:p w14:paraId="491D063D">
            <w:pPr>
              <w:adjustRightInd w:val="0"/>
              <w:snapToGrid w:val="0"/>
              <w:jc w:val="center"/>
              <w:rPr>
                <w:rFonts w:cs="宋体"/>
                <w:color w:val="auto"/>
                <w:szCs w:val="21"/>
              </w:rPr>
            </w:pPr>
            <w:r>
              <w:rPr>
                <w:rFonts w:hint="eastAsia" w:cs="宋体"/>
                <w:color w:val="auto"/>
                <w:szCs w:val="21"/>
              </w:rPr>
              <w:t>厂区内无组织</w:t>
            </w:r>
          </w:p>
        </w:tc>
        <w:tc>
          <w:tcPr>
            <w:tcW w:w="1740" w:type="dxa"/>
            <w:noWrap w:val="0"/>
            <w:vAlign w:val="center"/>
          </w:tcPr>
          <w:p w14:paraId="5551645C">
            <w:pPr>
              <w:adjustRightInd w:val="0"/>
              <w:snapToGrid w:val="0"/>
              <w:jc w:val="center"/>
              <w:rPr>
                <w:rFonts w:hint="default"/>
                <w:color w:val="auto"/>
                <w:szCs w:val="21"/>
                <w:lang w:val="en-US" w:eastAsia="zh-CN"/>
              </w:rPr>
            </w:pPr>
            <w:r>
              <w:rPr>
                <w:rFonts w:hint="eastAsia"/>
                <w:color w:val="auto"/>
                <w:szCs w:val="21"/>
                <w:lang w:val="en-US" w:eastAsia="zh-CN"/>
              </w:rPr>
              <w:t>非甲烷总烃</w:t>
            </w:r>
          </w:p>
        </w:tc>
        <w:tc>
          <w:tcPr>
            <w:tcW w:w="1852" w:type="dxa"/>
            <w:noWrap w:val="0"/>
            <w:vAlign w:val="center"/>
          </w:tcPr>
          <w:p w14:paraId="04BE05E6">
            <w:pPr>
              <w:adjustRightInd w:val="0"/>
              <w:snapToGrid w:val="0"/>
              <w:jc w:val="center"/>
              <w:rPr>
                <w:rFonts w:hint="eastAsia"/>
                <w:color w:val="auto"/>
                <w:szCs w:val="21"/>
                <w:lang w:val="en-US" w:eastAsia="zh-CN"/>
              </w:rPr>
            </w:pPr>
            <w:r>
              <w:rPr>
                <w:rFonts w:hint="eastAsia"/>
                <w:color w:val="auto"/>
                <w:szCs w:val="21"/>
                <w:lang w:val="en-US" w:eastAsia="zh-CN"/>
              </w:rPr>
              <w:t>车间生产时封闭、产污点设置集气罩收集等</w:t>
            </w:r>
          </w:p>
        </w:tc>
        <w:tc>
          <w:tcPr>
            <w:tcW w:w="2017" w:type="dxa"/>
            <w:noWrap w:val="0"/>
            <w:vAlign w:val="center"/>
          </w:tcPr>
          <w:p w14:paraId="7334A442">
            <w:pPr>
              <w:adjustRightInd w:val="0"/>
              <w:snapToGrid w:val="0"/>
              <w:jc w:val="center"/>
              <w:rPr>
                <w:rFonts w:hint="eastAsia"/>
                <w:color w:val="auto"/>
                <w:szCs w:val="21"/>
                <w:lang w:val="en-US" w:eastAsia="zh-CN"/>
              </w:rPr>
            </w:pPr>
            <w:r>
              <w:rPr>
                <w:rFonts w:hint="eastAsia"/>
                <w:color w:val="auto"/>
                <w:szCs w:val="21"/>
                <w:lang w:val="en-US" w:eastAsia="zh-CN"/>
              </w:rPr>
              <w:t>江苏省地方标准《大气污染物综合排放标准》（DB32/4041-2021）</w:t>
            </w:r>
          </w:p>
        </w:tc>
      </w:tr>
      <w:tr w14:paraId="3D42D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3742C692">
            <w:pPr>
              <w:adjustRightInd w:val="0"/>
              <w:snapToGrid w:val="0"/>
              <w:jc w:val="center"/>
              <w:rPr>
                <w:rFonts w:cs="宋体"/>
                <w:color w:val="auto"/>
                <w:szCs w:val="21"/>
              </w:rPr>
            </w:pPr>
            <w:r>
              <w:rPr>
                <w:rFonts w:hint="eastAsia" w:cs="宋体"/>
                <w:color w:val="auto"/>
                <w:szCs w:val="21"/>
              </w:rPr>
              <w:t>地表水环境</w:t>
            </w:r>
          </w:p>
        </w:tc>
        <w:tc>
          <w:tcPr>
            <w:tcW w:w="1500" w:type="dxa"/>
            <w:noWrap w:val="0"/>
            <w:vAlign w:val="center"/>
          </w:tcPr>
          <w:p w14:paraId="32CEB79E">
            <w:pPr>
              <w:adjustRightInd w:val="0"/>
              <w:snapToGrid w:val="0"/>
              <w:jc w:val="center"/>
              <w:rPr>
                <w:rFonts w:hint="eastAsia" w:cs="宋体"/>
                <w:color w:val="auto"/>
                <w:szCs w:val="21"/>
              </w:rPr>
            </w:pPr>
            <w:r>
              <w:rPr>
                <w:rFonts w:hint="eastAsia" w:cs="宋体"/>
                <w:color w:val="auto"/>
                <w:szCs w:val="21"/>
              </w:rPr>
              <w:t>生活污水</w:t>
            </w:r>
          </w:p>
        </w:tc>
        <w:tc>
          <w:tcPr>
            <w:tcW w:w="1740" w:type="dxa"/>
            <w:noWrap w:val="0"/>
            <w:vAlign w:val="center"/>
          </w:tcPr>
          <w:p w14:paraId="0F06CDEC">
            <w:pPr>
              <w:adjustRightInd w:val="0"/>
              <w:snapToGrid w:val="0"/>
              <w:jc w:val="center"/>
              <w:rPr>
                <w:rFonts w:hint="default" w:cs="宋体"/>
                <w:color w:val="auto"/>
                <w:szCs w:val="21"/>
                <w:lang w:val="en-US"/>
              </w:rPr>
            </w:pPr>
            <w:r>
              <w:rPr>
                <w:rFonts w:hint="eastAsia" w:cs="宋体"/>
                <w:color w:val="auto"/>
                <w:szCs w:val="21"/>
              </w:rPr>
              <w:t>COD、SS、NH</w:t>
            </w:r>
            <w:r>
              <w:rPr>
                <w:rFonts w:hint="eastAsia" w:cs="宋体"/>
                <w:color w:val="auto"/>
                <w:szCs w:val="21"/>
                <w:vertAlign w:val="subscript"/>
              </w:rPr>
              <w:t>3</w:t>
            </w:r>
            <w:r>
              <w:rPr>
                <w:rFonts w:hint="eastAsia" w:cs="宋体"/>
                <w:color w:val="auto"/>
                <w:szCs w:val="21"/>
              </w:rPr>
              <w:t>-N、T</w:t>
            </w:r>
            <w:r>
              <w:rPr>
                <w:rFonts w:hint="eastAsia" w:cs="宋体"/>
                <w:color w:val="auto"/>
                <w:szCs w:val="21"/>
                <w:lang w:val="en-US" w:eastAsia="zh-CN"/>
              </w:rPr>
              <w:t>N</w:t>
            </w:r>
            <w:r>
              <w:rPr>
                <w:rFonts w:hint="eastAsia" w:cs="宋体"/>
                <w:color w:val="auto"/>
                <w:szCs w:val="21"/>
              </w:rPr>
              <w:t>、T</w:t>
            </w:r>
            <w:r>
              <w:rPr>
                <w:rFonts w:hint="eastAsia" w:cs="宋体"/>
                <w:color w:val="auto"/>
                <w:szCs w:val="21"/>
                <w:lang w:val="en-US" w:eastAsia="zh-CN"/>
              </w:rPr>
              <w:t>P</w:t>
            </w:r>
          </w:p>
        </w:tc>
        <w:tc>
          <w:tcPr>
            <w:tcW w:w="1852" w:type="dxa"/>
            <w:noWrap w:val="0"/>
            <w:vAlign w:val="center"/>
          </w:tcPr>
          <w:p w14:paraId="5C489B34">
            <w:pPr>
              <w:adjustRightInd w:val="0"/>
              <w:snapToGrid w:val="0"/>
              <w:jc w:val="center"/>
              <w:rPr>
                <w:rFonts w:hint="default" w:eastAsia="宋体" w:cs="宋体"/>
                <w:color w:val="auto"/>
                <w:szCs w:val="21"/>
                <w:lang w:val="en-US" w:eastAsia="zh-CN"/>
              </w:rPr>
            </w:pPr>
            <w:r>
              <w:rPr>
                <w:rFonts w:hint="eastAsia" w:cs="宋体"/>
                <w:color w:val="auto"/>
                <w:szCs w:val="21"/>
                <w:lang w:val="en-US" w:eastAsia="zh-CN"/>
              </w:rPr>
              <w:t>经</w:t>
            </w:r>
            <w:r>
              <w:rPr>
                <w:rFonts w:hint="eastAsia" w:cs="宋体"/>
                <w:color w:val="auto"/>
                <w:szCs w:val="21"/>
              </w:rPr>
              <w:t>化粪池预处理</w:t>
            </w:r>
            <w:r>
              <w:rPr>
                <w:rFonts w:hint="eastAsia" w:cs="宋体"/>
                <w:color w:val="auto"/>
                <w:szCs w:val="21"/>
                <w:lang w:val="en-US" w:eastAsia="zh-CN"/>
              </w:rPr>
              <w:t>后接管至涟水经济开发区西区污水处理厂</w:t>
            </w:r>
          </w:p>
        </w:tc>
        <w:tc>
          <w:tcPr>
            <w:tcW w:w="2017" w:type="dxa"/>
            <w:noWrap w:val="0"/>
            <w:vAlign w:val="center"/>
          </w:tcPr>
          <w:p w14:paraId="11EAE5DB">
            <w:pPr>
              <w:adjustRightInd w:val="0"/>
              <w:snapToGrid w:val="0"/>
              <w:jc w:val="center"/>
              <w:rPr>
                <w:rFonts w:hint="default" w:cs="宋体"/>
                <w:color w:val="auto"/>
                <w:szCs w:val="21"/>
                <w:lang w:val="en-US"/>
              </w:rPr>
            </w:pPr>
            <w:r>
              <w:rPr>
                <w:rFonts w:hint="eastAsia" w:ascii="Times New Roman" w:hAnsi="Times New Roman"/>
                <w:color w:val="auto"/>
                <w:sz w:val="21"/>
                <w:lang w:val="en-US" w:eastAsia="zh-CN"/>
              </w:rPr>
              <w:t>达到涟水经济开发区西区污水处理厂</w:t>
            </w:r>
            <w:r>
              <w:rPr>
                <w:rFonts w:hint="eastAsia"/>
                <w:color w:val="auto"/>
                <w:sz w:val="21"/>
                <w:lang w:val="en-US" w:eastAsia="zh-CN"/>
              </w:rPr>
              <w:t>接管标准</w:t>
            </w:r>
          </w:p>
        </w:tc>
      </w:tr>
      <w:tr w14:paraId="51502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445D5BA3">
            <w:pPr>
              <w:adjustRightInd w:val="0"/>
              <w:snapToGrid w:val="0"/>
              <w:jc w:val="center"/>
              <w:rPr>
                <w:rFonts w:cs="宋体"/>
                <w:color w:val="auto"/>
                <w:szCs w:val="21"/>
              </w:rPr>
            </w:pPr>
            <w:r>
              <w:rPr>
                <w:rFonts w:hint="eastAsia" w:cs="宋体"/>
                <w:color w:val="auto"/>
                <w:szCs w:val="21"/>
              </w:rPr>
              <w:t>声环境</w:t>
            </w:r>
          </w:p>
        </w:tc>
        <w:tc>
          <w:tcPr>
            <w:tcW w:w="1500" w:type="dxa"/>
            <w:noWrap w:val="0"/>
            <w:vAlign w:val="center"/>
          </w:tcPr>
          <w:p w14:paraId="668D636F">
            <w:pPr>
              <w:adjustRightInd w:val="0"/>
              <w:snapToGrid w:val="0"/>
              <w:jc w:val="center"/>
              <w:rPr>
                <w:rFonts w:cs="宋体"/>
                <w:color w:val="auto"/>
                <w:szCs w:val="21"/>
              </w:rPr>
            </w:pPr>
            <w:r>
              <w:rPr>
                <w:rFonts w:hint="eastAsia" w:cs="宋体"/>
                <w:color w:val="auto"/>
                <w:szCs w:val="21"/>
              </w:rPr>
              <w:t>设备</w:t>
            </w:r>
          </w:p>
        </w:tc>
        <w:tc>
          <w:tcPr>
            <w:tcW w:w="1740" w:type="dxa"/>
            <w:noWrap w:val="0"/>
            <w:vAlign w:val="center"/>
          </w:tcPr>
          <w:p w14:paraId="534B9B35">
            <w:pPr>
              <w:adjustRightInd w:val="0"/>
              <w:snapToGrid w:val="0"/>
              <w:jc w:val="center"/>
              <w:rPr>
                <w:rFonts w:cs="宋体"/>
                <w:color w:val="auto"/>
                <w:szCs w:val="21"/>
              </w:rPr>
            </w:pPr>
            <w:r>
              <w:rPr>
                <w:rFonts w:hint="eastAsia" w:cs="宋体"/>
                <w:color w:val="auto"/>
                <w:szCs w:val="21"/>
              </w:rPr>
              <w:t>等效连续A声级</w:t>
            </w:r>
          </w:p>
        </w:tc>
        <w:tc>
          <w:tcPr>
            <w:tcW w:w="1852" w:type="dxa"/>
            <w:noWrap w:val="0"/>
            <w:vAlign w:val="center"/>
          </w:tcPr>
          <w:p w14:paraId="35AFE887">
            <w:pPr>
              <w:jc w:val="center"/>
              <w:rPr>
                <w:color w:val="auto"/>
                <w:szCs w:val="21"/>
              </w:rPr>
            </w:pPr>
            <w:r>
              <w:rPr>
                <w:rFonts w:hint="eastAsia"/>
                <w:color w:val="auto"/>
                <w:szCs w:val="21"/>
              </w:rPr>
              <w:t>合理布局</w:t>
            </w:r>
          </w:p>
          <w:p w14:paraId="49B134B8">
            <w:pPr>
              <w:jc w:val="center"/>
              <w:rPr>
                <w:color w:val="auto"/>
                <w:szCs w:val="21"/>
              </w:rPr>
            </w:pPr>
            <w:r>
              <w:rPr>
                <w:rFonts w:hint="eastAsia"/>
                <w:color w:val="auto"/>
                <w:szCs w:val="21"/>
              </w:rPr>
              <w:t>基础减震</w:t>
            </w:r>
          </w:p>
          <w:p w14:paraId="572857F8">
            <w:pPr>
              <w:adjustRightInd w:val="0"/>
              <w:snapToGrid w:val="0"/>
              <w:jc w:val="center"/>
              <w:rPr>
                <w:rFonts w:cs="宋体"/>
                <w:color w:val="auto"/>
                <w:szCs w:val="21"/>
              </w:rPr>
            </w:pPr>
            <w:r>
              <w:rPr>
                <w:rFonts w:hint="eastAsia"/>
                <w:color w:val="auto"/>
                <w:szCs w:val="21"/>
              </w:rPr>
              <w:t>墙体隔声</w:t>
            </w:r>
          </w:p>
        </w:tc>
        <w:tc>
          <w:tcPr>
            <w:tcW w:w="2017" w:type="dxa"/>
            <w:noWrap w:val="0"/>
            <w:vAlign w:val="center"/>
          </w:tcPr>
          <w:p w14:paraId="3F028AB8">
            <w:pPr>
              <w:adjustRightInd w:val="0"/>
              <w:snapToGrid w:val="0"/>
              <w:jc w:val="center"/>
              <w:rPr>
                <w:rFonts w:cs="宋体"/>
                <w:color w:val="auto"/>
                <w:szCs w:val="21"/>
              </w:rPr>
            </w:pPr>
            <w:r>
              <w:rPr>
                <w:color w:val="auto"/>
                <w:szCs w:val="21"/>
              </w:rPr>
              <w:t>《工业企业厂界环境噪声排放标准》（GB12348-2008）</w:t>
            </w:r>
          </w:p>
        </w:tc>
      </w:tr>
      <w:tr w14:paraId="7C0C45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7F86C365">
            <w:pPr>
              <w:adjustRightInd w:val="0"/>
              <w:snapToGrid w:val="0"/>
              <w:jc w:val="center"/>
              <w:rPr>
                <w:rFonts w:cs="宋体"/>
                <w:color w:val="auto"/>
                <w:szCs w:val="21"/>
              </w:rPr>
            </w:pPr>
            <w:r>
              <w:rPr>
                <w:rFonts w:hint="eastAsia" w:cs="宋体"/>
                <w:color w:val="auto"/>
                <w:szCs w:val="21"/>
              </w:rPr>
              <w:t>电磁辐射</w:t>
            </w:r>
          </w:p>
        </w:tc>
        <w:tc>
          <w:tcPr>
            <w:tcW w:w="1500" w:type="dxa"/>
            <w:noWrap w:val="0"/>
            <w:vAlign w:val="center"/>
          </w:tcPr>
          <w:p w14:paraId="59FA15FB">
            <w:pPr>
              <w:adjustRightInd w:val="0"/>
              <w:snapToGrid w:val="0"/>
              <w:jc w:val="center"/>
              <w:rPr>
                <w:rFonts w:cs="宋体"/>
                <w:color w:val="auto"/>
                <w:szCs w:val="21"/>
              </w:rPr>
            </w:pPr>
            <w:r>
              <w:rPr>
                <w:rFonts w:hint="eastAsia" w:cs="宋体"/>
                <w:color w:val="auto"/>
                <w:szCs w:val="21"/>
              </w:rPr>
              <w:t>无</w:t>
            </w:r>
          </w:p>
        </w:tc>
        <w:tc>
          <w:tcPr>
            <w:tcW w:w="1740" w:type="dxa"/>
            <w:noWrap w:val="0"/>
            <w:vAlign w:val="center"/>
          </w:tcPr>
          <w:p w14:paraId="3D4DB05B">
            <w:pPr>
              <w:adjustRightInd w:val="0"/>
              <w:snapToGrid w:val="0"/>
              <w:jc w:val="center"/>
              <w:rPr>
                <w:rFonts w:cs="宋体"/>
                <w:color w:val="auto"/>
                <w:szCs w:val="21"/>
              </w:rPr>
            </w:pPr>
            <w:r>
              <w:rPr>
                <w:rFonts w:hint="eastAsia" w:cs="宋体"/>
                <w:color w:val="auto"/>
                <w:szCs w:val="21"/>
              </w:rPr>
              <w:t>无</w:t>
            </w:r>
          </w:p>
        </w:tc>
        <w:tc>
          <w:tcPr>
            <w:tcW w:w="1852" w:type="dxa"/>
            <w:noWrap w:val="0"/>
            <w:vAlign w:val="center"/>
          </w:tcPr>
          <w:p w14:paraId="438C0F4B">
            <w:pPr>
              <w:adjustRightInd w:val="0"/>
              <w:snapToGrid w:val="0"/>
              <w:jc w:val="center"/>
              <w:rPr>
                <w:rFonts w:cs="宋体"/>
                <w:color w:val="auto"/>
                <w:szCs w:val="21"/>
              </w:rPr>
            </w:pPr>
            <w:r>
              <w:rPr>
                <w:rFonts w:hint="eastAsia" w:cs="宋体"/>
                <w:color w:val="auto"/>
                <w:szCs w:val="21"/>
              </w:rPr>
              <w:t>无</w:t>
            </w:r>
          </w:p>
        </w:tc>
        <w:tc>
          <w:tcPr>
            <w:tcW w:w="2017" w:type="dxa"/>
            <w:noWrap w:val="0"/>
            <w:vAlign w:val="center"/>
          </w:tcPr>
          <w:p w14:paraId="6419033D">
            <w:pPr>
              <w:adjustRightInd w:val="0"/>
              <w:snapToGrid w:val="0"/>
              <w:jc w:val="center"/>
              <w:rPr>
                <w:rFonts w:cs="宋体"/>
                <w:color w:val="auto"/>
                <w:szCs w:val="21"/>
              </w:rPr>
            </w:pPr>
            <w:r>
              <w:rPr>
                <w:rFonts w:hint="eastAsia" w:cs="宋体"/>
                <w:color w:val="auto"/>
                <w:szCs w:val="21"/>
              </w:rPr>
              <w:t>无</w:t>
            </w:r>
          </w:p>
        </w:tc>
      </w:tr>
      <w:tr w14:paraId="05D6BE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778" w:type="dxa"/>
            <w:vMerge w:val="restart"/>
            <w:noWrap w:val="0"/>
            <w:vAlign w:val="center"/>
          </w:tcPr>
          <w:p w14:paraId="2A084461">
            <w:pPr>
              <w:adjustRightInd w:val="0"/>
              <w:snapToGrid w:val="0"/>
              <w:jc w:val="center"/>
              <w:rPr>
                <w:rFonts w:cs="宋体"/>
                <w:color w:val="auto"/>
                <w:szCs w:val="21"/>
              </w:rPr>
            </w:pPr>
            <w:r>
              <w:rPr>
                <w:rFonts w:hint="eastAsia" w:cs="宋体"/>
                <w:color w:val="auto"/>
                <w:szCs w:val="21"/>
              </w:rPr>
              <w:t>固体废物</w:t>
            </w:r>
          </w:p>
        </w:tc>
        <w:tc>
          <w:tcPr>
            <w:tcW w:w="1500" w:type="dxa"/>
            <w:noWrap w:val="0"/>
            <w:vAlign w:val="center"/>
          </w:tcPr>
          <w:p w14:paraId="027ACD9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olor w:val="auto"/>
                <w:sz w:val="21"/>
                <w:lang w:val="en-US" w:eastAsia="zh-CN"/>
              </w:rPr>
            </w:pPr>
            <w:r>
              <w:rPr>
                <w:rFonts w:hint="eastAsia"/>
                <w:color w:val="auto"/>
                <w:sz w:val="21"/>
                <w:lang w:val="en-US" w:eastAsia="zh-CN"/>
              </w:rPr>
              <w:t>切割、钻孔、开挖、钢化</w:t>
            </w:r>
          </w:p>
        </w:tc>
        <w:tc>
          <w:tcPr>
            <w:tcW w:w="1740" w:type="dxa"/>
            <w:noWrap w:val="0"/>
            <w:vAlign w:val="center"/>
          </w:tcPr>
          <w:p w14:paraId="62F51F3C">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color w:val="auto"/>
                <w:sz w:val="21"/>
              </w:rPr>
            </w:pPr>
            <w:r>
              <w:rPr>
                <w:rFonts w:hint="eastAsia"/>
                <w:color w:val="auto"/>
                <w:sz w:val="21"/>
                <w:lang w:val="en-US" w:eastAsia="zh-CN"/>
              </w:rPr>
              <w:t>玻璃边角料</w:t>
            </w:r>
          </w:p>
        </w:tc>
        <w:tc>
          <w:tcPr>
            <w:tcW w:w="1852" w:type="dxa"/>
            <w:vMerge w:val="restart"/>
            <w:noWrap w:val="0"/>
            <w:vAlign w:val="center"/>
          </w:tcPr>
          <w:p w14:paraId="69770974">
            <w:pPr>
              <w:pStyle w:val="20"/>
              <w:spacing w:before="0" w:beforeAutospacing="0" w:after="0" w:afterAutospacing="0"/>
              <w:jc w:val="center"/>
              <w:outlineLvl w:val="0"/>
              <w:rPr>
                <w:rFonts w:hint="default" w:eastAsia="宋体" w:cs="宋体"/>
                <w:color w:val="auto"/>
                <w:szCs w:val="21"/>
                <w:lang w:val="en-US" w:eastAsia="zh-CN"/>
              </w:rPr>
            </w:pPr>
            <w:r>
              <w:rPr>
                <w:rFonts w:ascii="Times New Roman" w:hAnsi="Times New Roman"/>
                <w:color w:val="auto"/>
                <w:sz w:val="21"/>
              </w:rPr>
              <w:t>设置1个</w:t>
            </w:r>
            <w:r>
              <w:rPr>
                <w:rFonts w:hint="eastAsia" w:ascii="Times New Roman" w:hAnsi="Times New Roman"/>
                <w:color w:val="auto"/>
                <w:sz w:val="21"/>
                <w:lang w:val="en-US" w:eastAsia="zh-CN"/>
              </w:rPr>
              <w:t>60</w:t>
            </w:r>
            <w:r>
              <w:rPr>
                <w:rFonts w:ascii="Times New Roman" w:hAnsi="Times New Roman"/>
                <w:color w:val="auto"/>
                <w:sz w:val="21"/>
              </w:rPr>
              <w:t>m</w:t>
            </w:r>
            <w:r>
              <w:rPr>
                <w:rFonts w:ascii="Times New Roman" w:hAnsi="Times New Roman"/>
                <w:color w:val="auto"/>
                <w:sz w:val="21"/>
                <w:vertAlign w:val="superscript"/>
              </w:rPr>
              <w:t>2</w:t>
            </w:r>
            <w:r>
              <w:rPr>
                <w:rFonts w:ascii="Times New Roman" w:hAnsi="Times New Roman"/>
                <w:color w:val="auto"/>
                <w:sz w:val="21"/>
              </w:rPr>
              <w:t>一般固废暂存区，</w:t>
            </w:r>
            <w:r>
              <w:rPr>
                <w:rFonts w:hint="eastAsia" w:ascii="Times New Roman" w:hAnsi="Times New Roman"/>
                <w:color w:val="auto"/>
                <w:sz w:val="21"/>
                <w:lang w:val="en-US" w:eastAsia="zh-CN"/>
              </w:rPr>
              <w:t>玻璃边角料、沉渣、废包装材料、铝边角料</w:t>
            </w:r>
            <w:r>
              <w:rPr>
                <w:rFonts w:ascii="Times New Roman" w:hAnsi="Times New Roman"/>
                <w:color w:val="auto"/>
                <w:sz w:val="21"/>
              </w:rPr>
              <w:t>外售给废旧资源回收公司</w:t>
            </w:r>
            <w:r>
              <w:rPr>
                <w:rFonts w:hint="eastAsia" w:ascii="Times New Roman" w:hAnsi="Times New Roman"/>
                <w:color w:val="auto"/>
                <w:sz w:val="21"/>
                <w:lang w:eastAsia="zh-CN"/>
              </w:rPr>
              <w:t>，</w:t>
            </w:r>
            <w:r>
              <w:rPr>
                <w:rFonts w:hint="eastAsia" w:ascii="Times New Roman" w:hAnsi="Times New Roman"/>
                <w:color w:val="auto"/>
                <w:sz w:val="21"/>
                <w:lang w:val="en-US" w:eastAsia="zh-CN"/>
              </w:rPr>
              <w:t>废硅酮胶包装桶由原料供应商回收利用</w:t>
            </w:r>
          </w:p>
        </w:tc>
        <w:tc>
          <w:tcPr>
            <w:tcW w:w="2017" w:type="dxa"/>
            <w:vMerge w:val="restart"/>
            <w:noWrap w:val="0"/>
            <w:vAlign w:val="center"/>
          </w:tcPr>
          <w:p w14:paraId="165C1593">
            <w:pPr>
              <w:adjustRightInd w:val="0"/>
              <w:snapToGrid w:val="0"/>
              <w:jc w:val="center"/>
              <w:rPr>
                <w:rFonts w:cs="宋体"/>
                <w:color w:val="auto"/>
                <w:szCs w:val="21"/>
              </w:rPr>
            </w:pPr>
            <w:r>
              <w:rPr>
                <w:rFonts w:hint="eastAsia" w:cs="宋体"/>
                <w:color w:val="auto"/>
                <w:szCs w:val="21"/>
              </w:rPr>
              <w:t>《一般工业固体废物贮存和填埋污染控制标准》（GB18599-2020）</w:t>
            </w:r>
          </w:p>
        </w:tc>
      </w:tr>
      <w:tr w14:paraId="5C4719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78" w:type="dxa"/>
            <w:vMerge w:val="continue"/>
            <w:noWrap w:val="0"/>
            <w:vAlign w:val="center"/>
          </w:tcPr>
          <w:p w14:paraId="18763BEB">
            <w:pPr>
              <w:adjustRightInd w:val="0"/>
              <w:snapToGrid w:val="0"/>
              <w:jc w:val="center"/>
              <w:rPr>
                <w:rFonts w:hint="eastAsia" w:cs="宋体"/>
                <w:color w:val="auto"/>
                <w:szCs w:val="21"/>
              </w:rPr>
            </w:pPr>
          </w:p>
        </w:tc>
        <w:tc>
          <w:tcPr>
            <w:tcW w:w="1500" w:type="dxa"/>
            <w:shd w:val="clear" w:color="auto" w:fill="auto"/>
            <w:noWrap w:val="0"/>
            <w:vAlign w:val="center"/>
          </w:tcPr>
          <w:p w14:paraId="1601098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color w:val="auto"/>
                <w:kern w:val="0"/>
                <w:sz w:val="21"/>
                <w:szCs w:val="20"/>
                <w:lang w:val="en-US" w:eastAsia="zh-CN" w:bidi="ar-SA"/>
              </w:rPr>
            </w:pPr>
            <w:r>
              <w:rPr>
                <w:rFonts w:hint="eastAsia"/>
                <w:color w:val="auto"/>
                <w:sz w:val="21"/>
                <w:lang w:val="en-US" w:eastAsia="zh-CN"/>
              </w:rPr>
              <w:t>检验</w:t>
            </w:r>
          </w:p>
        </w:tc>
        <w:tc>
          <w:tcPr>
            <w:tcW w:w="1740" w:type="dxa"/>
            <w:shd w:val="clear" w:color="auto" w:fill="auto"/>
            <w:noWrap w:val="0"/>
            <w:vAlign w:val="center"/>
          </w:tcPr>
          <w:p w14:paraId="138E1683">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color w:val="auto"/>
                <w:kern w:val="0"/>
                <w:sz w:val="21"/>
                <w:szCs w:val="20"/>
                <w:lang w:val="en-US" w:eastAsia="zh-CN" w:bidi="ar-SA"/>
              </w:rPr>
            </w:pPr>
            <w:r>
              <w:rPr>
                <w:rFonts w:hint="eastAsia"/>
                <w:color w:val="auto"/>
                <w:sz w:val="21"/>
                <w:lang w:val="en-US" w:eastAsia="zh-CN"/>
              </w:rPr>
              <w:t>不合格品</w:t>
            </w:r>
          </w:p>
        </w:tc>
        <w:tc>
          <w:tcPr>
            <w:tcW w:w="1852" w:type="dxa"/>
            <w:vMerge w:val="continue"/>
            <w:noWrap w:val="0"/>
            <w:vAlign w:val="center"/>
          </w:tcPr>
          <w:p w14:paraId="2AB7FF6B">
            <w:pPr>
              <w:pStyle w:val="20"/>
              <w:spacing w:before="0" w:beforeAutospacing="0" w:after="0" w:afterAutospacing="0"/>
              <w:jc w:val="both"/>
              <w:outlineLvl w:val="0"/>
              <w:rPr>
                <w:rFonts w:ascii="Times New Roman" w:hAnsi="Times New Roman"/>
                <w:color w:val="auto"/>
                <w:sz w:val="21"/>
              </w:rPr>
            </w:pPr>
          </w:p>
        </w:tc>
        <w:tc>
          <w:tcPr>
            <w:tcW w:w="2017" w:type="dxa"/>
            <w:vMerge w:val="continue"/>
            <w:noWrap w:val="0"/>
            <w:vAlign w:val="center"/>
          </w:tcPr>
          <w:p w14:paraId="072065F2">
            <w:pPr>
              <w:adjustRightInd w:val="0"/>
              <w:snapToGrid w:val="0"/>
              <w:jc w:val="center"/>
              <w:rPr>
                <w:rFonts w:hint="eastAsia" w:cs="宋体"/>
                <w:color w:val="auto"/>
                <w:szCs w:val="21"/>
              </w:rPr>
            </w:pPr>
          </w:p>
        </w:tc>
      </w:tr>
      <w:tr w14:paraId="067DAB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78" w:type="dxa"/>
            <w:vMerge w:val="continue"/>
            <w:noWrap w:val="0"/>
            <w:vAlign w:val="center"/>
          </w:tcPr>
          <w:p w14:paraId="197E7157">
            <w:pPr>
              <w:adjustRightInd w:val="0"/>
              <w:snapToGrid w:val="0"/>
              <w:jc w:val="center"/>
              <w:rPr>
                <w:rFonts w:hint="eastAsia" w:cs="宋体"/>
                <w:color w:val="auto"/>
                <w:szCs w:val="21"/>
              </w:rPr>
            </w:pPr>
          </w:p>
        </w:tc>
        <w:tc>
          <w:tcPr>
            <w:tcW w:w="1500" w:type="dxa"/>
            <w:noWrap w:val="0"/>
            <w:vAlign w:val="center"/>
          </w:tcPr>
          <w:p w14:paraId="4FF4A9A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olor w:val="auto"/>
                <w:sz w:val="21"/>
                <w:lang w:val="en-US" w:eastAsia="zh-CN"/>
              </w:rPr>
            </w:pPr>
            <w:r>
              <w:rPr>
                <w:rFonts w:hint="eastAsia"/>
                <w:color w:val="auto"/>
                <w:sz w:val="21"/>
                <w:lang w:val="en-US" w:eastAsia="zh-CN"/>
              </w:rPr>
              <w:t>废水治理</w:t>
            </w:r>
          </w:p>
        </w:tc>
        <w:tc>
          <w:tcPr>
            <w:tcW w:w="1740" w:type="dxa"/>
            <w:noWrap w:val="0"/>
            <w:vAlign w:val="center"/>
          </w:tcPr>
          <w:p w14:paraId="365C618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olor w:val="auto"/>
                <w:sz w:val="21"/>
                <w:lang w:val="en-US" w:eastAsia="zh-CN"/>
              </w:rPr>
            </w:pPr>
            <w:r>
              <w:rPr>
                <w:rFonts w:hint="eastAsia"/>
                <w:color w:val="auto"/>
                <w:sz w:val="21"/>
                <w:lang w:val="en-US" w:eastAsia="zh-CN"/>
              </w:rPr>
              <w:t>沉渣</w:t>
            </w:r>
          </w:p>
        </w:tc>
        <w:tc>
          <w:tcPr>
            <w:tcW w:w="1852" w:type="dxa"/>
            <w:vMerge w:val="continue"/>
            <w:noWrap w:val="0"/>
            <w:vAlign w:val="center"/>
          </w:tcPr>
          <w:p w14:paraId="030816EC">
            <w:pPr>
              <w:pStyle w:val="20"/>
              <w:spacing w:before="0" w:beforeAutospacing="0" w:after="0" w:afterAutospacing="0"/>
              <w:jc w:val="both"/>
              <w:outlineLvl w:val="0"/>
              <w:rPr>
                <w:rFonts w:ascii="Times New Roman" w:hAnsi="Times New Roman"/>
                <w:color w:val="auto"/>
                <w:sz w:val="21"/>
              </w:rPr>
            </w:pPr>
          </w:p>
        </w:tc>
        <w:tc>
          <w:tcPr>
            <w:tcW w:w="2017" w:type="dxa"/>
            <w:vMerge w:val="continue"/>
            <w:noWrap w:val="0"/>
            <w:vAlign w:val="center"/>
          </w:tcPr>
          <w:p w14:paraId="1DBC2B94">
            <w:pPr>
              <w:adjustRightInd w:val="0"/>
              <w:snapToGrid w:val="0"/>
              <w:jc w:val="center"/>
              <w:rPr>
                <w:rFonts w:hint="eastAsia" w:cs="宋体"/>
                <w:color w:val="auto"/>
                <w:szCs w:val="21"/>
              </w:rPr>
            </w:pPr>
          </w:p>
        </w:tc>
      </w:tr>
      <w:tr w14:paraId="1CD813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78" w:type="dxa"/>
            <w:vMerge w:val="continue"/>
            <w:noWrap w:val="0"/>
            <w:vAlign w:val="center"/>
          </w:tcPr>
          <w:p w14:paraId="5A2A8527">
            <w:pPr>
              <w:adjustRightInd w:val="0"/>
              <w:snapToGrid w:val="0"/>
              <w:jc w:val="center"/>
              <w:rPr>
                <w:rFonts w:hint="eastAsia" w:cs="宋体"/>
                <w:color w:val="auto"/>
                <w:szCs w:val="21"/>
              </w:rPr>
            </w:pPr>
          </w:p>
        </w:tc>
        <w:tc>
          <w:tcPr>
            <w:tcW w:w="1500" w:type="dxa"/>
            <w:noWrap w:val="0"/>
            <w:vAlign w:val="center"/>
          </w:tcPr>
          <w:p w14:paraId="54675075">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color w:val="auto"/>
                <w:sz w:val="21"/>
                <w:lang w:val="en-US" w:eastAsia="zh-CN"/>
              </w:rPr>
            </w:pPr>
            <w:r>
              <w:rPr>
                <w:rFonts w:hint="eastAsia"/>
                <w:color w:val="auto"/>
                <w:sz w:val="21"/>
                <w:lang w:val="en-US" w:eastAsia="zh-CN"/>
              </w:rPr>
              <w:t>PVB和丁基胶包装</w:t>
            </w:r>
          </w:p>
        </w:tc>
        <w:tc>
          <w:tcPr>
            <w:tcW w:w="1740" w:type="dxa"/>
            <w:noWrap w:val="0"/>
            <w:vAlign w:val="center"/>
          </w:tcPr>
          <w:p w14:paraId="539C94F0">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color w:val="auto"/>
                <w:sz w:val="21"/>
                <w:lang w:val="en-US" w:eastAsia="zh-CN"/>
              </w:rPr>
            </w:pPr>
            <w:r>
              <w:rPr>
                <w:rFonts w:hint="eastAsia"/>
                <w:color w:val="auto"/>
                <w:sz w:val="21"/>
                <w:lang w:val="en-US" w:eastAsia="zh-CN"/>
              </w:rPr>
              <w:t>废包装材料</w:t>
            </w:r>
          </w:p>
        </w:tc>
        <w:tc>
          <w:tcPr>
            <w:tcW w:w="1852" w:type="dxa"/>
            <w:vMerge w:val="continue"/>
            <w:noWrap w:val="0"/>
            <w:vAlign w:val="center"/>
          </w:tcPr>
          <w:p w14:paraId="7ACF0341">
            <w:pPr>
              <w:pStyle w:val="20"/>
              <w:spacing w:before="0" w:beforeAutospacing="0" w:after="0" w:afterAutospacing="0"/>
              <w:jc w:val="both"/>
              <w:outlineLvl w:val="0"/>
              <w:rPr>
                <w:rFonts w:ascii="Times New Roman" w:hAnsi="Times New Roman"/>
                <w:color w:val="auto"/>
                <w:sz w:val="21"/>
              </w:rPr>
            </w:pPr>
          </w:p>
        </w:tc>
        <w:tc>
          <w:tcPr>
            <w:tcW w:w="2017" w:type="dxa"/>
            <w:vMerge w:val="continue"/>
            <w:noWrap w:val="0"/>
            <w:vAlign w:val="center"/>
          </w:tcPr>
          <w:p w14:paraId="1C903945">
            <w:pPr>
              <w:adjustRightInd w:val="0"/>
              <w:snapToGrid w:val="0"/>
              <w:jc w:val="center"/>
              <w:rPr>
                <w:rFonts w:hint="eastAsia" w:cs="宋体"/>
                <w:color w:val="auto"/>
                <w:szCs w:val="21"/>
              </w:rPr>
            </w:pPr>
          </w:p>
        </w:tc>
      </w:tr>
      <w:tr w14:paraId="7CE2FA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78" w:type="dxa"/>
            <w:vMerge w:val="continue"/>
            <w:noWrap w:val="0"/>
            <w:vAlign w:val="center"/>
          </w:tcPr>
          <w:p w14:paraId="3AF979FC">
            <w:pPr>
              <w:adjustRightInd w:val="0"/>
              <w:snapToGrid w:val="0"/>
              <w:jc w:val="center"/>
              <w:rPr>
                <w:rFonts w:hint="eastAsia" w:cs="宋体"/>
                <w:color w:val="auto"/>
                <w:szCs w:val="21"/>
              </w:rPr>
            </w:pPr>
          </w:p>
        </w:tc>
        <w:tc>
          <w:tcPr>
            <w:tcW w:w="1500" w:type="dxa"/>
            <w:noWrap w:val="0"/>
            <w:vAlign w:val="center"/>
          </w:tcPr>
          <w:p w14:paraId="0CDEBE8E">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color w:val="auto"/>
                <w:sz w:val="21"/>
                <w:lang w:val="en-US" w:eastAsia="zh-CN"/>
              </w:rPr>
            </w:pPr>
            <w:r>
              <w:rPr>
                <w:rFonts w:hint="eastAsia"/>
                <w:color w:val="auto"/>
                <w:sz w:val="21"/>
                <w:lang w:val="en-US" w:eastAsia="zh-CN"/>
              </w:rPr>
              <w:t>折弯裁切</w:t>
            </w:r>
          </w:p>
        </w:tc>
        <w:tc>
          <w:tcPr>
            <w:tcW w:w="1740" w:type="dxa"/>
            <w:noWrap w:val="0"/>
            <w:vAlign w:val="center"/>
          </w:tcPr>
          <w:p w14:paraId="4BD20B91">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color w:val="auto"/>
                <w:sz w:val="21"/>
                <w:lang w:val="en-US" w:eastAsia="zh-CN"/>
              </w:rPr>
            </w:pPr>
            <w:r>
              <w:rPr>
                <w:rFonts w:hint="eastAsia"/>
                <w:color w:val="auto"/>
                <w:sz w:val="21"/>
                <w:lang w:val="en-US" w:eastAsia="zh-CN"/>
              </w:rPr>
              <w:t>铝边角料</w:t>
            </w:r>
          </w:p>
        </w:tc>
        <w:tc>
          <w:tcPr>
            <w:tcW w:w="1852" w:type="dxa"/>
            <w:vMerge w:val="continue"/>
            <w:noWrap w:val="0"/>
            <w:vAlign w:val="center"/>
          </w:tcPr>
          <w:p w14:paraId="5F22ADEB">
            <w:pPr>
              <w:pStyle w:val="20"/>
              <w:spacing w:before="0" w:beforeAutospacing="0" w:after="0" w:afterAutospacing="0"/>
              <w:jc w:val="both"/>
              <w:outlineLvl w:val="0"/>
              <w:rPr>
                <w:rFonts w:ascii="Times New Roman" w:hAnsi="Times New Roman"/>
                <w:color w:val="auto"/>
                <w:sz w:val="21"/>
              </w:rPr>
            </w:pPr>
          </w:p>
        </w:tc>
        <w:tc>
          <w:tcPr>
            <w:tcW w:w="2017" w:type="dxa"/>
            <w:vMerge w:val="continue"/>
            <w:noWrap w:val="0"/>
            <w:vAlign w:val="center"/>
          </w:tcPr>
          <w:p w14:paraId="1CF213AC">
            <w:pPr>
              <w:adjustRightInd w:val="0"/>
              <w:snapToGrid w:val="0"/>
              <w:jc w:val="center"/>
              <w:rPr>
                <w:rFonts w:hint="eastAsia" w:cs="宋体"/>
                <w:color w:val="auto"/>
                <w:szCs w:val="21"/>
              </w:rPr>
            </w:pPr>
          </w:p>
        </w:tc>
      </w:tr>
      <w:tr w14:paraId="34AE22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78" w:type="dxa"/>
            <w:vMerge w:val="continue"/>
            <w:noWrap w:val="0"/>
            <w:vAlign w:val="center"/>
          </w:tcPr>
          <w:p w14:paraId="0D5BCB3E">
            <w:pPr>
              <w:adjustRightInd w:val="0"/>
              <w:snapToGrid w:val="0"/>
              <w:jc w:val="center"/>
              <w:rPr>
                <w:rFonts w:hint="eastAsia" w:cs="宋体"/>
                <w:color w:val="auto"/>
                <w:szCs w:val="21"/>
              </w:rPr>
            </w:pPr>
          </w:p>
        </w:tc>
        <w:tc>
          <w:tcPr>
            <w:tcW w:w="1500" w:type="dxa"/>
            <w:noWrap w:val="0"/>
            <w:vAlign w:val="center"/>
          </w:tcPr>
          <w:p w14:paraId="60397985">
            <w:pPr>
              <w:pStyle w:val="30"/>
              <w:bidi w:val="0"/>
              <w:ind w:firstLine="0" w:firstLineChars="0"/>
              <w:rPr>
                <w:rFonts w:hint="eastAsia" w:ascii="Times New Roman" w:hAnsi="Times New Roman"/>
                <w:color w:val="auto"/>
                <w:sz w:val="21"/>
                <w:lang w:val="en-US" w:eastAsia="zh-CN"/>
              </w:rPr>
            </w:pPr>
            <w:r>
              <w:rPr>
                <w:rFonts w:hint="eastAsia"/>
                <w:color w:val="auto"/>
                <w:lang w:val="en-US" w:eastAsia="zh-CN"/>
              </w:rPr>
              <w:t>硅酮胶外包装</w:t>
            </w:r>
          </w:p>
        </w:tc>
        <w:tc>
          <w:tcPr>
            <w:tcW w:w="1740" w:type="dxa"/>
            <w:noWrap w:val="0"/>
            <w:vAlign w:val="center"/>
          </w:tcPr>
          <w:p w14:paraId="42F04B6E">
            <w:pPr>
              <w:pStyle w:val="30"/>
              <w:bidi w:val="0"/>
              <w:ind w:firstLine="0" w:firstLineChars="0"/>
              <w:rPr>
                <w:rFonts w:hint="eastAsia" w:ascii="Times New Roman" w:hAnsi="Times New Roman"/>
                <w:color w:val="auto"/>
                <w:sz w:val="21"/>
                <w:lang w:val="en-US" w:eastAsia="zh-CN"/>
              </w:rPr>
            </w:pPr>
            <w:r>
              <w:rPr>
                <w:rFonts w:hint="eastAsia"/>
                <w:color w:val="auto"/>
                <w:lang w:val="en-US" w:eastAsia="zh-CN"/>
              </w:rPr>
              <w:t>废硅酮胶包装桶</w:t>
            </w:r>
          </w:p>
        </w:tc>
        <w:tc>
          <w:tcPr>
            <w:tcW w:w="1852" w:type="dxa"/>
            <w:vMerge w:val="continue"/>
            <w:noWrap w:val="0"/>
            <w:vAlign w:val="center"/>
          </w:tcPr>
          <w:p w14:paraId="6C81C3D0">
            <w:pPr>
              <w:pStyle w:val="20"/>
              <w:spacing w:before="0" w:beforeAutospacing="0" w:after="0" w:afterAutospacing="0"/>
              <w:jc w:val="both"/>
              <w:outlineLvl w:val="0"/>
              <w:rPr>
                <w:rFonts w:ascii="Times New Roman" w:hAnsi="Times New Roman"/>
                <w:color w:val="auto"/>
                <w:sz w:val="21"/>
              </w:rPr>
            </w:pPr>
          </w:p>
        </w:tc>
        <w:tc>
          <w:tcPr>
            <w:tcW w:w="2017" w:type="dxa"/>
            <w:vMerge w:val="continue"/>
            <w:noWrap w:val="0"/>
            <w:vAlign w:val="center"/>
          </w:tcPr>
          <w:p w14:paraId="6936E3B3">
            <w:pPr>
              <w:adjustRightInd w:val="0"/>
              <w:snapToGrid w:val="0"/>
              <w:jc w:val="center"/>
              <w:rPr>
                <w:rFonts w:hint="eastAsia" w:cs="宋体"/>
                <w:color w:val="auto"/>
                <w:szCs w:val="21"/>
              </w:rPr>
            </w:pPr>
          </w:p>
        </w:tc>
      </w:tr>
      <w:tr w14:paraId="58C0B2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580D6108">
            <w:pPr>
              <w:adjustRightInd w:val="0"/>
              <w:snapToGrid w:val="0"/>
              <w:jc w:val="center"/>
              <w:rPr>
                <w:rFonts w:cs="宋体"/>
                <w:color w:val="auto"/>
                <w:szCs w:val="21"/>
              </w:rPr>
            </w:pPr>
          </w:p>
        </w:tc>
        <w:tc>
          <w:tcPr>
            <w:tcW w:w="1500" w:type="dxa"/>
            <w:noWrap w:val="0"/>
            <w:vAlign w:val="center"/>
          </w:tcPr>
          <w:p w14:paraId="0C0959D0">
            <w:pPr>
              <w:pStyle w:val="20"/>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lang w:val="en-US" w:eastAsia="zh-CN"/>
              </w:rPr>
              <w:t>硅酮胶内包装</w:t>
            </w:r>
          </w:p>
        </w:tc>
        <w:tc>
          <w:tcPr>
            <w:tcW w:w="1740" w:type="dxa"/>
            <w:noWrap w:val="0"/>
            <w:vAlign w:val="center"/>
          </w:tcPr>
          <w:p w14:paraId="04ADD67E">
            <w:pPr>
              <w:pStyle w:val="20"/>
              <w:spacing w:before="0" w:beforeAutospacing="0" w:after="0" w:afterAutospacing="0"/>
              <w:jc w:val="center"/>
              <w:outlineLvl w:val="0"/>
              <w:rPr>
                <w:rFonts w:hint="eastAsia" w:ascii="Times New Roman" w:hAnsi="Times New Roman"/>
                <w:color w:val="auto"/>
                <w:sz w:val="21"/>
              </w:rPr>
            </w:pPr>
            <w:r>
              <w:rPr>
                <w:rFonts w:hint="eastAsia" w:ascii="Times New Roman" w:hAnsi="Times New Roman"/>
                <w:color w:val="auto"/>
                <w:sz w:val="21"/>
                <w:lang w:val="en-US" w:eastAsia="zh-CN"/>
              </w:rPr>
              <w:t>废硅酮胶包装袋</w:t>
            </w:r>
          </w:p>
        </w:tc>
        <w:tc>
          <w:tcPr>
            <w:tcW w:w="1852" w:type="dxa"/>
            <w:vMerge w:val="restart"/>
            <w:noWrap w:val="0"/>
            <w:vAlign w:val="center"/>
          </w:tcPr>
          <w:p w14:paraId="36ACD2DB">
            <w:pPr>
              <w:pStyle w:val="20"/>
              <w:spacing w:before="0" w:beforeAutospacing="0" w:after="0" w:afterAutospacing="0"/>
              <w:jc w:val="center"/>
              <w:outlineLvl w:val="0"/>
              <w:rPr>
                <w:rFonts w:hint="eastAsia" w:ascii="Times New Roman" w:hAnsi="Times New Roman"/>
                <w:color w:val="auto"/>
                <w:sz w:val="21"/>
              </w:rPr>
            </w:pPr>
            <w:r>
              <w:rPr>
                <w:rFonts w:ascii="Times New Roman" w:hAnsi="Times New Roman"/>
                <w:color w:val="auto"/>
                <w:sz w:val="21"/>
              </w:rPr>
              <w:t>设置</w:t>
            </w:r>
            <w:r>
              <w:rPr>
                <w:rFonts w:ascii="Times New Roman" w:hAnsi="Times New Roman" w:eastAsia="宋体" w:cs="Times New Roman"/>
                <w:color w:val="auto"/>
                <w:sz w:val="21"/>
              </w:rPr>
              <w:t>1个</w:t>
            </w:r>
            <w:r>
              <w:rPr>
                <w:rFonts w:hint="eastAsia" w:ascii="Times New Roman" w:hAnsi="Times New Roman" w:cs="Times New Roman"/>
                <w:color w:val="auto"/>
                <w:sz w:val="21"/>
                <w:lang w:val="en-US" w:eastAsia="zh-CN"/>
              </w:rPr>
              <w:t>20</w:t>
            </w:r>
            <w:r>
              <w:rPr>
                <w:rFonts w:ascii="Times New Roman" w:hAnsi="Times New Roman" w:eastAsia="宋体" w:cs="Times New Roman"/>
                <w:color w:val="auto"/>
                <w:sz w:val="21"/>
              </w:rPr>
              <w:t>m</w:t>
            </w:r>
            <w:r>
              <w:rPr>
                <w:rFonts w:ascii="Times New Roman" w:hAnsi="Times New Roman" w:eastAsia="宋体" w:cs="Times New Roman"/>
                <w:color w:val="auto"/>
                <w:sz w:val="21"/>
                <w:vertAlign w:val="superscript"/>
              </w:rPr>
              <w:t>2</w:t>
            </w:r>
            <w:r>
              <w:rPr>
                <w:rFonts w:hint="eastAsia" w:ascii="Times New Roman" w:hAnsi="Times New Roman" w:cs="Times New Roman"/>
                <w:color w:val="auto"/>
                <w:sz w:val="21"/>
                <w:lang w:eastAsia="zh-CN"/>
              </w:rPr>
              <w:t>危废暂存间</w:t>
            </w:r>
            <w:r>
              <w:rPr>
                <w:rFonts w:ascii="Times New Roman" w:hAnsi="Times New Roman" w:eastAsia="宋体" w:cs="Times New Roman"/>
                <w:color w:val="auto"/>
                <w:sz w:val="21"/>
              </w:rPr>
              <w:t>，委托有危</w:t>
            </w:r>
            <w:r>
              <w:rPr>
                <w:rFonts w:ascii="Times New Roman" w:hAnsi="Times New Roman"/>
                <w:color w:val="auto"/>
                <w:sz w:val="21"/>
              </w:rPr>
              <w:t>废处置资质单位处置</w:t>
            </w:r>
          </w:p>
        </w:tc>
        <w:tc>
          <w:tcPr>
            <w:tcW w:w="2017" w:type="dxa"/>
            <w:vMerge w:val="restart"/>
            <w:noWrap w:val="0"/>
            <w:vAlign w:val="center"/>
          </w:tcPr>
          <w:p w14:paraId="53E41556">
            <w:pPr>
              <w:adjustRightInd w:val="0"/>
              <w:snapToGrid w:val="0"/>
              <w:jc w:val="center"/>
              <w:rPr>
                <w:rFonts w:hint="default" w:cs="宋体"/>
                <w:color w:val="auto"/>
                <w:szCs w:val="21"/>
                <w:lang w:val="en-US"/>
              </w:rPr>
            </w:pPr>
            <w:r>
              <w:rPr>
                <w:rFonts w:hint="eastAsia" w:ascii="Times New Roman" w:hAnsi="Times New Roman" w:eastAsia="宋体" w:cs="Times New Roman"/>
                <w:color w:val="auto"/>
                <w:kern w:val="0"/>
                <w:sz w:val="21"/>
                <w:szCs w:val="20"/>
                <w:lang w:val="en-US" w:eastAsia="zh-CN" w:bidi="ar-SA"/>
              </w:rPr>
              <w:t>《危险废物贮存污染控制标准》（GB18597-2023）</w:t>
            </w:r>
          </w:p>
        </w:tc>
      </w:tr>
      <w:tr w14:paraId="522D6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412592B6">
            <w:pPr>
              <w:adjustRightInd w:val="0"/>
              <w:snapToGrid w:val="0"/>
              <w:jc w:val="center"/>
              <w:rPr>
                <w:rFonts w:cs="宋体"/>
                <w:color w:val="auto"/>
                <w:szCs w:val="21"/>
              </w:rPr>
            </w:pPr>
          </w:p>
        </w:tc>
        <w:tc>
          <w:tcPr>
            <w:tcW w:w="1500" w:type="dxa"/>
            <w:noWrap w:val="0"/>
            <w:vAlign w:val="center"/>
          </w:tcPr>
          <w:p w14:paraId="2E771FF4">
            <w:pPr>
              <w:pStyle w:val="20"/>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rPr>
              <w:t>有机废气治理</w:t>
            </w:r>
          </w:p>
        </w:tc>
        <w:tc>
          <w:tcPr>
            <w:tcW w:w="1740" w:type="dxa"/>
            <w:noWrap w:val="0"/>
            <w:vAlign w:val="center"/>
          </w:tcPr>
          <w:p w14:paraId="249137DA">
            <w:pPr>
              <w:pStyle w:val="20"/>
              <w:spacing w:before="0" w:beforeAutospacing="0" w:after="0" w:afterAutospacing="0"/>
              <w:jc w:val="center"/>
              <w:outlineLvl w:val="0"/>
              <w:rPr>
                <w:rFonts w:ascii="Times New Roman" w:hAnsi="Times New Roman"/>
                <w:color w:val="auto"/>
                <w:sz w:val="21"/>
              </w:rPr>
            </w:pPr>
            <w:r>
              <w:rPr>
                <w:rFonts w:hint="eastAsia" w:ascii="Times New Roman" w:hAnsi="Times New Roman"/>
                <w:color w:val="auto"/>
                <w:sz w:val="21"/>
              </w:rPr>
              <w:t>废活性炭</w:t>
            </w:r>
          </w:p>
        </w:tc>
        <w:tc>
          <w:tcPr>
            <w:tcW w:w="1852" w:type="dxa"/>
            <w:vMerge w:val="continue"/>
            <w:noWrap w:val="0"/>
            <w:vAlign w:val="center"/>
          </w:tcPr>
          <w:p w14:paraId="53CD2F06">
            <w:pPr>
              <w:pStyle w:val="20"/>
              <w:spacing w:before="0" w:beforeAutospacing="0" w:after="0" w:afterAutospacing="0"/>
              <w:jc w:val="center"/>
              <w:outlineLvl w:val="0"/>
              <w:rPr>
                <w:rFonts w:hint="eastAsia" w:ascii="Times New Roman" w:hAnsi="Times New Roman"/>
                <w:color w:val="auto"/>
                <w:sz w:val="21"/>
              </w:rPr>
            </w:pPr>
          </w:p>
        </w:tc>
        <w:tc>
          <w:tcPr>
            <w:tcW w:w="2017" w:type="dxa"/>
            <w:vMerge w:val="continue"/>
            <w:noWrap w:val="0"/>
            <w:vAlign w:val="center"/>
          </w:tcPr>
          <w:p w14:paraId="44009C9C">
            <w:pPr>
              <w:adjustRightInd w:val="0"/>
              <w:snapToGrid w:val="0"/>
              <w:jc w:val="center"/>
              <w:rPr>
                <w:rFonts w:hint="default" w:cs="宋体"/>
                <w:color w:val="auto"/>
                <w:szCs w:val="21"/>
                <w:lang w:val="en-US"/>
              </w:rPr>
            </w:pPr>
          </w:p>
        </w:tc>
      </w:tr>
      <w:tr w14:paraId="3173B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8" w:type="dxa"/>
            <w:vMerge w:val="continue"/>
            <w:noWrap w:val="0"/>
            <w:vAlign w:val="center"/>
          </w:tcPr>
          <w:p w14:paraId="74BFE272">
            <w:pPr>
              <w:adjustRightInd w:val="0"/>
              <w:snapToGrid w:val="0"/>
              <w:jc w:val="center"/>
              <w:rPr>
                <w:rFonts w:cs="宋体"/>
                <w:color w:val="auto"/>
                <w:szCs w:val="21"/>
              </w:rPr>
            </w:pPr>
          </w:p>
        </w:tc>
        <w:tc>
          <w:tcPr>
            <w:tcW w:w="1500" w:type="dxa"/>
            <w:noWrap w:val="0"/>
            <w:vAlign w:val="center"/>
          </w:tcPr>
          <w:p w14:paraId="0A44554A">
            <w:pPr>
              <w:pStyle w:val="20"/>
              <w:spacing w:before="0" w:beforeAutospacing="0" w:after="0" w:afterAutospacing="0"/>
              <w:jc w:val="center"/>
              <w:outlineLvl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员工日常生活</w:t>
            </w:r>
          </w:p>
        </w:tc>
        <w:tc>
          <w:tcPr>
            <w:tcW w:w="1740" w:type="dxa"/>
            <w:noWrap w:val="0"/>
            <w:vAlign w:val="center"/>
          </w:tcPr>
          <w:p w14:paraId="1A0708A6">
            <w:pPr>
              <w:pStyle w:val="20"/>
              <w:spacing w:before="0" w:beforeAutospacing="0" w:after="0" w:afterAutospacing="0"/>
              <w:jc w:val="center"/>
              <w:outlineLvl w:val="0"/>
              <w:rPr>
                <w:rFonts w:hint="default" w:ascii="Times New Roman" w:hAnsi="Times New Roman"/>
                <w:color w:val="auto"/>
                <w:sz w:val="21"/>
                <w:lang w:val="en-US" w:eastAsia="zh-CN"/>
              </w:rPr>
            </w:pPr>
            <w:r>
              <w:rPr>
                <w:rFonts w:hint="eastAsia" w:ascii="Times New Roman" w:hAnsi="Times New Roman"/>
                <w:color w:val="auto"/>
                <w:sz w:val="21"/>
                <w:lang w:val="en-US" w:eastAsia="zh-CN"/>
              </w:rPr>
              <w:t>生活垃圾</w:t>
            </w:r>
          </w:p>
        </w:tc>
        <w:tc>
          <w:tcPr>
            <w:tcW w:w="1852" w:type="dxa"/>
            <w:noWrap w:val="0"/>
            <w:vAlign w:val="center"/>
          </w:tcPr>
          <w:p w14:paraId="71BAEB57">
            <w:pPr>
              <w:adjustRightInd w:val="0"/>
              <w:snapToGrid w:val="0"/>
              <w:jc w:val="center"/>
              <w:rPr>
                <w:rFonts w:cs="宋体"/>
                <w:color w:val="auto"/>
                <w:szCs w:val="21"/>
              </w:rPr>
            </w:pPr>
            <w:r>
              <w:rPr>
                <w:color w:val="auto"/>
              </w:rPr>
              <w:t>设置垃圾桶、垃圾箱，委托环卫部门统一清运</w:t>
            </w:r>
          </w:p>
        </w:tc>
        <w:tc>
          <w:tcPr>
            <w:tcW w:w="2017" w:type="dxa"/>
            <w:noWrap w:val="0"/>
            <w:vAlign w:val="center"/>
          </w:tcPr>
          <w:p w14:paraId="6E8AB0BD">
            <w:pPr>
              <w:adjustRightInd w:val="0"/>
              <w:snapToGrid w:val="0"/>
              <w:jc w:val="center"/>
              <w:rPr>
                <w:rFonts w:cs="宋体"/>
                <w:color w:val="auto"/>
                <w:szCs w:val="21"/>
              </w:rPr>
            </w:pPr>
            <w:r>
              <w:rPr>
                <w:rFonts w:hint="eastAsia" w:cs="宋体"/>
                <w:color w:val="auto"/>
                <w:szCs w:val="21"/>
              </w:rPr>
              <w:t>《城市生活垃圾管理办法》</w:t>
            </w:r>
          </w:p>
        </w:tc>
      </w:tr>
      <w:tr w14:paraId="428561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2E67F1EF">
            <w:pPr>
              <w:adjustRightInd w:val="0"/>
              <w:snapToGrid w:val="0"/>
              <w:jc w:val="center"/>
              <w:rPr>
                <w:rFonts w:cs="宋体"/>
                <w:color w:val="auto"/>
                <w:szCs w:val="21"/>
              </w:rPr>
            </w:pPr>
            <w:r>
              <w:rPr>
                <w:rFonts w:hint="eastAsia" w:cs="宋体"/>
                <w:color w:val="auto"/>
                <w:szCs w:val="21"/>
              </w:rPr>
              <w:t>土壤及地下水</w:t>
            </w:r>
          </w:p>
          <w:p w14:paraId="67387428">
            <w:pPr>
              <w:adjustRightInd w:val="0"/>
              <w:snapToGrid w:val="0"/>
              <w:jc w:val="center"/>
              <w:rPr>
                <w:rFonts w:cs="宋体"/>
                <w:color w:val="auto"/>
                <w:szCs w:val="21"/>
              </w:rPr>
            </w:pPr>
            <w:r>
              <w:rPr>
                <w:rFonts w:hint="eastAsia" w:cs="宋体"/>
                <w:color w:val="auto"/>
                <w:szCs w:val="21"/>
              </w:rPr>
              <w:t>污染防治措施</w:t>
            </w:r>
          </w:p>
        </w:tc>
        <w:tc>
          <w:tcPr>
            <w:tcW w:w="7109" w:type="dxa"/>
            <w:gridSpan w:val="4"/>
            <w:noWrap w:val="0"/>
            <w:vAlign w:val="center"/>
          </w:tcPr>
          <w:p w14:paraId="31338080">
            <w:pPr>
              <w:adjustRightInd w:val="0"/>
              <w:snapToGrid w:val="0"/>
              <w:spacing w:line="280" w:lineRule="exact"/>
              <w:ind w:firstLine="420" w:firstLineChars="200"/>
              <w:rPr>
                <w:color w:val="auto"/>
                <w:szCs w:val="21"/>
              </w:rPr>
            </w:pPr>
            <w:r>
              <w:rPr>
                <w:color w:val="auto"/>
                <w:szCs w:val="21"/>
              </w:rPr>
              <w:t>根据《环境影响评价技术导则地下水环境》（HJ610-2016）与</w:t>
            </w:r>
            <w:r>
              <w:rPr>
                <w:rFonts w:ascii="Times New Roman" w:hAnsi="Times New Roman" w:eastAsia="宋体" w:cs="Times New Roman"/>
                <w:color w:val="auto"/>
                <w:szCs w:val="21"/>
              </w:rPr>
              <w:t>《危险废物贮存污染控制标准》（GB18597-20</w:t>
            </w:r>
            <w:r>
              <w:rPr>
                <w:rFonts w:hint="eastAsia" w:ascii="Times New Roman" w:hAnsi="Times New Roman" w:eastAsia="宋体" w:cs="Times New Roman"/>
                <w:color w:val="auto"/>
                <w:szCs w:val="21"/>
                <w:lang w:val="en-US" w:eastAsia="zh-CN"/>
              </w:rPr>
              <w:t>23</w:t>
            </w:r>
            <w:r>
              <w:rPr>
                <w:rFonts w:ascii="Times New Roman" w:hAnsi="Times New Roman" w:eastAsia="宋体" w:cs="Times New Roman"/>
                <w:color w:val="auto"/>
                <w:szCs w:val="21"/>
              </w:rPr>
              <w:t>）</w:t>
            </w:r>
            <w:r>
              <w:rPr>
                <w:color w:val="auto"/>
                <w:szCs w:val="21"/>
              </w:rPr>
              <w:t>，企业必须满足下列要求：</w:t>
            </w:r>
          </w:p>
          <w:p w14:paraId="469E50E4">
            <w:pPr>
              <w:adjustRightInd w:val="0"/>
              <w:snapToGrid w:val="0"/>
              <w:spacing w:line="280" w:lineRule="exact"/>
              <w:ind w:firstLine="420" w:firstLineChars="200"/>
              <w:rPr>
                <w:color w:val="auto"/>
                <w:szCs w:val="21"/>
              </w:rPr>
            </w:pPr>
            <w:r>
              <w:rPr>
                <w:color w:val="auto"/>
                <w:szCs w:val="21"/>
              </w:rPr>
              <w:t>①</w:t>
            </w:r>
            <w:r>
              <w:rPr>
                <w:rFonts w:hint="eastAsia"/>
                <w:color w:val="auto"/>
                <w:szCs w:val="21"/>
                <w:lang w:val="en-US" w:eastAsia="zh-CN"/>
              </w:rPr>
              <w:t>生产厂房除危废间外</w:t>
            </w:r>
            <w:r>
              <w:rPr>
                <w:color w:val="auto"/>
                <w:szCs w:val="21"/>
              </w:rPr>
              <w:t>为简单防渗区，进行一般地面硬化处理。</w:t>
            </w:r>
          </w:p>
          <w:p w14:paraId="5BA95C0F">
            <w:pPr>
              <w:adjustRightInd w:val="0"/>
              <w:snapToGrid w:val="0"/>
              <w:spacing w:line="280" w:lineRule="exact"/>
              <w:ind w:firstLine="420" w:firstLineChars="200"/>
              <w:rPr>
                <w:color w:val="auto"/>
                <w:szCs w:val="21"/>
              </w:rPr>
            </w:pPr>
            <w:r>
              <w:rPr>
                <w:color w:val="auto"/>
                <w:szCs w:val="21"/>
              </w:rPr>
              <w:t>②</w:t>
            </w:r>
            <w:r>
              <w:rPr>
                <w:rFonts w:hint="eastAsia"/>
                <w:color w:val="auto"/>
                <w:szCs w:val="21"/>
                <w:lang w:eastAsia="zh-CN"/>
              </w:rPr>
              <w:t>危废暂存间</w:t>
            </w:r>
            <w:r>
              <w:rPr>
                <w:color w:val="auto"/>
                <w:szCs w:val="21"/>
              </w:rPr>
              <w:t>为</w:t>
            </w:r>
            <w:r>
              <w:rPr>
                <w:rFonts w:hint="eastAsia"/>
                <w:color w:val="auto"/>
                <w:szCs w:val="21"/>
              </w:rPr>
              <w:t>重点</w:t>
            </w:r>
            <w:r>
              <w:rPr>
                <w:color w:val="auto"/>
                <w:szCs w:val="21"/>
              </w:rPr>
              <w:t>污染防渗区，地面采用10cm厚C25抗渗等级为P8的抗渗混凝土或者符合要求的环氧树脂进行防渗处理。</w:t>
            </w:r>
          </w:p>
          <w:p w14:paraId="3E1CF858">
            <w:pPr>
              <w:adjustRightInd w:val="0"/>
              <w:snapToGrid w:val="0"/>
              <w:spacing w:line="280" w:lineRule="exact"/>
              <w:ind w:firstLine="420" w:firstLineChars="200"/>
              <w:rPr>
                <w:rFonts w:cs="宋体"/>
                <w:color w:val="auto"/>
                <w:szCs w:val="21"/>
              </w:rPr>
            </w:pPr>
            <w:r>
              <w:rPr>
                <w:color w:val="auto"/>
                <w:szCs w:val="21"/>
              </w:rPr>
              <w:t>采用上述措施后，危废暂存</w:t>
            </w:r>
            <w:r>
              <w:rPr>
                <w:rFonts w:hint="eastAsia"/>
                <w:color w:val="auto"/>
                <w:szCs w:val="21"/>
                <w:lang w:val="en-US" w:eastAsia="zh-CN"/>
              </w:rPr>
              <w:t>间</w:t>
            </w:r>
            <w:r>
              <w:rPr>
                <w:color w:val="auto"/>
                <w:szCs w:val="21"/>
              </w:rPr>
              <w:t>的渗透系数不大于1×10</w:t>
            </w:r>
            <w:r>
              <w:rPr>
                <w:rFonts w:hint="eastAsia"/>
                <w:color w:val="auto"/>
                <w:szCs w:val="21"/>
                <w:lang w:eastAsia="zh-CN"/>
              </w:rPr>
              <w:t>—</w:t>
            </w:r>
            <w:r>
              <w:rPr>
                <w:color w:val="auto"/>
                <w:szCs w:val="21"/>
                <w:vertAlign w:val="superscript"/>
              </w:rPr>
              <w:t>7</w:t>
            </w:r>
            <w:r>
              <w:rPr>
                <w:color w:val="auto"/>
                <w:szCs w:val="21"/>
              </w:rPr>
              <w:t>cm/s，可有效阻止污染物下渗。</w:t>
            </w:r>
          </w:p>
        </w:tc>
      </w:tr>
      <w:tr w14:paraId="4C76FD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26A92075">
            <w:pPr>
              <w:adjustRightInd w:val="0"/>
              <w:snapToGrid w:val="0"/>
              <w:jc w:val="center"/>
              <w:rPr>
                <w:rFonts w:cs="宋体"/>
                <w:color w:val="auto"/>
                <w:szCs w:val="21"/>
              </w:rPr>
            </w:pPr>
            <w:r>
              <w:rPr>
                <w:rFonts w:hint="eastAsia" w:cs="宋体"/>
                <w:color w:val="auto"/>
                <w:szCs w:val="21"/>
              </w:rPr>
              <w:t>生态保护措施</w:t>
            </w:r>
          </w:p>
        </w:tc>
        <w:tc>
          <w:tcPr>
            <w:tcW w:w="7109" w:type="dxa"/>
            <w:gridSpan w:val="4"/>
            <w:noWrap w:val="0"/>
            <w:vAlign w:val="center"/>
          </w:tcPr>
          <w:p w14:paraId="72184618">
            <w:pPr>
              <w:adjustRightInd w:val="0"/>
              <w:snapToGrid w:val="0"/>
              <w:jc w:val="center"/>
              <w:rPr>
                <w:rFonts w:cs="宋体"/>
                <w:color w:val="auto"/>
                <w:szCs w:val="21"/>
              </w:rPr>
            </w:pPr>
            <w:r>
              <w:rPr>
                <w:rFonts w:hint="eastAsia" w:cs="宋体"/>
                <w:color w:val="auto"/>
                <w:szCs w:val="21"/>
              </w:rPr>
              <w:t>无</w:t>
            </w:r>
          </w:p>
        </w:tc>
      </w:tr>
      <w:tr w14:paraId="7806B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1778" w:type="dxa"/>
            <w:noWrap w:val="0"/>
            <w:vAlign w:val="center"/>
          </w:tcPr>
          <w:p w14:paraId="51608673">
            <w:pPr>
              <w:adjustRightInd w:val="0"/>
              <w:snapToGrid w:val="0"/>
              <w:jc w:val="center"/>
              <w:rPr>
                <w:rFonts w:cs="宋体"/>
                <w:color w:val="auto"/>
                <w:spacing w:val="-8"/>
                <w:szCs w:val="21"/>
              </w:rPr>
            </w:pPr>
            <w:r>
              <w:rPr>
                <w:rFonts w:hint="eastAsia" w:cs="宋体"/>
                <w:color w:val="auto"/>
                <w:spacing w:val="-8"/>
                <w:szCs w:val="21"/>
              </w:rPr>
              <w:t>环境风险</w:t>
            </w:r>
          </w:p>
          <w:p w14:paraId="17C81ADE">
            <w:pPr>
              <w:adjustRightInd w:val="0"/>
              <w:snapToGrid w:val="0"/>
              <w:jc w:val="center"/>
              <w:rPr>
                <w:rFonts w:cs="宋体"/>
                <w:color w:val="auto"/>
                <w:szCs w:val="21"/>
              </w:rPr>
            </w:pPr>
            <w:r>
              <w:rPr>
                <w:rFonts w:hint="eastAsia" w:cs="宋体"/>
                <w:color w:val="auto"/>
                <w:spacing w:val="-8"/>
                <w:szCs w:val="21"/>
              </w:rPr>
              <w:t>防范措施</w:t>
            </w:r>
          </w:p>
        </w:tc>
        <w:tc>
          <w:tcPr>
            <w:tcW w:w="7109" w:type="dxa"/>
            <w:gridSpan w:val="4"/>
            <w:noWrap w:val="0"/>
            <w:vAlign w:val="bottom"/>
          </w:tcPr>
          <w:p w14:paraId="4E369518">
            <w:pPr>
              <w:adjustRightInd w:val="0"/>
              <w:snapToGrid w:val="0"/>
              <w:spacing w:line="240" w:lineRule="auto"/>
              <w:ind w:firstLine="0" w:firstLineChars="0"/>
              <w:jc w:val="center"/>
              <w:rPr>
                <w:rFonts w:cs="宋体"/>
                <w:color w:val="auto"/>
                <w:szCs w:val="21"/>
              </w:rPr>
            </w:pPr>
            <w:r>
              <w:rPr>
                <w:rFonts w:hint="eastAsia" w:cs="宋体"/>
                <w:color w:val="auto"/>
                <w:szCs w:val="21"/>
              </w:rPr>
              <w:t>①建立健全并严格执行活性炭使用的各项规章制度和规程，加强日常的安全检查。建立危险物质定期汇总登记制度，登记汇总的危险物质种类和数量存档、备查。科学管理，应根据危险物质性能，分区、分类存放，各类危险物质不得与禁忌物料混合存放。</w:t>
            </w:r>
          </w:p>
          <w:p w14:paraId="3A259F36">
            <w:pPr>
              <w:adjustRightInd w:val="0"/>
              <w:snapToGrid w:val="0"/>
              <w:spacing w:line="240" w:lineRule="auto"/>
              <w:ind w:firstLine="0" w:firstLineChars="0"/>
              <w:jc w:val="center"/>
              <w:rPr>
                <w:rFonts w:cs="宋体"/>
                <w:color w:val="auto"/>
                <w:szCs w:val="21"/>
              </w:rPr>
            </w:pPr>
            <w:r>
              <w:rPr>
                <w:rFonts w:hint="eastAsia" w:cs="宋体"/>
                <w:color w:val="auto"/>
                <w:szCs w:val="21"/>
              </w:rPr>
              <w:t>②安排专员定期对</w:t>
            </w:r>
            <w:r>
              <w:rPr>
                <w:rFonts w:hint="eastAsia" w:cs="宋体"/>
                <w:color w:val="auto"/>
                <w:szCs w:val="21"/>
                <w:lang w:eastAsia="zh-CN"/>
              </w:rPr>
              <w:t>危废暂存间</w:t>
            </w:r>
            <w:r>
              <w:rPr>
                <w:rFonts w:hint="eastAsia" w:cs="宋体"/>
                <w:color w:val="auto"/>
                <w:szCs w:val="21"/>
              </w:rPr>
              <w:t>和一般固废暂存区进行检查，严格遵守安全操作规程和消防安全管理制度，远离火种、热源，工作场所严禁吸烟，从源头杜绝火灾事故发生。</w:t>
            </w:r>
          </w:p>
          <w:p w14:paraId="415193FC">
            <w:pPr>
              <w:adjustRightInd w:val="0"/>
              <w:snapToGrid w:val="0"/>
              <w:spacing w:line="240" w:lineRule="auto"/>
              <w:ind w:firstLine="0" w:firstLineChars="0"/>
              <w:jc w:val="center"/>
              <w:rPr>
                <w:rFonts w:hint="eastAsia" w:cs="宋体"/>
                <w:color w:val="auto"/>
                <w:szCs w:val="21"/>
              </w:rPr>
            </w:pPr>
            <w:r>
              <w:rPr>
                <w:rFonts w:hint="eastAsia" w:cs="宋体"/>
                <w:color w:val="auto"/>
                <w:szCs w:val="21"/>
              </w:rPr>
              <w:t>③定期进行安全环保宣传教育以及紧急事故模拟演习，提高事故应变能力。</w:t>
            </w:r>
          </w:p>
          <w:p w14:paraId="142A7A0D">
            <w:pPr>
              <w:adjustRightInd w:val="0"/>
              <w:snapToGrid w:val="0"/>
              <w:spacing w:line="240" w:lineRule="auto"/>
              <w:ind w:firstLine="0" w:firstLineChars="0"/>
              <w:jc w:val="center"/>
              <w:rPr>
                <w:rFonts w:hint="eastAsia" w:cs="宋体"/>
                <w:color w:val="auto"/>
                <w:szCs w:val="21"/>
              </w:rPr>
            </w:pPr>
          </w:p>
          <w:p w14:paraId="1A9DE195">
            <w:pPr>
              <w:adjustRightInd w:val="0"/>
              <w:snapToGrid w:val="0"/>
              <w:spacing w:line="360" w:lineRule="exact"/>
              <w:ind w:firstLine="420" w:firstLineChars="200"/>
              <w:jc w:val="center"/>
              <w:rPr>
                <w:rFonts w:hint="eastAsia" w:cs="宋体"/>
                <w:color w:val="auto"/>
                <w:szCs w:val="21"/>
              </w:rPr>
            </w:pPr>
          </w:p>
        </w:tc>
      </w:tr>
      <w:tr w14:paraId="1BE5F6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1778" w:type="dxa"/>
            <w:noWrap w:val="0"/>
            <w:vAlign w:val="center"/>
          </w:tcPr>
          <w:p w14:paraId="29248E79">
            <w:pPr>
              <w:adjustRightInd w:val="0"/>
              <w:snapToGrid w:val="0"/>
              <w:jc w:val="center"/>
              <w:rPr>
                <w:rFonts w:cs="宋体"/>
                <w:color w:val="auto"/>
                <w:spacing w:val="-8"/>
                <w:szCs w:val="21"/>
              </w:rPr>
            </w:pPr>
            <w:r>
              <w:rPr>
                <w:rFonts w:hint="eastAsia" w:cs="宋体"/>
                <w:color w:val="auto"/>
                <w:spacing w:val="-8"/>
                <w:szCs w:val="21"/>
              </w:rPr>
              <w:t>其他环境</w:t>
            </w:r>
          </w:p>
          <w:p w14:paraId="414F0A49">
            <w:pPr>
              <w:adjustRightInd w:val="0"/>
              <w:snapToGrid w:val="0"/>
              <w:jc w:val="center"/>
              <w:rPr>
                <w:rFonts w:hint="eastAsia" w:cs="宋体"/>
                <w:color w:val="auto"/>
                <w:spacing w:val="-8"/>
                <w:szCs w:val="21"/>
              </w:rPr>
            </w:pPr>
            <w:r>
              <w:rPr>
                <w:rFonts w:hint="eastAsia" w:cs="宋体"/>
                <w:color w:val="auto"/>
                <w:spacing w:val="-8"/>
                <w:szCs w:val="21"/>
              </w:rPr>
              <w:t>管理要求</w:t>
            </w:r>
          </w:p>
        </w:tc>
        <w:tc>
          <w:tcPr>
            <w:tcW w:w="7109" w:type="dxa"/>
            <w:gridSpan w:val="4"/>
            <w:noWrap w:val="0"/>
            <w:vAlign w:val="bottom"/>
          </w:tcPr>
          <w:p w14:paraId="138E2A62">
            <w:pPr>
              <w:adjustRightInd w:val="0"/>
              <w:snapToGrid w:val="0"/>
              <w:spacing w:line="360" w:lineRule="exact"/>
              <w:ind w:firstLine="420" w:firstLineChars="200"/>
              <w:jc w:val="center"/>
              <w:rPr>
                <w:color w:val="auto"/>
              </w:rPr>
            </w:pPr>
            <w:r>
              <w:rPr>
                <w:rFonts w:hint="eastAsia"/>
                <w:color w:val="auto"/>
              </w:rPr>
              <w:t>①排污许可实行分类管理，根据污染物产生量、排放量、对环境的影响程度等因素，分为重点管理、简化管理和登记管理3种类别。对照《固定污染源排污许可分类管理名录》（2019年版），本项目属于名录中“65玻璃制造 304”中的“特种玻璃制造3042”类别，该类别应进行</w:t>
            </w:r>
            <w:r>
              <w:rPr>
                <w:rFonts w:hint="eastAsia"/>
                <w:color w:val="auto"/>
                <w:lang w:val="en-US" w:eastAsia="zh-CN"/>
              </w:rPr>
              <w:t>简化</w:t>
            </w:r>
            <w:r>
              <w:rPr>
                <w:rFonts w:hint="eastAsia"/>
                <w:color w:val="auto"/>
              </w:rPr>
              <w:t>管理。建设单位在投入运行前，应按照排污许可证管理规定，进行排污许可</w:t>
            </w:r>
            <w:r>
              <w:rPr>
                <w:rFonts w:hint="eastAsia"/>
                <w:color w:val="auto"/>
                <w:lang w:val="en-US" w:eastAsia="zh-CN"/>
              </w:rPr>
              <w:t>简化管理</w:t>
            </w:r>
            <w:r>
              <w:rPr>
                <w:rFonts w:hint="eastAsia"/>
                <w:color w:val="auto"/>
              </w:rPr>
              <w:t>申报。</w:t>
            </w:r>
          </w:p>
          <w:p w14:paraId="76FF8A92">
            <w:pPr>
              <w:adjustRightInd w:val="0"/>
              <w:snapToGrid w:val="0"/>
              <w:spacing w:line="360" w:lineRule="exact"/>
              <w:ind w:firstLine="420" w:firstLineChars="200"/>
              <w:jc w:val="center"/>
              <w:rPr>
                <w:rFonts w:hint="eastAsia" w:ascii="Times New Roman" w:hAnsi="Times New Roman"/>
                <w:b w:val="0"/>
                <w:bCs/>
                <w:color w:val="auto"/>
                <w:sz w:val="21"/>
                <w:szCs w:val="21"/>
              </w:rPr>
            </w:pPr>
            <w:r>
              <w:rPr>
                <w:rFonts w:hint="eastAsia" w:ascii="Times New Roman" w:hAnsi="Times New Roman"/>
                <w:b w:val="0"/>
                <w:bCs/>
                <w:color w:val="auto"/>
                <w:sz w:val="21"/>
                <w:szCs w:val="21"/>
              </w:rPr>
              <w:t>②项目的建设应切实履行配套的环境保护设施与主体工程同时设计、同时施工、同时投入运行的“三同时”制度。本项目配套建设的环境保护设施必须与主体工程同时设计、同时建成和投产使用，并按规定程序实施竣工环境保护验收，验收合格后方可正式投入生产。</w:t>
            </w:r>
          </w:p>
          <w:p w14:paraId="3E15D34C">
            <w:pPr>
              <w:adjustRightInd w:val="0"/>
              <w:snapToGrid w:val="0"/>
              <w:spacing w:line="360" w:lineRule="exact"/>
              <w:ind w:firstLine="420" w:firstLineChars="200"/>
              <w:jc w:val="center"/>
              <w:rPr>
                <w:rFonts w:hint="eastAsia" w:ascii="Times New Roman" w:hAnsi="Times New Roman"/>
                <w:b w:val="0"/>
                <w:bCs/>
                <w:color w:val="auto"/>
                <w:sz w:val="21"/>
                <w:szCs w:val="21"/>
              </w:rPr>
            </w:pPr>
          </w:p>
          <w:p w14:paraId="3F3E03CA">
            <w:pPr>
              <w:adjustRightInd w:val="0"/>
              <w:snapToGrid w:val="0"/>
              <w:spacing w:line="360" w:lineRule="exact"/>
              <w:ind w:firstLine="420" w:firstLineChars="200"/>
              <w:jc w:val="center"/>
              <w:rPr>
                <w:rFonts w:hint="eastAsia" w:ascii="Times New Roman" w:hAnsi="Times New Roman"/>
                <w:b w:val="0"/>
                <w:bCs/>
                <w:color w:val="auto"/>
                <w:sz w:val="21"/>
                <w:szCs w:val="21"/>
              </w:rPr>
            </w:pPr>
          </w:p>
          <w:p w14:paraId="4B8083DF">
            <w:pPr>
              <w:adjustRightInd w:val="0"/>
              <w:snapToGrid w:val="0"/>
              <w:spacing w:line="360" w:lineRule="exact"/>
              <w:ind w:firstLine="420" w:firstLineChars="200"/>
              <w:jc w:val="center"/>
              <w:rPr>
                <w:rFonts w:hint="eastAsia" w:ascii="Times New Roman" w:hAnsi="Times New Roman"/>
                <w:b w:val="0"/>
                <w:bCs/>
                <w:color w:val="auto"/>
                <w:sz w:val="21"/>
                <w:szCs w:val="21"/>
              </w:rPr>
            </w:pPr>
          </w:p>
          <w:p w14:paraId="32D1D99B">
            <w:pPr>
              <w:adjustRightInd w:val="0"/>
              <w:snapToGrid w:val="0"/>
              <w:spacing w:line="360" w:lineRule="exact"/>
              <w:ind w:firstLine="420" w:firstLineChars="200"/>
              <w:jc w:val="center"/>
              <w:rPr>
                <w:rFonts w:hint="eastAsia" w:ascii="Times New Roman" w:hAnsi="Times New Roman"/>
                <w:b w:val="0"/>
                <w:bCs/>
                <w:color w:val="auto"/>
                <w:sz w:val="21"/>
                <w:szCs w:val="21"/>
              </w:rPr>
            </w:pPr>
          </w:p>
          <w:p w14:paraId="1C1AFE6D">
            <w:pPr>
              <w:adjustRightInd w:val="0"/>
              <w:snapToGrid w:val="0"/>
              <w:spacing w:line="360" w:lineRule="exact"/>
              <w:ind w:firstLine="420" w:firstLineChars="200"/>
              <w:jc w:val="center"/>
              <w:rPr>
                <w:rFonts w:hint="eastAsia" w:ascii="Times New Roman" w:hAnsi="Times New Roman"/>
                <w:b w:val="0"/>
                <w:bCs/>
                <w:color w:val="auto"/>
                <w:sz w:val="21"/>
                <w:szCs w:val="21"/>
              </w:rPr>
            </w:pPr>
          </w:p>
          <w:p w14:paraId="3BC87D9A">
            <w:pPr>
              <w:pStyle w:val="2"/>
              <w:rPr>
                <w:rFonts w:hint="eastAsia" w:ascii="Times New Roman" w:hAnsi="Times New Roman"/>
                <w:b w:val="0"/>
                <w:bCs/>
                <w:color w:val="auto"/>
                <w:sz w:val="21"/>
                <w:szCs w:val="21"/>
              </w:rPr>
            </w:pPr>
          </w:p>
          <w:p w14:paraId="26C56350">
            <w:pPr>
              <w:pStyle w:val="6"/>
              <w:rPr>
                <w:rFonts w:hint="eastAsia" w:ascii="Times New Roman" w:hAnsi="Times New Roman"/>
                <w:b w:val="0"/>
                <w:bCs/>
                <w:color w:val="auto"/>
                <w:sz w:val="21"/>
                <w:szCs w:val="21"/>
              </w:rPr>
            </w:pPr>
          </w:p>
          <w:p w14:paraId="1D3F130D">
            <w:pPr>
              <w:pStyle w:val="6"/>
              <w:ind w:left="0" w:leftChars="0" w:firstLine="0" w:firstLineChars="0"/>
              <w:rPr>
                <w:rFonts w:hint="eastAsia"/>
              </w:rPr>
            </w:pPr>
          </w:p>
          <w:p w14:paraId="55F70C33">
            <w:pPr>
              <w:pStyle w:val="2"/>
              <w:rPr>
                <w:rFonts w:hint="eastAsia"/>
              </w:rPr>
            </w:pPr>
          </w:p>
          <w:p w14:paraId="5E223E41">
            <w:pPr>
              <w:pStyle w:val="6"/>
              <w:rPr>
                <w:rFonts w:hint="eastAsia"/>
              </w:rPr>
            </w:pPr>
          </w:p>
          <w:p w14:paraId="0145C071">
            <w:pPr>
              <w:pStyle w:val="2"/>
              <w:rPr>
                <w:rFonts w:hint="eastAsia"/>
              </w:rPr>
            </w:pPr>
          </w:p>
          <w:p w14:paraId="3DB3B371">
            <w:pPr>
              <w:adjustRightInd w:val="0"/>
              <w:snapToGrid w:val="0"/>
              <w:spacing w:line="360" w:lineRule="exact"/>
              <w:jc w:val="both"/>
              <w:rPr>
                <w:rFonts w:hint="eastAsia" w:ascii="Times New Roman" w:hAnsi="Times New Roman"/>
                <w:b w:val="0"/>
                <w:bCs/>
                <w:color w:val="auto"/>
                <w:sz w:val="21"/>
                <w:szCs w:val="21"/>
              </w:rPr>
            </w:pPr>
          </w:p>
        </w:tc>
      </w:tr>
    </w:tbl>
    <w:p w14:paraId="29B5C850">
      <w:pPr>
        <w:pStyle w:val="20"/>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5A5C2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7DB06920">
            <w:pPr>
              <w:adjustRightInd w:val="0"/>
              <w:snapToGrid w:val="0"/>
              <w:spacing w:line="360" w:lineRule="auto"/>
              <w:ind w:firstLine="482" w:firstLineChars="200"/>
              <w:rPr>
                <w:b/>
                <w:bCs/>
                <w:color w:val="auto"/>
                <w:kern w:val="0"/>
                <w:sz w:val="24"/>
              </w:rPr>
            </w:pPr>
          </w:p>
          <w:p w14:paraId="1E4051BB">
            <w:pPr>
              <w:adjustRightInd w:val="0"/>
              <w:snapToGrid w:val="0"/>
              <w:spacing w:line="360" w:lineRule="auto"/>
              <w:ind w:firstLine="482" w:firstLineChars="200"/>
              <w:rPr>
                <w:b/>
                <w:bCs/>
                <w:color w:val="auto"/>
                <w:kern w:val="0"/>
                <w:sz w:val="24"/>
              </w:rPr>
            </w:pPr>
          </w:p>
          <w:p w14:paraId="779CFF71">
            <w:pPr>
              <w:adjustRightInd w:val="0"/>
              <w:snapToGrid w:val="0"/>
              <w:spacing w:line="360" w:lineRule="auto"/>
              <w:ind w:firstLine="482" w:firstLineChars="200"/>
              <w:rPr>
                <w:b/>
                <w:bCs/>
                <w:color w:val="auto"/>
                <w:kern w:val="0"/>
                <w:sz w:val="24"/>
              </w:rPr>
            </w:pPr>
          </w:p>
          <w:p w14:paraId="7221D6BB">
            <w:pPr>
              <w:adjustRightInd w:val="0"/>
              <w:snapToGrid w:val="0"/>
              <w:spacing w:line="360" w:lineRule="auto"/>
              <w:ind w:firstLine="482" w:firstLineChars="200"/>
              <w:rPr>
                <w:b/>
                <w:bCs/>
                <w:color w:val="auto"/>
                <w:kern w:val="0"/>
                <w:sz w:val="24"/>
              </w:rPr>
            </w:pPr>
          </w:p>
          <w:p w14:paraId="0C8D32BB">
            <w:pPr>
              <w:adjustRightInd w:val="0"/>
              <w:snapToGrid w:val="0"/>
              <w:spacing w:line="360" w:lineRule="auto"/>
              <w:ind w:firstLine="482" w:firstLineChars="200"/>
              <w:rPr>
                <w:b/>
                <w:bCs/>
                <w:color w:val="auto"/>
                <w:kern w:val="0"/>
                <w:sz w:val="24"/>
              </w:rPr>
            </w:pPr>
          </w:p>
          <w:p w14:paraId="446F8B4B">
            <w:pPr>
              <w:adjustRightInd w:val="0"/>
              <w:snapToGrid w:val="0"/>
              <w:spacing w:line="360" w:lineRule="auto"/>
              <w:ind w:firstLine="482" w:firstLineChars="200"/>
              <w:rPr>
                <w:b/>
                <w:bCs/>
                <w:color w:val="auto"/>
                <w:kern w:val="0"/>
                <w:sz w:val="24"/>
              </w:rPr>
            </w:pPr>
          </w:p>
          <w:p w14:paraId="33CAC17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kern w:val="0"/>
                <w:sz w:val="24"/>
              </w:rPr>
            </w:pPr>
            <w:r>
              <w:rPr>
                <w:b/>
                <w:bCs/>
                <w:color w:val="auto"/>
                <w:kern w:val="0"/>
                <w:sz w:val="24"/>
              </w:rPr>
              <w:t>综上所述：本项目符合国家和地方产业政策</w:t>
            </w:r>
            <w:r>
              <w:rPr>
                <w:rFonts w:hint="eastAsia"/>
                <w:b/>
                <w:bCs/>
                <w:color w:val="auto"/>
                <w:kern w:val="0"/>
                <w:sz w:val="24"/>
              </w:rPr>
              <w:t>要求</w:t>
            </w:r>
            <w:r>
              <w:rPr>
                <w:b/>
                <w:bCs/>
                <w:color w:val="auto"/>
                <w:kern w:val="0"/>
                <w:sz w:val="24"/>
              </w:rPr>
              <w:t>，</w:t>
            </w:r>
            <w:r>
              <w:rPr>
                <w:rFonts w:hint="eastAsia"/>
                <w:b/>
                <w:bCs/>
                <w:color w:val="auto"/>
                <w:kern w:val="0"/>
                <w:sz w:val="24"/>
              </w:rPr>
              <w:t>选址合理，</w:t>
            </w:r>
            <w:r>
              <w:rPr>
                <w:b/>
                <w:bCs/>
                <w:color w:val="auto"/>
                <w:kern w:val="0"/>
                <w:sz w:val="24"/>
              </w:rPr>
              <w:t>采用的各项污染防治措施合理、有效，</w:t>
            </w:r>
            <w:r>
              <w:rPr>
                <w:rFonts w:hint="eastAsia"/>
                <w:b/>
                <w:bCs/>
                <w:color w:val="auto"/>
                <w:kern w:val="0"/>
                <w:sz w:val="24"/>
              </w:rPr>
              <w:t>废</w:t>
            </w:r>
            <w:r>
              <w:rPr>
                <w:b/>
                <w:bCs/>
                <w:color w:val="auto"/>
                <w:kern w:val="0"/>
                <w:sz w:val="24"/>
              </w:rPr>
              <w:t>水、</w:t>
            </w:r>
            <w:r>
              <w:rPr>
                <w:rFonts w:hint="eastAsia"/>
                <w:b/>
                <w:bCs/>
                <w:color w:val="auto"/>
                <w:kern w:val="0"/>
                <w:sz w:val="24"/>
              </w:rPr>
              <w:t>废气</w:t>
            </w:r>
            <w:r>
              <w:rPr>
                <w:b/>
                <w:bCs/>
                <w:color w:val="auto"/>
                <w:kern w:val="0"/>
                <w:sz w:val="24"/>
              </w:rPr>
              <w:t>、噪声</w:t>
            </w:r>
            <w:r>
              <w:rPr>
                <w:rFonts w:hint="eastAsia"/>
                <w:b/>
                <w:bCs/>
                <w:color w:val="auto"/>
                <w:kern w:val="0"/>
                <w:sz w:val="24"/>
              </w:rPr>
              <w:t>等污染经采取相应治理设施治理后</w:t>
            </w:r>
            <w:r>
              <w:rPr>
                <w:b/>
                <w:bCs/>
                <w:color w:val="auto"/>
                <w:kern w:val="0"/>
                <w:sz w:val="24"/>
              </w:rPr>
              <w:t>均可实现达标排放，固体废物可实现零排放；项目</w:t>
            </w:r>
            <w:r>
              <w:rPr>
                <w:rFonts w:hint="eastAsia"/>
                <w:b/>
                <w:bCs/>
                <w:color w:val="auto"/>
                <w:kern w:val="0"/>
                <w:sz w:val="24"/>
              </w:rPr>
              <w:t>营运期</w:t>
            </w:r>
            <w:r>
              <w:rPr>
                <w:b/>
                <w:bCs/>
                <w:color w:val="auto"/>
                <w:kern w:val="0"/>
                <w:sz w:val="24"/>
              </w:rPr>
              <w:t>对周边环境污染影响</w:t>
            </w:r>
            <w:r>
              <w:rPr>
                <w:rFonts w:hint="eastAsia"/>
                <w:b/>
                <w:bCs/>
                <w:color w:val="auto"/>
                <w:kern w:val="0"/>
                <w:sz w:val="24"/>
              </w:rPr>
              <w:t>较小，在可接受范围内</w:t>
            </w:r>
            <w:r>
              <w:rPr>
                <w:b/>
                <w:bCs/>
                <w:color w:val="auto"/>
                <w:kern w:val="0"/>
                <w:sz w:val="24"/>
              </w:rPr>
              <w:t>。因此</w:t>
            </w:r>
            <w:r>
              <w:rPr>
                <w:rFonts w:hint="eastAsia"/>
                <w:b/>
                <w:bCs/>
                <w:color w:val="auto"/>
                <w:kern w:val="0"/>
                <w:sz w:val="24"/>
              </w:rPr>
              <w:t>，</w:t>
            </w:r>
            <w:r>
              <w:rPr>
                <w:b/>
                <w:bCs/>
                <w:color w:val="auto"/>
                <w:kern w:val="0"/>
                <w:sz w:val="24"/>
              </w:rPr>
              <w:t>在</w:t>
            </w:r>
            <w:r>
              <w:rPr>
                <w:rFonts w:hint="eastAsia"/>
                <w:b/>
                <w:bCs/>
                <w:color w:val="auto"/>
                <w:kern w:val="0"/>
                <w:sz w:val="24"/>
              </w:rPr>
              <w:t>本项目</w:t>
            </w:r>
            <w:r>
              <w:rPr>
                <w:b/>
                <w:bCs/>
                <w:color w:val="auto"/>
                <w:kern w:val="0"/>
                <w:sz w:val="24"/>
              </w:rPr>
              <w:t>设计和建设中，如能严格落实</w:t>
            </w:r>
            <w:r>
              <w:rPr>
                <w:rFonts w:hint="eastAsia"/>
                <w:b/>
                <w:bCs/>
                <w:color w:val="auto"/>
                <w:kern w:val="0"/>
                <w:sz w:val="24"/>
              </w:rPr>
              <w:t>本报告中提出</w:t>
            </w:r>
            <w:r>
              <w:rPr>
                <w:b/>
                <w:bCs/>
                <w:color w:val="auto"/>
                <w:kern w:val="0"/>
                <w:sz w:val="24"/>
              </w:rPr>
              <w:t>的</w:t>
            </w:r>
            <w:r>
              <w:rPr>
                <w:rFonts w:hint="eastAsia"/>
                <w:b/>
                <w:bCs/>
                <w:color w:val="auto"/>
                <w:kern w:val="0"/>
                <w:sz w:val="24"/>
              </w:rPr>
              <w:t>各项</w:t>
            </w:r>
            <w:r>
              <w:rPr>
                <w:b/>
                <w:bCs/>
                <w:color w:val="auto"/>
                <w:kern w:val="0"/>
                <w:sz w:val="24"/>
              </w:rPr>
              <w:t>污染防治措施，从环保角度分析，</w:t>
            </w:r>
            <w:r>
              <w:rPr>
                <w:rFonts w:hint="eastAsia"/>
                <w:b/>
                <w:bCs/>
                <w:color w:val="auto"/>
                <w:kern w:val="0"/>
                <w:sz w:val="24"/>
                <w:lang w:val="en-US" w:eastAsia="zh-CN"/>
              </w:rPr>
              <w:t>江苏鑫宇建材科技有限公司</w:t>
            </w:r>
            <w:r>
              <w:rPr>
                <w:rFonts w:hint="eastAsia"/>
                <w:b/>
                <w:bCs/>
                <w:color w:val="auto"/>
                <w:kern w:val="0"/>
                <w:sz w:val="24"/>
              </w:rPr>
              <w:t>的</w:t>
            </w:r>
            <w:r>
              <w:rPr>
                <w:rFonts w:hint="eastAsia"/>
                <w:b/>
                <w:bCs/>
                <w:color w:val="auto"/>
                <w:kern w:val="0"/>
                <w:sz w:val="24"/>
                <w:lang w:val="en-US" w:eastAsia="zh-CN"/>
              </w:rPr>
              <w:t>江苏鑫宇建材科技有限公司玻璃加工项目</w:t>
            </w:r>
            <w:r>
              <w:rPr>
                <w:b/>
                <w:bCs/>
                <w:color w:val="auto"/>
                <w:kern w:val="0"/>
                <w:sz w:val="24"/>
              </w:rPr>
              <w:t>在</w:t>
            </w:r>
            <w:r>
              <w:rPr>
                <w:rFonts w:hint="eastAsia"/>
                <w:b/>
                <w:bCs/>
                <w:color w:val="auto"/>
                <w:kern w:val="0"/>
                <w:sz w:val="24"/>
              </w:rPr>
              <w:t>涟水县</w:t>
            </w:r>
            <w:r>
              <w:rPr>
                <w:rFonts w:hint="eastAsia"/>
                <w:b/>
                <w:bCs/>
                <w:color w:val="auto"/>
                <w:kern w:val="0"/>
                <w:sz w:val="24"/>
                <w:lang w:val="en-US" w:eastAsia="zh-CN"/>
              </w:rPr>
              <w:t>经济开发区淮浦北路东侧、兴隆路南侧厂房内</w:t>
            </w:r>
            <w:r>
              <w:rPr>
                <w:b/>
                <w:bCs/>
                <w:color w:val="auto"/>
                <w:kern w:val="0"/>
                <w:sz w:val="24"/>
              </w:rPr>
              <w:t>建设是可行的。</w:t>
            </w:r>
          </w:p>
          <w:p w14:paraId="6B863BB6">
            <w:pPr>
              <w:spacing w:line="360" w:lineRule="auto"/>
              <w:rPr>
                <w:rFonts w:ascii="宋体" w:cs="宋体"/>
                <w:color w:val="auto"/>
                <w:sz w:val="24"/>
              </w:rPr>
            </w:pPr>
          </w:p>
        </w:tc>
      </w:tr>
    </w:tbl>
    <w:p w14:paraId="11B35296">
      <w:pPr>
        <w:pStyle w:val="20"/>
        <w:adjustRightInd w:val="0"/>
        <w:snapToGrid w:val="0"/>
        <w:spacing w:before="0" w:beforeAutospacing="0" w:after="0" w:afterAutospacing="0" w:line="500" w:lineRule="exact"/>
        <w:jc w:val="center"/>
        <w:outlineLvl w:val="0"/>
        <w:rPr>
          <w:rFonts w:ascii="方正小标宋_GBK" w:hAnsi="黑体" w:eastAsia="方正小标宋_GBK"/>
          <w:snapToGrid w:val="0"/>
          <w:color w:val="auto"/>
          <w:sz w:val="38"/>
          <w:szCs w:val="38"/>
        </w:rPr>
        <w:sectPr>
          <w:pgSz w:w="11905" w:h="16838"/>
          <w:pgMar w:top="1701" w:right="1531" w:bottom="2126" w:left="1531" w:header="851" w:footer="850" w:gutter="0"/>
          <w:pgBorders>
            <w:top w:val="none" w:sz="0" w:space="0"/>
            <w:left w:val="none" w:sz="0" w:space="0"/>
            <w:bottom w:val="none" w:sz="0" w:space="0"/>
            <w:right w:val="none" w:sz="0" w:space="0"/>
          </w:pgBorders>
          <w:cols w:space="720" w:num="1"/>
          <w:rtlGutter w:val="0"/>
          <w:docGrid w:linePitch="312" w:charSpace="0"/>
        </w:sectPr>
      </w:pPr>
    </w:p>
    <w:p w14:paraId="3138A3EC">
      <w:pPr>
        <w:pStyle w:val="20"/>
        <w:adjustRightInd w:val="0"/>
        <w:snapToGrid w:val="0"/>
        <w:spacing w:before="0" w:beforeAutospacing="0" w:after="0" w:afterAutospacing="0" w:line="500" w:lineRule="exact"/>
        <w:jc w:val="center"/>
        <w:outlineLvl w:val="0"/>
        <w:rPr>
          <w:rFonts w:ascii="方正小标宋_GBK" w:hAnsi="黑体" w:eastAsia="方正小标宋_GBK"/>
          <w:snapToGrid w:val="0"/>
          <w:color w:val="auto"/>
          <w:sz w:val="38"/>
          <w:szCs w:val="38"/>
        </w:rPr>
      </w:pPr>
      <w:bookmarkStart w:id="6" w:name="_Toc7858"/>
      <w:bookmarkStart w:id="7" w:name="_Toc1050"/>
      <w:r>
        <w:rPr>
          <w:rFonts w:hint="eastAsia" w:ascii="宋体" w:hAnsi="宋体" w:eastAsia="宋体" w:cs="宋体"/>
          <w:b/>
          <w:bCs/>
          <w:snapToGrid w:val="0"/>
          <w:color w:val="auto"/>
          <w:sz w:val="38"/>
          <w:szCs w:val="38"/>
        </w:rPr>
        <w:t>建设项目污染物排放量汇总表</w:t>
      </w:r>
      <w:bookmarkEnd w:id="6"/>
      <w:bookmarkEnd w:id="7"/>
    </w:p>
    <w:tbl>
      <w:tblPr>
        <w:tblStyle w:val="22"/>
        <w:tblW w:w="143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871"/>
        <w:gridCol w:w="1469"/>
        <w:gridCol w:w="1499"/>
        <w:gridCol w:w="1114"/>
        <w:gridCol w:w="1739"/>
        <w:gridCol w:w="1594"/>
        <w:gridCol w:w="1404"/>
        <w:gridCol w:w="1770"/>
        <w:gridCol w:w="1778"/>
      </w:tblGrid>
      <w:tr w14:paraId="65CAA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7" w:type="dxa"/>
            <w:tcBorders>
              <w:tl2br w:val="single" w:color="auto" w:sz="4" w:space="0"/>
            </w:tcBorders>
            <w:noWrap w:val="0"/>
            <w:tcMar>
              <w:left w:w="28" w:type="dxa"/>
              <w:right w:w="28" w:type="dxa"/>
            </w:tcMar>
            <w:vAlign w:val="center"/>
          </w:tcPr>
          <w:p w14:paraId="0E1D8BB0">
            <w:pPr>
              <w:pStyle w:val="30"/>
              <w:spacing w:beforeLines="0" w:afterLines="0" w:line="240" w:lineRule="auto"/>
              <w:jc w:val="right"/>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项目</w:t>
            </w:r>
          </w:p>
          <w:p w14:paraId="2035C5B8">
            <w:pPr>
              <w:pStyle w:val="30"/>
              <w:spacing w:beforeLines="0" w:afterLines="0" w:line="240" w:lineRule="auto"/>
              <w:jc w:val="left"/>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分类</w:t>
            </w:r>
          </w:p>
        </w:tc>
        <w:tc>
          <w:tcPr>
            <w:tcW w:w="2340" w:type="dxa"/>
            <w:gridSpan w:val="2"/>
            <w:noWrap w:val="0"/>
            <w:tcMar>
              <w:left w:w="28" w:type="dxa"/>
              <w:right w:w="28" w:type="dxa"/>
            </w:tcMar>
            <w:vAlign w:val="center"/>
          </w:tcPr>
          <w:p w14:paraId="39EC3870">
            <w:pPr>
              <w:pStyle w:val="30"/>
              <w:spacing w:beforeLines="0" w:afterLines="0" w:line="240" w:lineRule="auto"/>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污染物名称</w:t>
            </w:r>
          </w:p>
        </w:tc>
        <w:tc>
          <w:tcPr>
            <w:tcW w:w="1499" w:type="dxa"/>
            <w:noWrap w:val="0"/>
            <w:tcMar>
              <w:left w:w="28" w:type="dxa"/>
              <w:right w:w="28" w:type="dxa"/>
            </w:tcMar>
            <w:vAlign w:val="center"/>
          </w:tcPr>
          <w:p w14:paraId="73E4EA52">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14:paraId="1834640D">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1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①</w:t>
            </w:r>
            <w:r>
              <w:rPr>
                <w:rFonts w:ascii="黑体" w:hAnsi="黑体" w:eastAsia="黑体"/>
                <w:snapToGrid w:val="0"/>
                <w:color w:val="auto"/>
                <w:spacing w:val="-6"/>
                <w:kern w:val="21"/>
                <w:szCs w:val="21"/>
              </w:rPr>
              <w:fldChar w:fldCharType="end"/>
            </w:r>
          </w:p>
        </w:tc>
        <w:tc>
          <w:tcPr>
            <w:tcW w:w="1114" w:type="dxa"/>
            <w:noWrap w:val="0"/>
            <w:tcMar>
              <w:left w:w="28" w:type="dxa"/>
              <w:right w:w="28" w:type="dxa"/>
            </w:tcMar>
            <w:vAlign w:val="center"/>
          </w:tcPr>
          <w:p w14:paraId="6A50E5C2">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14:paraId="1A3BFF72">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许可排放量</w:t>
            </w:r>
          </w:p>
          <w:p w14:paraId="3250B427">
            <w:pPr>
              <w:pStyle w:val="30"/>
              <w:spacing w:beforeLines="0" w:afterLines="0"/>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2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snapToGrid w:val="0"/>
                <w:color w:val="auto"/>
                <w:spacing w:val="-6"/>
                <w:kern w:val="21"/>
                <w:szCs w:val="21"/>
              </w:rPr>
              <w:t>②</w:t>
            </w:r>
            <w:r>
              <w:rPr>
                <w:rFonts w:ascii="黑体" w:hAnsi="黑体" w:eastAsia="黑体"/>
                <w:snapToGrid w:val="0"/>
                <w:color w:val="auto"/>
                <w:spacing w:val="-6"/>
                <w:kern w:val="21"/>
                <w:szCs w:val="21"/>
              </w:rPr>
              <w:fldChar w:fldCharType="end"/>
            </w:r>
          </w:p>
        </w:tc>
        <w:tc>
          <w:tcPr>
            <w:tcW w:w="1739" w:type="dxa"/>
            <w:noWrap w:val="0"/>
            <w:tcMar>
              <w:left w:w="28" w:type="dxa"/>
              <w:right w:w="28" w:type="dxa"/>
            </w:tcMar>
            <w:vAlign w:val="center"/>
          </w:tcPr>
          <w:p w14:paraId="7EBEE203">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在建工程</w:t>
            </w:r>
          </w:p>
          <w:p w14:paraId="0D43E710">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3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③</w:t>
            </w:r>
            <w:r>
              <w:rPr>
                <w:rFonts w:ascii="黑体" w:hAnsi="黑体" w:eastAsia="黑体"/>
                <w:snapToGrid w:val="0"/>
                <w:color w:val="auto"/>
                <w:spacing w:val="-6"/>
                <w:kern w:val="21"/>
                <w:szCs w:val="21"/>
              </w:rPr>
              <w:fldChar w:fldCharType="end"/>
            </w:r>
          </w:p>
        </w:tc>
        <w:tc>
          <w:tcPr>
            <w:tcW w:w="1594" w:type="dxa"/>
            <w:noWrap w:val="0"/>
            <w:tcMar>
              <w:left w:w="28" w:type="dxa"/>
              <w:right w:w="28" w:type="dxa"/>
            </w:tcMar>
            <w:vAlign w:val="center"/>
          </w:tcPr>
          <w:p w14:paraId="0BFC4EF1">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本项目</w:t>
            </w:r>
          </w:p>
          <w:p w14:paraId="0D2736EF">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4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④</w:t>
            </w:r>
            <w:r>
              <w:rPr>
                <w:rFonts w:ascii="黑体" w:hAnsi="黑体" w:eastAsia="黑体"/>
                <w:snapToGrid w:val="0"/>
                <w:color w:val="auto"/>
                <w:spacing w:val="-6"/>
                <w:kern w:val="21"/>
                <w:szCs w:val="21"/>
              </w:rPr>
              <w:fldChar w:fldCharType="end"/>
            </w:r>
          </w:p>
        </w:tc>
        <w:tc>
          <w:tcPr>
            <w:tcW w:w="1404" w:type="dxa"/>
            <w:noWrap w:val="0"/>
            <w:tcMar>
              <w:left w:w="28" w:type="dxa"/>
              <w:right w:w="28" w:type="dxa"/>
            </w:tcMar>
            <w:vAlign w:val="center"/>
          </w:tcPr>
          <w:p w14:paraId="138E105B">
            <w:pPr>
              <w:pStyle w:val="30"/>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以新带老削减量</w:t>
            </w:r>
          </w:p>
          <w:p w14:paraId="3E2A90F4">
            <w:pPr>
              <w:pStyle w:val="30"/>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（新建项目不填）</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5 \* GB3 \* MERGEFORMAT </w:instrText>
            </w:r>
            <w:r>
              <w:rPr>
                <w:rFonts w:ascii="黑体" w:hAnsi="黑体" w:eastAsia="黑体"/>
                <w:snapToGrid w:val="0"/>
                <w:color w:val="auto"/>
                <w:spacing w:val="-16"/>
                <w:kern w:val="21"/>
                <w:szCs w:val="21"/>
              </w:rPr>
              <w:fldChar w:fldCharType="separate"/>
            </w:r>
            <w:r>
              <w:rPr>
                <w:rFonts w:hint="eastAsia" w:ascii="黑体" w:hAnsi="黑体" w:eastAsia="黑体" w:cs="宋体"/>
                <w:color w:val="auto"/>
                <w:kern w:val="2"/>
                <w:szCs w:val="21"/>
              </w:rPr>
              <w:t>⑤</w:t>
            </w:r>
            <w:r>
              <w:rPr>
                <w:rFonts w:ascii="黑体" w:hAnsi="黑体" w:eastAsia="黑体"/>
                <w:snapToGrid w:val="0"/>
                <w:color w:val="auto"/>
                <w:spacing w:val="-16"/>
                <w:kern w:val="21"/>
                <w:szCs w:val="21"/>
              </w:rPr>
              <w:fldChar w:fldCharType="end"/>
            </w:r>
          </w:p>
        </w:tc>
        <w:tc>
          <w:tcPr>
            <w:tcW w:w="1770" w:type="dxa"/>
            <w:noWrap w:val="0"/>
            <w:tcMar>
              <w:left w:w="28" w:type="dxa"/>
              <w:right w:w="28" w:type="dxa"/>
            </w:tcMar>
            <w:vAlign w:val="center"/>
          </w:tcPr>
          <w:p w14:paraId="7B234653">
            <w:pPr>
              <w:pStyle w:val="30"/>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本项目建成后</w:t>
            </w:r>
          </w:p>
          <w:p w14:paraId="22DDD1C9">
            <w:pPr>
              <w:pStyle w:val="30"/>
              <w:spacing w:beforeLines="0" w:afterLines="0" w:line="240" w:lineRule="auto"/>
              <w:rPr>
                <w:rFonts w:ascii="黑体" w:hAnsi="黑体" w:eastAsia="黑体"/>
                <w:snapToGrid w:val="0"/>
                <w:color w:val="auto"/>
                <w:spacing w:val="-16"/>
                <w:kern w:val="21"/>
                <w:szCs w:val="21"/>
              </w:rPr>
            </w:pPr>
            <w:r>
              <w:rPr>
                <w:rFonts w:hint="eastAsia" w:ascii="黑体" w:hAnsi="黑体" w:eastAsia="黑体"/>
                <w:snapToGrid w:val="0"/>
                <w:color w:val="auto"/>
                <w:spacing w:val="-16"/>
                <w:kern w:val="21"/>
                <w:szCs w:val="21"/>
              </w:rPr>
              <w:t>全厂</w:t>
            </w:r>
            <w:r>
              <w:rPr>
                <w:rFonts w:ascii="黑体" w:hAnsi="黑体" w:eastAsia="黑体"/>
                <w:snapToGrid w:val="0"/>
                <w:color w:val="auto"/>
                <w:spacing w:val="-16"/>
                <w:kern w:val="21"/>
                <w:szCs w:val="21"/>
              </w:rPr>
              <w:t>排放量（固</w:t>
            </w:r>
            <w:r>
              <w:rPr>
                <w:rFonts w:hint="eastAsia" w:ascii="黑体" w:hAnsi="黑体" w:eastAsia="黑体"/>
                <w:snapToGrid w:val="0"/>
                <w:color w:val="auto"/>
                <w:spacing w:val="-16"/>
                <w:kern w:val="21"/>
                <w:szCs w:val="21"/>
              </w:rPr>
              <w:t>体</w:t>
            </w:r>
            <w:r>
              <w:rPr>
                <w:rFonts w:ascii="黑体" w:hAnsi="黑体" w:eastAsia="黑体"/>
                <w:snapToGrid w:val="0"/>
                <w:color w:val="auto"/>
                <w:spacing w:val="-16"/>
                <w:kern w:val="21"/>
                <w:szCs w:val="21"/>
              </w:rPr>
              <w:t>废</w:t>
            </w:r>
            <w:r>
              <w:rPr>
                <w:rFonts w:hint="eastAsia" w:ascii="黑体" w:hAnsi="黑体" w:eastAsia="黑体"/>
                <w:snapToGrid w:val="0"/>
                <w:color w:val="auto"/>
                <w:spacing w:val="-16"/>
                <w:kern w:val="21"/>
                <w:szCs w:val="21"/>
              </w:rPr>
              <w:t>物</w:t>
            </w:r>
            <w:r>
              <w:rPr>
                <w:rFonts w:ascii="黑体" w:hAnsi="黑体" w:eastAsia="黑体"/>
                <w:snapToGrid w:val="0"/>
                <w:color w:val="auto"/>
                <w:spacing w:val="-16"/>
                <w:kern w:val="21"/>
                <w:szCs w:val="21"/>
              </w:rPr>
              <w:t>产生量）</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6 \* GB3 \* MERGEFORMAT </w:instrText>
            </w:r>
            <w:r>
              <w:rPr>
                <w:rFonts w:ascii="黑体" w:hAnsi="黑体" w:eastAsia="黑体"/>
                <w:snapToGrid w:val="0"/>
                <w:color w:val="auto"/>
                <w:spacing w:val="-16"/>
                <w:kern w:val="21"/>
                <w:szCs w:val="21"/>
              </w:rPr>
              <w:fldChar w:fldCharType="separate"/>
            </w:r>
            <w:r>
              <w:rPr>
                <w:rFonts w:hint="eastAsia" w:ascii="黑体" w:hAnsi="黑体" w:eastAsia="黑体" w:cs="宋体"/>
                <w:color w:val="auto"/>
                <w:kern w:val="2"/>
                <w:szCs w:val="21"/>
              </w:rPr>
              <w:t>⑥</w:t>
            </w:r>
            <w:r>
              <w:rPr>
                <w:rFonts w:ascii="黑体" w:hAnsi="黑体" w:eastAsia="黑体"/>
                <w:snapToGrid w:val="0"/>
                <w:color w:val="auto"/>
                <w:spacing w:val="-16"/>
                <w:kern w:val="21"/>
                <w:szCs w:val="21"/>
              </w:rPr>
              <w:fldChar w:fldCharType="end"/>
            </w:r>
          </w:p>
        </w:tc>
        <w:tc>
          <w:tcPr>
            <w:tcW w:w="1778" w:type="dxa"/>
            <w:noWrap w:val="0"/>
            <w:tcMar>
              <w:left w:w="28" w:type="dxa"/>
              <w:right w:w="28" w:type="dxa"/>
            </w:tcMar>
            <w:vAlign w:val="center"/>
          </w:tcPr>
          <w:p w14:paraId="139A027A">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变化量</w:t>
            </w:r>
          </w:p>
          <w:p w14:paraId="5297C1F2">
            <w:pPr>
              <w:pStyle w:val="30"/>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7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⑦</w:t>
            </w:r>
            <w:r>
              <w:rPr>
                <w:rFonts w:ascii="黑体" w:hAnsi="黑体" w:eastAsia="黑体"/>
                <w:snapToGrid w:val="0"/>
                <w:color w:val="auto"/>
                <w:spacing w:val="-6"/>
                <w:kern w:val="21"/>
                <w:szCs w:val="21"/>
              </w:rPr>
              <w:fldChar w:fldCharType="end"/>
            </w:r>
          </w:p>
        </w:tc>
      </w:tr>
      <w:tr w14:paraId="68BC91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vMerge w:val="restart"/>
            <w:noWrap w:val="0"/>
            <w:vAlign w:val="center"/>
          </w:tcPr>
          <w:p w14:paraId="455051AB">
            <w:pPr>
              <w:pStyle w:val="3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废气</w:t>
            </w:r>
          </w:p>
        </w:tc>
        <w:tc>
          <w:tcPr>
            <w:tcW w:w="871" w:type="dxa"/>
            <w:noWrap w:val="0"/>
            <w:vAlign w:val="center"/>
          </w:tcPr>
          <w:p w14:paraId="3CA32F35">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有组织</w:t>
            </w:r>
          </w:p>
        </w:tc>
        <w:tc>
          <w:tcPr>
            <w:tcW w:w="1469" w:type="dxa"/>
            <w:noWrap w:val="0"/>
            <w:vAlign w:val="center"/>
          </w:tcPr>
          <w:p w14:paraId="46A9236F">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非甲烷总烃</w:t>
            </w:r>
          </w:p>
        </w:tc>
        <w:tc>
          <w:tcPr>
            <w:tcW w:w="1499" w:type="dxa"/>
            <w:noWrap w:val="0"/>
            <w:vAlign w:val="center"/>
          </w:tcPr>
          <w:p w14:paraId="1B8F9131">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0.0224</w:t>
            </w:r>
            <w:r>
              <w:rPr>
                <w:rFonts w:hint="default" w:ascii="Times New Roman" w:hAnsi="Times New Roman" w:cs="Times New Roman"/>
                <w:color w:val="auto"/>
                <w:szCs w:val="21"/>
                <w:lang w:val="en-US" w:eastAsia="zh-CN"/>
              </w:rPr>
              <w:t>t/a</w:t>
            </w:r>
          </w:p>
        </w:tc>
        <w:tc>
          <w:tcPr>
            <w:tcW w:w="1114" w:type="dxa"/>
            <w:noWrap w:val="0"/>
            <w:vAlign w:val="center"/>
          </w:tcPr>
          <w:p w14:paraId="17F4F411">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w:t>
            </w:r>
          </w:p>
        </w:tc>
        <w:tc>
          <w:tcPr>
            <w:tcW w:w="1739" w:type="dxa"/>
            <w:noWrap w:val="0"/>
            <w:vAlign w:val="center"/>
          </w:tcPr>
          <w:p w14:paraId="588481A7">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674900E8">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0.051t/a</w:t>
            </w:r>
          </w:p>
        </w:tc>
        <w:tc>
          <w:tcPr>
            <w:tcW w:w="1404" w:type="dxa"/>
            <w:noWrap w:val="0"/>
            <w:vAlign w:val="center"/>
          </w:tcPr>
          <w:p w14:paraId="47223C32">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0.0224</w:t>
            </w:r>
            <w:r>
              <w:rPr>
                <w:rFonts w:hint="default" w:ascii="Times New Roman" w:hAnsi="Times New Roman" w:cs="Times New Roman"/>
                <w:color w:val="auto"/>
                <w:szCs w:val="21"/>
                <w:lang w:val="en-US" w:eastAsia="zh-CN"/>
              </w:rPr>
              <w:t>t/a</w:t>
            </w:r>
          </w:p>
        </w:tc>
        <w:tc>
          <w:tcPr>
            <w:tcW w:w="1770" w:type="dxa"/>
            <w:noWrap w:val="0"/>
            <w:vAlign w:val="center"/>
          </w:tcPr>
          <w:p w14:paraId="540096BD">
            <w:pPr>
              <w:jc w:val="center"/>
              <w:rPr>
                <w:rFonts w:hint="eastAsia" w:cs="Times New Roman"/>
                <w:color w:val="auto"/>
                <w:szCs w:val="21"/>
                <w:lang w:val="en-US" w:eastAsia="zh-CN"/>
              </w:rPr>
            </w:pPr>
            <w:r>
              <w:rPr>
                <w:rFonts w:hint="default" w:ascii="Times New Roman" w:hAnsi="Times New Roman" w:cs="Times New Roman"/>
                <w:color w:val="auto"/>
                <w:szCs w:val="21"/>
                <w:lang w:val="en-US" w:eastAsia="zh-CN"/>
              </w:rPr>
              <w:t>0.051t/a</w:t>
            </w:r>
          </w:p>
        </w:tc>
        <w:tc>
          <w:tcPr>
            <w:tcW w:w="1778" w:type="dxa"/>
            <w:noWrap w:val="0"/>
            <w:vAlign w:val="center"/>
          </w:tcPr>
          <w:p w14:paraId="37EF6B9D">
            <w:pPr>
              <w:jc w:val="center"/>
              <w:rPr>
                <w:rFonts w:hint="eastAsia" w:cs="Times New Roman"/>
                <w:color w:val="auto"/>
                <w:szCs w:val="21"/>
                <w:lang w:val="en-US" w:eastAsia="zh-CN"/>
              </w:rPr>
            </w:pPr>
            <w:r>
              <w:rPr>
                <w:rFonts w:hint="eastAsia" w:cs="Times New Roman"/>
                <w:color w:val="auto"/>
                <w:szCs w:val="21"/>
                <w:lang w:val="en-US" w:eastAsia="zh-CN"/>
              </w:rPr>
              <w:t>+0.0286</w:t>
            </w:r>
            <w:r>
              <w:rPr>
                <w:rFonts w:hint="default" w:ascii="Times New Roman" w:hAnsi="Times New Roman" w:cs="Times New Roman"/>
                <w:color w:val="auto"/>
                <w:szCs w:val="21"/>
                <w:lang w:val="en-US" w:eastAsia="zh-CN"/>
              </w:rPr>
              <w:t>t/a</w:t>
            </w:r>
          </w:p>
        </w:tc>
      </w:tr>
      <w:tr w14:paraId="6D5A60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vMerge w:val="continue"/>
            <w:noWrap w:val="0"/>
            <w:vAlign w:val="center"/>
          </w:tcPr>
          <w:p w14:paraId="74F65F28">
            <w:pPr>
              <w:pStyle w:val="30"/>
              <w:spacing w:beforeLines="0" w:afterLines="0" w:line="240" w:lineRule="auto"/>
              <w:rPr>
                <w:rFonts w:hint="eastAsia" w:hAnsi="宋体" w:cs="宋体"/>
                <w:snapToGrid w:val="0"/>
                <w:color w:val="auto"/>
                <w:kern w:val="21"/>
                <w:szCs w:val="21"/>
              </w:rPr>
            </w:pPr>
          </w:p>
        </w:tc>
        <w:tc>
          <w:tcPr>
            <w:tcW w:w="871" w:type="dxa"/>
            <w:noWrap w:val="0"/>
            <w:vAlign w:val="center"/>
          </w:tcPr>
          <w:p w14:paraId="122A3BE1">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无组织</w:t>
            </w:r>
          </w:p>
        </w:tc>
        <w:tc>
          <w:tcPr>
            <w:tcW w:w="1469" w:type="dxa"/>
            <w:noWrap w:val="0"/>
            <w:vAlign w:val="center"/>
          </w:tcPr>
          <w:p w14:paraId="26FDF13F">
            <w:pPr>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非甲烷总烃</w:t>
            </w:r>
          </w:p>
        </w:tc>
        <w:tc>
          <w:tcPr>
            <w:tcW w:w="1499" w:type="dxa"/>
            <w:noWrap w:val="0"/>
            <w:vAlign w:val="center"/>
          </w:tcPr>
          <w:p w14:paraId="2101EA3B">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0.0411</w:t>
            </w:r>
            <w:r>
              <w:rPr>
                <w:rFonts w:hint="default" w:ascii="Times New Roman" w:hAnsi="Times New Roman" w:cs="Times New Roman"/>
                <w:color w:val="auto"/>
                <w:szCs w:val="21"/>
                <w:lang w:val="en-US" w:eastAsia="zh-CN"/>
              </w:rPr>
              <w:t>t/a</w:t>
            </w:r>
          </w:p>
        </w:tc>
        <w:tc>
          <w:tcPr>
            <w:tcW w:w="1114" w:type="dxa"/>
            <w:noWrap w:val="0"/>
            <w:vAlign w:val="center"/>
          </w:tcPr>
          <w:p w14:paraId="2BAA5670">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0.033</w:t>
            </w:r>
            <w:r>
              <w:rPr>
                <w:rFonts w:hint="default" w:ascii="Times New Roman" w:hAnsi="Times New Roman" w:cs="Times New Roman"/>
                <w:color w:val="auto"/>
                <w:szCs w:val="21"/>
                <w:lang w:val="en-US" w:eastAsia="zh-CN"/>
              </w:rPr>
              <w:t>t/a</w:t>
            </w:r>
          </w:p>
        </w:tc>
        <w:tc>
          <w:tcPr>
            <w:tcW w:w="1739" w:type="dxa"/>
            <w:noWrap w:val="0"/>
            <w:vAlign w:val="center"/>
          </w:tcPr>
          <w:p w14:paraId="70121F68">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7B1E0BB2">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0.057t/a</w:t>
            </w:r>
          </w:p>
        </w:tc>
        <w:tc>
          <w:tcPr>
            <w:tcW w:w="1404" w:type="dxa"/>
            <w:noWrap w:val="0"/>
            <w:vAlign w:val="center"/>
          </w:tcPr>
          <w:p w14:paraId="77CC254E">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0.0411</w:t>
            </w:r>
            <w:r>
              <w:rPr>
                <w:rFonts w:hint="default" w:ascii="Times New Roman" w:hAnsi="Times New Roman" w:cs="Times New Roman"/>
                <w:color w:val="auto"/>
                <w:szCs w:val="21"/>
                <w:lang w:val="en-US" w:eastAsia="zh-CN"/>
              </w:rPr>
              <w:t>t/a</w:t>
            </w:r>
          </w:p>
        </w:tc>
        <w:tc>
          <w:tcPr>
            <w:tcW w:w="1770" w:type="dxa"/>
            <w:noWrap w:val="0"/>
            <w:vAlign w:val="center"/>
          </w:tcPr>
          <w:p w14:paraId="3C407616">
            <w:pPr>
              <w:jc w:val="center"/>
              <w:rPr>
                <w:rFonts w:hint="eastAsia" w:cs="Times New Roman"/>
                <w:color w:val="auto"/>
                <w:szCs w:val="21"/>
                <w:lang w:val="en-US" w:eastAsia="zh-CN"/>
              </w:rPr>
            </w:pPr>
            <w:r>
              <w:rPr>
                <w:rFonts w:hint="default" w:ascii="Times New Roman" w:hAnsi="Times New Roman" w:cs="Times New Roman"/>
                <w:color w:val="auto"/>
                <w:szCs w:val="21"/>
                <w:lang w:val="en-US" w:eastAsia="zh-CN"/>
              </w:rPr>
              <w:t>0.057t/a</w:t>
            </w:r>
          </w:p>
        </w:tc>
        <w:tc>
          <w:tcPr>
            <w:tcW w:w="1778" w:type="dxa"/>
            <w:noWrap w:val="0"/>
            <w:vAlign w:val="center"/>
          </w:tcPr>
          <w:p w14:paraId="315E97D1">
            <w:pPr>
              <w:jc w:val="center"/>
              <w:rPr>
                <w:rFonts w:hint="eastAsia" w:cs="Times New Roman"/>
                <w:color w:val="auto"/>
                <w:szCs w:val="21"/>
                <w:lang w:val="en-US" w:eastAsia="zh-CN"/>
              </w:rPr>
            </w:pPr>
            <w:r>
              <w:rPr>
                <w:rFonts w:hint="eastAsia" w:cs="Times New Roman"/>
                <w:color w:val="auto"/>
                <w:szCs w:val="21"/>
                <w:lang w:val="en-US" w:eastAsia="zh-CN"/>
              </w:rPr>
              <w:t>+0.0159t/a</w:t>
            </w:r>
          </w:p>
        </w:tc>
      </w:tr>
      <w:tr w14:paraId="14AAD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vMerge w:val="restart"/>
            <w:noWrap w:val="0"/>
            <w:vAlign w:val="center"/>
          </w:tcPr>
          <w:p w14:paraId="45C1D16F">
            <w:pPr>
              <w:pStyle w:val="30"/>
              <w:spacing w:beforeLines="0" w:afterLines="0" w:line="240" w:lineRule="auto"/>
              <w:rPr>
                <w:rFonts w:hint="eastAsia" w:hAnsi="宋体" w:cs="宋体"/>
                <w:snapToGrid w:val="0"/>
                <w:color w:val="auto"/>
                <w:kern w:val="21"/>
                <w:szCs w:val="21"/>
                <w:lang w:val="en-US" w:eastAsia="zh-CN"/>
              </w:rPr>
            </w:pPr>
            <w:r>
              <w:rPr>
                <w:rFonts w:hint="eastAsia" w:hAnsi="宋体" w:cs="宋体"/>
                <w:snapToGrid w:val="0"/>
                <w:color w:val="auto"/>
                <w:kern w:val="21"/>
                <w:szCs w:val="21"/>
                <w:lang w:val="en-US" w:eastAsia="zh-CN"/>
              </w:rPr>
              <w:t>废水</w:t>
            </w:r>
          </w:p>
          <w:p w14:paraId="0E837722">
            <w:pPr>
              <w:pStyle w:val="30"/>
              <w:spacing w:beforeLines="0" w:afterLines="0" w:line="240" w:lineRule="auto"/>
              <w:rPr>
                <w:rFonts w:hint="default" w:hAnsi="宋体" w:eastAsia="宋体" w:cs="宋体"/>
                <w:snapToGrid w:val="0"/>
                <w:color w:val="auto"/>
                <w:kern w:val="21"/>
                <w:szCs w:val="21"/>
                <w:lang w:val="en-US" w:eastAsia="zh-CN"/>
              </w:rPr>
            </w:pPr>
          </w:p>
        </w:tc>
        <w:tc>
          <w:tcPr>
            <w:tcW w:w="2340" w:type="dxa"/>
            <w:gridSpan w:val="2"/>
            <w:noWrap w:val="0"/>
            <w:vAlign w:val="center"/>
          </w:tcPr>
          <w:p w14:paraId="65A0D4CD">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废水量</w:t>
            </w:r>
          </w:p>
        </w:tc>
        <w:tc>
          <w:tcPr>
            <w:tcW w:w="1499" w:type="dxa"/>
            <w:noWrap w:val="0"/>
            <w:vAlign w:val="center"/>
          </w:tcPr>
          <w:p w14:paraId="2969E4EA">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 w:val="21"/>
                <w:szCs w:val="21"/>
                <w:lang w:val="en-US" w:eastAsia="zh-CN"/>
              </w:rPr>
              <w:t>360</w:t>
            </w:r>
            <w:r>
              <w:rPr>
                <w:rFonts w:hint="default" w:ascii="Times New Roman" w:hAnsi="Times New Roman" w:cs="Times New Roman"/>
                <w:color w:val="auto"/>
                <w:szCs w:val="21"/>
                <w:lang w:val="en-US" w:eastAsia="zh-CN"/>
              </w:rPr>
              <w:t>t/a</w:t>
            </w:r>
          </w:p>
        </w:tc>
        <w:tc>
          <w:tcPr>
            <w:tcW w:w="1114" w:type="dxa"/>
            <w:noWrap w:val="0"/>
            <w:vAlign w:val="center"/>
          </w:tcPr>
          <w:p w14:paraId="6AC9A522">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 w:val="21"/>
                <w:szCs w:val="21"/>
                <w:lang w:val="en-US" w:eastAsia="zh-CN"/>
              </w:rPr>
              <w:t>360</w:t>
            </w:r>
            <w:r>
              <w:rPr>
                <w:rFonts w:hint="default" w:ascii="Times New Roman" w:hAnsi="Times New Roman" w:cs="Times New Roman"/>
                <w:color w:val="auto"/>
                <w:szCs w:val="21"/>
                <w:lang w:val="en-US" w:eastAsia="zh-CN"/>
              </w:rPr>
              <w:t>t/a</w:t>
            </w:r>
          </w:p>
        </w:tc>
        <w:tc>
          <w:tcPr>
            <w:tcW w:w="1739" w:type="dxa"/>
            <w:noWrap w:val="0"/>
            <w:vAlign w:val="center"/>
          </w:tcPr>
          <w:p w14:paraId="72EF2BC5">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7E540A60">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 w:val="21"/>
                <w:szCs w:val="21"/>
                <w:lang w:val="en-US" w:eastAsia="zh-CN"/>
              </w:rPr>
              <w:t>360</w:t>
            </w:r>
            <w:r>
              <w:rPr>
                <w:rFonts w:hint="default" w:ascii="Times New Roman" w:hAnsi="Times New Roman" w:cs="Times New Roman"/>
                <w:color w:val="auto"/>
                <w:szCs w:val="21"/>
                <w:lang w:val="en-US" w:eastAsia="zh-CN"/>
              </w:rPr>
              <w:t>t/a</w:t>
            </w:r>
          </w:p>
        </w:tc>
        <w:tc>
          <w:tcPr>
            <w:tcW w:w="1404" w:type="dxa"/>
            <w:noWrap w:val="0"/>
            <w:vAlign w:val="center"/>
          </w:tcPr>
          <w:p w14:paraId="12203EB3">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 w:val="21"/>
                <w:szCs w:val="21"/>
                <w:lang w:val="en-US" w:eastAsia="zh-CN"/>
              </w:rPr>
              <w:t>360</w:t>
            </w:r>
            <w:r>
              <w:rPr>
                <w:rFonts w:hint="default" w:ascii="Times New Roman" w:hAnsi="Times New Roman" w:cs="Times New Roman"/>
                <w:color w:val="auto"/>
                <w:szCs w:val="21"/>
                <w:lang w:val="en-US" w:eastAsia="zh-CN"/>
              </w:rPr>
              <w:t>t/a</w:t>
            </w:r>
          </w:p>
        </w:tc>
        <w:tc>
          <w:tcPr>
            <w:tcW w:w="1770" w:type="dxa"/>
            <w:noWrap w:val="0"/>
            <w:vAlign w:val="center"/>
          </w:tcPr>
          <w:p w14:paraId="25910487">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 w:val="21"/>
                <w:szCs w:val="21"/>
                <w:lang w:val="en-US" w:eastAsia="zh-CN"/>
              </w:rPr>
              <w:t>360</w:t>
            </w:r>
            <w:r>
              <w:rPr>
                <w:rFonts w:hint="default" w:ascii="Times New Roman" w:hAnsi="Times New Roman" w:cs="Times New Roman"/>
                <w:color w:val="auto"/>
                <w:szCs w:val="21"/>
                <w:lang w:val="en-US" w:eastAsia="zh-CN"/>
              </w:rPr>
              <w:t>t/a</w:t>
            </w:r>
          </w:p>
        </w:tc>
        <w:tc>
          <w:tcPr>
            <w:tcW w:w="1778" w:type="dxa"/>
            <w:noWrap w:val="0"/>
            <w:vAlign w:val="center"/>
          </w:tcPr>
          <w:p w14:paraId="73B3CA48">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auto"/>
                <w:szCs w:val="21"/>
                <w:lang w:val="en-US" w:eastAsia="zh-CN"/>
              </w:rPr>
            </w:pPr>
            <w:r>
              <w:rPr>
                <w:rFonts w:hint="eastAsia" w:cs="Times New Roman"/>
                <w:color w:val="auto"/>
                <w:szCs w:val="21"/>
                <w:lang w:val="en-US" w:eastAsia="zh-CN"/>
              </w:rPr>
              <w:t>0</w:t>
            </w:r>
          </w:p>
        </w:tc>
      </w:tr>
      <w:tr w14:paraId="066436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vMerge w:val="continue"/>
            <w:noWrap w:val="0"/>
            <w:vAlign w:val="center"/>
          </w:tcPr>
          <w:p w14:paraId="5C79AA5B">
            <w:pPr>
              <w:pStyle w:val="30"/>
              <w:spacing w:beforeLines="0" w:afterLines="0" w:line="240" w:lineRule="auto"/>
              <w:rPr>
                <w:rFonts w:hint="default" w:hAnsi="宋体" w:eastAsia="宋体" w:cs="宋体"/>
                <w:snapToGrid w:val="0"/>
                <w:color w:val="auto"/>
                <w:kern w:val="21"/>
                <w:szCs w:val="21"/>
                <w:lang w:val="en-US" w:eastAsia="zh-CN"/>
              </w:rPr>
            </w:pPr>
          </w:p>
        </w:tc>
        <w:tc>
          <w:tcPr>
            <w:tcW w:w="2340" w:type="dxa"/>
            <w:gridSpan w:val="2"/>
            <w:noWrap w:val="0"/>
            <w:vAlign w:val="center"/>
          </w:tcPr>
          <w:p w14:paraId="41E4B0B6">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COD</w:t>
            </w:r>
          </w:p>
        </w:tc>
        <w:tc>
          <w:tcPr>
            <w:tcW w:w="1499" w:type="dxa"/>
            <w:noWrap w:val="0"/>
            <w:vAlign w:val="center"/>
          </w:tcPr>
          <w:p w14:paraId="1C340F74">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0.0180</w:t>
            </w:r>
            <w:r>
              <w:rPr>
                <w:rFonts w:hint="default" w:ascii="Times New Roman" w:hAnsi="Times New Roman" w:cs="Times New Roman"/>
                <w:color w:val="auto"/>
                <w:szCs w:val="21"/>
                <w:lang w:val="en-US" w:eastAsia="zh-CN"/>
              </w:rPr>
              <w:t>t/a</w:t>
            </w:r>
          </w:p>
        </w:tc>
        <w:tc>
          <w:tcPr>
            <w:tcW w:w="1114" w:type="dxa"/>
            <w:noWrap w:val="0"/>
            <w:vAlign w:val="center"/>
          </w:tcPr>
          <w:p w14:paraId="21C28B2D">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0.0180</w:t>
            </w:r>
            <w:r>
              <w:rPr>
                <w:rFonts w:hint="default" w:ascii="Times New Roman" w:hAnsi="Times New Roman" w:cs="Times New Roman"/>
                <w:color w:val="auto"/>
                <w:szCs w:val="21"/>
                <w:lang w:val="en-US" w:eastAsia="zh-CN"/>
              </w:rPr>
              <w:t>t/a</w:t>
            </w:r>
          </w:p>
        </w:tc>
        <w:tc>
          <w:tcPr>
            <w:tcW w:w="1739" w:type="dxa"/>
            <w:noWrap w:val="0"/>
            <w:vAlign w:val="center"/>
          </w:tcPr>
          <w:p w14:paraId="17C0FC0F">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3A397BCD">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0.0180</w:t>
            </w:r>
            <w:r>
              <w:rPr>
                <w:rFonts w:hint="default" w:ascii="Times New Roman" w:hAnsi="Times New Roman" w:cs="Times New Roman"/>
                <w:color w:val="auto"/>
                <w:szCs w:val="21"/>
                <w:lang w:val="en-US" w:eastAsia="zh-CN"/>
              </w:rPr>
              <w:t>t/a</w:t>
            </w:r>
          </w:p>
        </w:tc>
        <w:tc>
          <w:tcPr>
            <w:tcW w:w="1404" w:type="dxa"/>
            <w:noWrap w:val="0"/>
            <w:vAlign w:val="center"/>
          </w:tcPr>
          <w:p w14:paraId="7537D37F">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0.0180</w:t>
            </w:r>
            <w:r>
              <w:rPr>
                <w:rFonts w:hint="default" w:ascii="Times New Roman" w:hAnsi="Times New Roman" w:cs="Times New Roman"/>
                <w:color w:val="auto"/>
                <w:szCs w:val="21"/>
                <w:lang w:val="en-US" w:eastAsia="zh-CN"/>
              </w:rPr>
              <w:t>t/a</w:t>
            </w:r>
          </w:p>
        </w:tc>
        <w:tc>
          <w:tcPr>
            <w:tcW w:w="1770" w:type="dxa"/>
            <w:noWrap w:val="0"/>
            <w:vAlign w:val="center"/>
          </w:tcPr>
          <w:p w14:paraId="52D2221C">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0.0180</w:t>
            </w:r>
            <w:r>
              <w:rPr>
                <w:rFonts w:hint="default" w:ascii="Times New Roman" w:hAnsi="Times New Roman" w:cs="Times New Roman"/>
                <w:color w:val="auto"/>
                <w:szCs w:val="21"/>
                <w:lang w:val="en-US" w:eastAsia="zh-CN"/>
              </w:rPr>
              <w:t>t/a</w:t>
            </w:r>
          </w:p>
        </w:tc>
        <w:tc>
          <w:tcPr>
            <w:tcW w:w="1778" w:type="dxa"/>
            <w:noWrap w:val="0"/>
            <w:vAlign w:val="center"/>
          </w:tcPr>
          <w:p w14:paraId="65E570F6">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0</w:t>
            </w:r>
          </w:p>
        </w:tc>
      </w:tr>
      <w:tr w14:paraId="756D9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vMerge w:val="continue"/>
            <w:noWrap w:val="0"/>
            <w:vAlign w:val="center"/>
          </w:tcPr>
          <w:p w14:paraId="59A2E849">
            <w:pPr>
              <w:pStyle w:val="30"/>
              <w:spacing w:beforeLines="0" w:afterLines="0" w:line="240" w:lineRule="auto"/>
              <w:rPr>
                <w:rFonts w:hAnsi="宋体" w:cs="宋体"/>
                <w:snapToGrid w:val="0"/>
                <w:color w:val="auto"/>
                <w:kern w:val="21"/>
                <w:szCs w:val="21"/>
              </w:rPr>
            </w:pPr>
          </w:p>
        </w:tc>
        <w:tc>
          <w:tcPr>
            <w:tcW w:w="2340" w:type="dxa"/>
            <w:gridSpan w:val="2"/>
            <w:noWrap w:val="0"/>
            <w:vAlign w:val="center"/>
          </w:tcPr>
          <w:p w14:paraId="20538BDE">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SS</w:t>
            </w:r>
          </w:p>
        </w:tc>
        <w:tc>
          <w:tcPr>
            <w:tcW w:w="1499" w:type="dxa"/>
            <w:noWrap w:val="0"/>
            <w:vAlign w:val="center"/>
          </w:tcPr>
          <w:p w14:paraId="75A0420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0.0036</w:t>
            </w:r>
            <w:r>
              <w:rPr>
                <w:rFonts w:hint="default" w:ascii="Times New Roman" w:hAnsi="Times New Roman" w:cs="Times New Roman"/>
                <w:color w:val="auto"/>
                <w:szCs w:val="21"/>
                <w:lang w:val="en-US" w:eastAsia="zh-CN"/>
              </w:rPr>
              <w:t>t/a</w:t>
            </w:r>
          </w:p>
        </w:tc>
        <w:tc>
          <w:tcPr>
            <w:tcW w:w="1114" w:type="dxa"/>
            <w:noWrap w:val="0"/>
            <w:vAlign w:val="center"/>
          </w:tcPr>
          <w:p w14:paraId="11B6F3E0">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0.0036</w:t>
            </w:r>
            <w:r>
              <w:rPr>
                <w:rFonts w:hint="default" w:ascii="Times New Roman" w:hAnsi="Times New Roman" w:cs="Times New Roman"/>
                <w:color w:val="auto"/>
                <w:szCs w:val="21"/>
                <w:lang w:val="en-US" w:eastAsia="zh-CN"/>
              </w:rPr>
              <w:t>t/a</w:t>
            </w:r>
          </w:p>
        </w:tc>
        <w:tc>
          <w:tcPr>
            <w:tcW w:w="1739" w:type="dxa"/>
            <w:noWrap w:val="0"/>
            <w:vAlign w:val="center"/>
          </w:tcPr>
          <w:p w14:paraId="5275C2FA">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4F3F114C">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0.0036</w:t>
            </w:r>
            <w:r>
              <w:rPr>
                <w:rFonts w:hint="default" w:ascii="Times New Roman" w:hAnsi="Times New Roman" w:cs="Times New Roman"/>
                <w:color w:val="auto"/>
                <w:szCs w:val="21"/>
                <w:lang w:val="en-US" w:eastAsia="zh-CN"/>
              </w:rPr>
              <w:t>t/a</w:t>
            </w:r>
          </w:p>
        </w:tc>
        <w:tc>
          <w:tcPr>
            <w:tcW w:w="1404" w:type="dxa"/>
            <w:noWrap w:val="0"/>
            <w:vAlign w:val="center"/>
          </w:tcPr>
          <w:p w14:paraId="13C1B78E">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0.0036</w:t>
            </w:r>
            <w:r>
              <w:rPr>
                <w:rFonts w:hint="default" w:ascii="Times New Roman" w:hAnsi="Times New Roman" w:cs="Times New Roman"/>
                <w:color w:val="auto"/>
                <w:szCs w:val="21"/>
                <w:lang w:val="en-US" w:eastAsia="zh-CN"/>
              </w:rPr>
              <w:t>t/a</w:t>
            </w:r>
          </w:p>
        </w:tc>
        <w:tc>
          <w:tcPr>
            <w:tcW w:w="1770" w:type="dxa"/>
            <w:noWrap w:val="0"/>
            <w:vAlign w:val="center"/>
          </w:tcPr>
          <w:p w14:paraId="2374698A">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0.0036</w:t>
            </w:r>
            <w:r>
              <w:rPr>
                <w:rFonts w:hint="default" w:ascii="Times New Roman" w:hAnsi="Times New Roman" w:cs="Times New Roman"/>
                <w:color w:val="auto"/>
                <w:szCs w:val="21"/>
                <w:lang w:val="en-US" w:eastAsia="zh-CN"/>
              </w:rPr>
              <w:t>t/a</w:t>
            </w:r>
          </w:p>
        </w:tc>
        <w:tc>
          <w:tcPr>
            <w:tcW w:w="1778" w:type="dxa"/>
            <w:noWrap w:val="0"/>
            <w:vAlign w:val="center"/>
          </w:tcPr>
          <w:p w14:paraId="00CEB523">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0</w:t>
            </w:r>
          </w:p>
        </w:tc>
      </w:tr>
      <w:tr w14:paraId="52FACA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vMerge w:val="continue"/>
            <w:noWrap w:val="0"/>
            <w:vAlign w:val="center"/>
          </w:tcPr>
          <w:p w14:paraId="160E47B7">
            <w:pPr>
              <w:pStyle w:val="30"/>
              <w:spacing w:beforeLines="0" w:afterLines="0" w:line="240" w:lineRule="auto"/>
              <w:rPr>
                <w:rFonts w:hAnsi="宋体" w:cs="宋体"/>
                <w:snapToGrid w:val="0"/>
                <w:color w:val="auto"/>
                <w:kern w:val="21"/>
                <w:szCs w:val="21"/>
              </w:rPr>
            </w:pPr>
          </w:p>
        </w:tc>
        <w:tc>
          <w:tcPr>
            <w:tcW w:w="2340" w:type="dxa"/>
            <w:gridSpan w:val="2"/>
            <w:noWrap w:val="0"/>
            <w:vAlign w:val="center"/>
          </w:tcPr>
          <w:p w14:paraId="3962F0E3">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NH</w:t>
            </w:r>
            <w:r>
              <w:rPr>
                <w:rFonts w:hint="default" w:ascii="Times New Roman" w:hAnsi="Times New Roman" w:cs="Times New Roman"/>
                <w:color w:val="auto"/>
                <w:szCs w:val="21"/>
                <w:vertAlign w:val="subscript"/>
                <w:lang w:val="en-US" w:eastAsia="zh-CN"/>
              </w:rPr>
              <w:t>3</w:t>
            </w:r>
            <w:r>
              <w:rPr>
                <w:rFonts w:hint="default" w:ascii="Times New Roman" w:hAnsi="Times New Roman" w:cs="Times New Roman"/>
                <w:color w:val="auto"/>
                <w:szCs w:val="21"/>
                <w:lang w:val="en-US" w:eastAsia="zh-CN"/>
              </w:rPr>
              <w:t>-N</w:t>
            </w:r>
          </w:p>
        </w:tc>
        <w:tc>
          <w:tcPr>
            <w:tcW w:w="1499" w:type="dxa"/>
            <w:noWrap w:val="0"/>
            <w:vAlign w:val="center"/>
          </w:tcPr>
          <w:p w14:paraId="7973E63D">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0.0018</w:t>
            </w:r>
            <w:r>
              <w:rPr>
                <w:rFonts w:hint="default" w:ascii="Times New Roman" w:hAnsi="Times New Roman" w:cs="Times New Roman"/>
                <w:color w:val="auto"/>
                <w:szCs w:val="21"/>
                <w:lang w:val="en-US" w:eastAsia="zh-CN"/>
              </w:rPr>
              <w:t>t/a</w:t>
            </w:r>
          </w:p>
        </w:tc>
        <w:tc>
          <w:tcPr>
            <w:tcW w:w="1114" w:type="dxa"/>
            <w:noWrap w:val="0"/>
            <w:vAlign w:val="center"/>
          </w:tcPr>
          <w:p w14:paraId="7AAB333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0.0018</w:t>
            </w:r>
            <w:r>
              <w:rPr>
                <w:rFonts w:hint="default" w:ascii="Times New Roman" w:hAnsi="Times New Roman" w:cs="Times New Roman"/>
                <w:color w:val="auto"/>
                <w:szCs w:val="21"/>
                <w:lang w:val="en-US" w:eastAsia="zh-CN"/>
              </w:rPr>
              <w:t>t/a</w:t>
            </w:r>
          </w:p>
        </w:tc>
        <w:tc>
          <w:tcPr>
            <w:tcW w:w="1739" w:type="dxa"/>
            <w:noWrap w:val="0"/>
            <w:vAlign w:val="center"/>
          </w:tcPr>
          <w:p w14:paraId="798421DC">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49848181">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0.0018</w:t>
            </w:r>
            <w:r>
              <w:rPr>
                <w:rFonts w:hint="default" w:ascii="Times New Roman" w:hAnsi="Times New Roman" w:cs="Times New Roman"/>
                <w:color w:val="auto"/>
                <w:szCs w:val="21"/>
                <w:lang w:val="en-US" w:eastAsia="zh-CN"/>
              </w:rPr>
              <w:t>t/a</w:t>
            </w:r>
          </w:p>
        </w:tc>
        <w:tc>
          <w:tcPr>
            <w:tcW w:w="1404" w:type="dxa"/>
            <w:noWrap w:val="0"/>
            <w:vAlign w:val="center"/>
          </w:tcPr>
          <w:p w14:paraId="375523C7">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0.0018</w:t>
            </w:r>
            <w:r>
              <w:rPr>
                <w:rFonts w:hint="default" w:ascii="Times New Roman" w:hAnsi="Times New Roman" w:cs="Times New Roman"/>
                <w:color w:val="auto"/>
                <w:szCs w:val="21"/>
                <w:lang w:val="en-US" w:eastAsia="zh-CN"/>
              </w:rPr>
              <w:t>t/a</w:t>
            </w:r>
          </w:p>
        </w:tc>
        <w:tc>
          <w:tcPr>
            <w:tcW w:w="1770" w:type="dxa"/>
            <w:noWrap w:val="0"/>
            <w:vAlign w:val="center"/>
          </w:tcPr>
          <w:p w14:paraId="7080D85C">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0.0018</w:t>
            </w:r>
            <w:r>
              <w:rPr>
                <w:rFonts w:hint="default" w:ascii="Times New Roman" w:hAnsi="Times New Roman" w:cs="Times New Roman"/>
                <w:color w:val="auto"/>
                <w:szCs w:val="21"/>
                <w:lang w:val="en-US" w:eastAsia="zh-CN"/>
              </w:rPr>
              <w:t>t/a</w:t>
            </w:r>
          </w:p>
        </w:tc>
        <w:tc>
          <w:tcPr>
            <w:tcW w:w="1778" w:type="dxa"/>
            <w:noWrap w:val="0"/>
            <w:vAlign w:val="center"/>
          </w:tcPr>
          <w:p w14:paraId="221DC0B5">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0</w:t>
            </w:r>
          </w:p>
        </w:tc>
      </w:tr>
      <w:tr w14:paraId="01473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vMerge w:val="continue"/>
            <w:noWrap w:val="0"/>
            <w:vAlign w:val="center"/>
          </w:tcPr>
          <w:p w14:paraId="3C29A9E0">
            <w:pPr>
              <w:pStyle w:val="30"/>
              <w:spacing w:beforeLines="0" w:afterLines="0" w:line="240" w:lineRule="auto"/>
              <w:rPr>
                <w:rFonts w:hAnsi="宋体" w:cs="宋体"/>
                <w:snapToGrid w:val="0"/>
                <w:color w:val="auto"/>
                <w:kern w:val="21"/>
                <w:szCs w:val="21"/>
              </w:rPr>
            </w:pPr>
          </w:p>
        </w:tc>
        <w:tc>
          <w:tcPr>
            <w:tcW w:w="2340" w:type="dxa"/>
            <w:gridSpan w:val="2"/>
            <w:noWrap w:val="0"/>
            <w:vAlign w:val="center"/>
          </w:tcPr>
          <w:p w14:paraId="3D900CA5">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TN</w:t>
            </w:r>
          </w:p>
        </w:tc>
        <w:tc>
          <w:tcPr>
            <w:tcW w:w="1499" w:type="dxa"/>
            <w:noWrap w:val="0"/>
            <w:vAlign w:val="center"/>
          </w:tcPr>
          <w:p w14:paraId="3749ED94">
            <w:pPr>
              <w:keepNext w:val="0"/>
              <w:keepLines w:val="0"/>
              <w:widowControl/>
              <w:suppressLineNumbers w:val="0"/>
              <w:jc w:val="center"/>
              <w:textAlignment w:val="center"/>
              <w:rPr>
                <w:rFonts w:hint="eastAsia" w:ascii="Times New Roman" w:hAnsi="Times New Roman" w:eastAsia="宋体" w:cs="Times New Roman"/>
                <w:color w:val="auto"/>
                <w:szCs w:val="21"/>
                <w:lang w:val="en-US" w:eastAsia="zh-CN"/>
              </w:rPr>
            </w:pPr>
            <w:r>
              <w:rPr>
                <w:rFonts w:hint="eastAsia" w:cs="Times New Roman"/>
                <w:i w:val="0"/>
                <w:iCs w:val="0"/>
                <w:color w:val="000000"/>
                <w:kern w:val="0"/>
                <w:sz w:val="22"/>
                <w:szCs w:val="22"/>
                <w:u w:val="none"/>
                <w:lang w:val="en-US" w:eastAsia="zh-CN" w:bidi="ar"/>
              </w:rPr>
              <w:t>/</w:t>
            </w:r>
          </w:p>
        </w:tc>
        <w:tc>
          <w:tcPr>
            <w:tcW w:w="1114" w:type="dxa"/>
            <w:noWrap w:val="0"/>
            <w:vAlign w:val="center"/>
          </w:tcPr>
          <w:p w14:paraId="41A8686B">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cs="Times New Roman"/>
                <w:i w:val="0"/>
                <w:iCs w:val="0"/>
                <w:color w:val="000000"/>
                <w:kern w:val="0"/>
                <w:sz w:val="22"/>
                <w:szCs w:val="22"/>
                <w:u w:val="none"/>
                <w:lang w:val="en-US" w:eastAsia="zh-CN" w:bidi="ar"/>
              </w:rPr>
              <w:t>/</w:t>
            </w:r>
          </w:p>
        </w:tc>
        <w:tc>
          <w:tcPr>
            <w:tcW w:w="1739" w:type="dxa"/>
            <w:noWrap w:val="0"/>
            <w:vAlign w:val="center"/>
          </w:tcPr>
          <w:p w14:paraId="4703C397">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53434FAD">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0.0054</w:t>
            </w:r>
            <w:r>
              <w:rPr>
                <w:rFonts w:hint="default" w:ascii="Times New Roman" w:hAnsi="Times New Roman" w:cs="Times New Roman"/>
                <w:color w:val="auto"/>
                <w:szCs w:val="21"/>
                <w:lang w:val="en-US" w:eastAsia="zh-CN"/>
              </w:rPr>
              <w:t>t/a</w:t>
            </w:r>
          </w:p>
        </w:tc>
        <w:tc>
          <w:tcPr>
            <w:tcW w:w="1404" w:type="dxa"/>
            <w:noWrap w:val="0"/>
            <w:vAlign w:val="center"/>
          </w:tcPr>
          <w:p w14:paraId="68B8F1A5">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eastAsia" w:cs="Times New Roman"/>
                <w:i w:val="0"/>
                <w:iCs w:val="0"/>
                <w:color w:val="000000"/>
                <w:kern w:val="0"/>
                <w:sz w:val="22"/>
                <w:szCs w:val="22"/>
                <w:u w:val="none"/>
                <w:lang w:val="en-US" w:eastAsia="zh-CN" w:bidi="ar"/>
              </w:rPr>
              <w:t>/</w:t>
            </w:r>
          </w:p>
        </w:tc>
        <w:tc>
          <w:tcPr>
            <w:tcW w:w="1770" w:type="dxa"/>
            <w:noWrap w:val="0"/>
            <w:vAlign w:val="center"/>
          </w:tcPr>
          <w:p w14:paraId="1E6EF917">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0.0054</w:t>
            </w:r>
            <w:r>
              <w:rPr>
                <w:rFonts w:hint="default" w:ascii="Times New Roman" w:hAnsi="Times New Roman" w:cs="Times New Roman"/>
                <w:color w:val="auto"/>
                <w:szCs w:val="21"/>
                <w:lang w:val="en-US" w:eastAsia="zh-CN"/>
              </w:rPr>
              <w:t>t/a</w:t>
            </w:r>
          </w:p>
        </w:tc>
        <w:tc>
          <w:tcPr>
            <w:tcW w:w="1778" w:type="dxa"/>
            <w:noWrap w:val="0"/>
            <w:vAlign w:val="center"/>
          </w:tcPr>
          <w:p w14:paraId="15DEF5A0">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eastAsia" w:cs="Times New Roman"/>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0.00</w:t>
            </w:r>
            <w:r>
              <w:rPr>
                <w:rFonts w:hint="eastAsia" w:cs="Times New Roman"/>
                <w:i w:val="0"/>
                <w:iCs w:val="0"/>
                <w:color w:val="auto"/>
                <w:kern w:val="0"/>
                <w:sz w:val="22"/>
                <w:szCs w:val="22"/>
                <w:u w:val="none"/>
                <w:lang w:val="en-US" w:eastAsia="zh-CN" w:bidi="ar"/>
              </w:rPr>
              <w:t>5</w:t>
            </w:r>
            <w:r>
              <w:rPr>
                <w:rFonts w:hint="default" w:ascii="Times New Roman" w:hAnsi="Times New Roman" w:eastAsia="宋体" w:cs="Times New Roman"/>
                <w:i w:val="0"/>
                <w:iCs w:val="0"/>
                <w:color w:val="auto"/>
                <w:kern w:val="0"/>
                <w:sz w:val="22"/>
                <w:szCs w:val="22"/>
                <w:u w:val="none"/>
                <w:lang w:val="en-US" w:eastAsia="zh-CN" w:bidi="ar"/>
              </w:rPr>
              <w:t>4</w:t>
            </w:r>
            <w:r>
              <w:rPr>
                <w:rFonts w:hint="default" w:ascii="Times New Roman" w:hAnsi="Times New Roman" w:cs="Times New Roman"/>
                <w:color w:val="auto"/>
                <w:szCs w:val="21"/>
                <w:lang w:val="en-US" w:eastAsia="zh-CN"/>
              </w:rPr>
              <w:t>t/a</w:t>
            </w:r>
          </w:p>
        </w:tc>
      </w:tr>
      <w:tr w14:paraId="3A9449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vMerge w:val="continue"/>
            <w:noWrap w:val="0"/>
            <w:vAlign w:val="center"/>
          </w:tcPr>
          <w:p w14:paraId="3169A3AB">
            <w:pPr>
              <w:pStyle w:val="30"/>
              <w:spacing w:beforeLines="0" w:afterLines="0" w:line="240" w:lineRule="auto"/>
              <w:rPr>
                <w:rFonts w:hAnsi="宋体" w:cs="宋体"/>
                <w:snapToGrid w:val="0"/>
                <w:color w:val="auto"/>
                <w:kern w:val="21"/>
                <w:szCs w:val="21"/>
              </w:rPr>
            </w:pPr>
          </w:p>
        </w:tc>
        <w:tc>
          <w:tcPr>
            <w:tcW w:w="2340" w:type="dxa"/>
            <w:gridSpan w:val="2"/>
            <w:noWrap w:val="0"/>
            <w:vAlign w:val="center"/>
          </w:tcPr>
          <w:p w14:paraId="42174944">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TP</w:t>
            </w:r>
          </w:p>
        </w:tc>
        <w:tc>
          <w:tcPr>
            <w:tcW w:w="1499" w:type="dxa"/>
            <w:noWrap w:val="0"/>
            <w:vAlign w:val="center"/>
          </w:tcPr>
          <w:p w14:paraId="39DD7EAD">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default" w:ascii="Times New Roman" w:hAnsi="Times New Roman" w:cs="Times New Roman"/>
                <w:color w:val="auto"/>
                <w:szCs w:val="21"/>
                <w:lang w:val="en-US" w:eastAsia="zh-CN"/>
              </w:rPr>
              <w:t>t/a</w:t>
            </w:r>
          </w:p>
        </w:tc>
        <w:tc>
          <w:tcPr>
            <w:tcW w:w="1114" w:type="dxa"/>
            <w:noWrap w:val="0"/>
            <w:vAlign w:val="center"/>
          </w:tcPr>
          <w:p w14:paraId="73B62EF8">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default" w:ascii="Times New Roman" w:hAnsi="Times New Roman" w:cs="Times New Roman"/>
                <w:color w:val="auto"/>
                <w:szCs w:val="21"/>
                <w:lang w:val="en-US" w:eastAsia="zh-CN"/>
              </w:rPr>
              <w:t>t/a</w:t>
            </w:r>
          </w:p>
        </w:tc>
        <w:tc>
          <w:tcPr>
            <w:tcW w:w="1739" w:type="dxa"/>
            <w:noWrap w:val="0"/>
            <w:vAlign w:val="center"/>
          </w:tcPr>
          <w:p w14:paraId="23A0C8A9">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679F0102">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default" w:ascii="Times New Roman" w:hAnsi="Times New Roman" w:cs="Times New Roman"/>
                <w:color w:val="auto"/>
                <w:szCs w:val="21"/>
                <w:lang w:val="en-US" w:eastAsia="zh-CN"/>
              </w:rPr>
              <w:t>t/a</w:t>
            </w:r>
          </w:p>
        </w:tc>
        <w:tc>
          <w:tcPr>
            <w:tcW w:w="1404" w:type="dxa"/>
            <w:noWrap w:val="0"/>
            <w:vAlign w:val="center"/>
          </w:tcPr>
          <w:p w14:paraId="25EC5CA0">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default" w:ascii="Times New Roman" w:hAnsi="Times New Roman" w:cs="Times New Roman"/>
                <w:color w:val="auto"/>
                <w:szCs w:val="21"/>
                <w:lang w:val="en-US" w:eastAsia="zh-CN"/>
              </w:rPr>
              <w:t>t/a</w:t>
            </w:r>
          </w:p>
        </w:tc>
        <w:tc>
          <w:tcPr>
            <w:tcW w:w="1770" w:type="dxa"/>
            <w:noWrap w:val="0"/>
            <w:vAlign w:val="center"/>
          </w:tcPr>
          <w:p w14:paraId="2F0D087C">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default" w:ascii="Times New Roman" w:hAnsi="Times New Roman" w:cs="Times New Roman"/>
                <w:color w:val="auto"/>
                <w:szCs w:val="21"/>
                <w:lang w:val="en-US" w:eastAsia="zh-CN"/>
              </w:rPr>
              <w:t>t/a</w:t>
            </w:r>
          </w:p>
        </w:tc>
        <w:tc>
          <w:tcPr>
            <w:tcW w:w="1778" w:type="dxa"/>
            <w:noWrap w:val="0"/>
            <w:vAlign w:val="center"/>
          </w:tcPr>
          <w:p w14:paraId="2F648D1B">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0</w:t>
            </w:r>
          </w:p>
        </w:tc>
      </w:tr>
      <w:tr w14:paraId="084ABF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vMerge w:val="restart"/>
            <w:noWrap w:val="0"/>
            <w:vAlign w:val="center"/>
          </w:tcPr>
          <w:p w14:paraId="2186A51E">
            <w:pPr>
              <w:pStyle w:val="3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一般工业</w:t>
            </w:r>
          </w:p>
          <w:p w14:paraId="4A3F8E0B">
            <w:pPr>
              <w:pStyle w:val="3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固体废物</w:t>
            </w:r>
          </w:p>
        </w:tc>
        <w:tc>
          <w:tcPr>
            <w:tcW w:w="2340" w:type="dxa"/>
            <w:gridSpan w:val="2"/>
            <w:noWrap w:val="0"/>
            <w:vAlign w:val="center"/>
          </w:tcPr>
          <w:p w14:paraId="07B1E43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color w:val="auto"/>
                <w:szCs w:val="21"/>
                <w:lang w:val="en-US" w:eastAsia="zh-CN"/>
              </w:rPr>
            </w:pPr>
            <w:r>
              <w:rPr>
                <w:rFonts w:hint="eastAsia"/>
                <w:color w:val="auto"/>
                <w:sz w:val="21"/>
                <w:lang w:val="en-US" w:eastAsia="zh-CN"/>
              </w:rPr>
              <w:t>玻璃边角料</w:t>
            </w:r>
          </w:p>
        </w:tc>
        <w:tc>
          <w:tcPr>
            <w:tcW w:w="1499" w:type="dxa"/>
            <w:noWrap w:val="0"/>
            <w:vAlign w:val="center"/>
          </w:tcPr>
          <w:p w14:paraId="4BA2EFA8">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19.8</w:t>
            </w:r>
            <w:r>
              <w:rPr>
                <w:rFonts w:hint="default" w:ascii="Times New Roman" w:hAnsi="Times New Roman" w:cs="Times New Roman"/>
                <w:color w:val="auto"/>
                <w:szCs w:val="21"/>
                <w:lang w:val="en-US" w:eastAsia="zh-CN"/>
              </w:rPr>
              <w:t>t/a</w:t>
            </w:r>
          </w:p>
        </w:tc>
        <w:tc>
          <w:tcPr>
            <w:tcW w:w="1114" w:type="dxa"/>
            <w:noWrap w:val="0"/>
            <w:vAlign w:val="center"/>
          </w:tcPr>
          <w:p w14:paraId="19A2E921">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20.3</w:t>
            </w:r>
            <w:r>
              <w:rPr>
                <w:rFonts w:hint="default" w:ascii="Times New Roman" w:hAnsi="Times New Roman" w:cs="Times New Roman"/>
                <w:color w:val="auto"/>
                <w:szCs w:val="21"/>
                <w:lang w:val="en-US" w:eastAsia="zh-CN"/>
              </w:rPr>
              <w:t>t/a</w:t>
            </w:r>
          </w:p>
        </w:tc>
        <w:tc>
          <w:tcPr>
            <w:tcW w:w="1739" w:type="dxa"/>
            <w:noWrap w:val="0"/>
            <w:vAlign w:val="center"/>
          </w:tcPr>
          <w:p w14:paraId="3E60C0A5">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6E9768EE">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18"/>
                <w:lang w:val="en-US" w:eastAsia="zh-CN"/>
              </w:rPr>
              <w:t>81.2</w:t>
            </w:r>
            <w:r>
              <w:rPr>
                <w:rFonts w:hint="default" w:ascii="Times New Roman" w:hAnsi="Times New Roman" w:cs="Times New Roman"/>
                <w:color w:val="auto"/>
                <w:szCs w:val="21"/>
                <w:lang w:val="en-US" w:eastAsia="zh-CN"/>
              </w:rPr>
              <w:t>t/a</w:t>
            </w:r>
          </w:p>
        </w:tc>
        <w:tc>
          <w:tcPr>
            <w:tcW w:w="1404" w:type="dxa"/>
            <w:noWrap w:val="0"/>
            <w:vAlign w:val="center"/>
          </w:tcPr>
          <w:p w14:paraId="45230138">
            <w:pPr>
              <w:jc w:val="center"/>
              <w:rPr>
                <w:rFonts w:hint="eastAsia" w:ascii="Times New Roman" w:hAnsi="Times New Roman" w:cs="Times New Roman"/>
                <w:color w:val="auto"/>
                <w:szCs w:val="21"/>
                <w:lang w:val="en-US" w:eastAsia="zh-CN"/>
              </w:rPr>
            </w:pPr>
            <w:r>
              <w:rPr>
                <w:rFonts w:hint="eastAsia" w:cs="Times New Roman"/>
                <w:color w:val="auto"/>
                <w:szCs w:val="21"/>
                <w:lang w:val="en-US" w:eastAsia="zh-CN"/>
              </w:rPr>
              <w:t>19.8</w:t>
            </w:r>
            <w:r>
              <w:rPr>
                <w:rFonts w:hint="default" w:ascii="Times New Roman" w:hAnsi="Times New Roman" w:cs="Times New Roman"/>
                <w:color w:val="auto"/>
                <w:szCs w:val="21"/>
                <w:lang w:val="en-US" w:eastAsia="zh-CN"/>
              </w:rPr>
              <w:t>t/a</w:t>
            </w:r>
          </w:p>
        </w:tc>
        <w:tc>
          <w:tcPr>
            <w:tcW w:w="1770" w:type="dxa"/>
            <w:noWrap w:val="0"/>
            <w:vAlign w:val="center"/>
          </w:tcPr>
          <w:p w14:paraId="7EEE77F6">
            <w:pPr>
              <w:adjustRightInd w:val="0"/>
              <w:snapToGrid w:val="0"/>
              <w:jc w:val="center"/>
              <w:rPr>
                <w:rFonts w:hint="eastAsia" w:ascii="Times New Roman" w:hAnsi="Times New Roman" w:cs="Times New Roman"/>
                <w:color w:val="auto"/>
                <w:szCs w:val="21"/>
                <w:lang w:val="en-US" w:eastAsia="zh-CN"/>
              </w:rPr>
            </w:pPr>
            <w:r>
              <w:rPr>
                <w:rFonts w:hint="default" w:ascii="Times New Roman" w:hAnsi="Times New Roman" w:cs="Times New Roman"/>
                <w:color w:val="auto"/>
                <w:szCs w:val="18"/>
                <w:lang w:val="en-US" w:eastAsia="zh-CN"/>
              </w:rPr>
              <w:t>81.2</w:t>
            </w:r>
            <w:r>
              <w:rPr>
                <w:rFonts w:hint="default" w:ascii="Times New Roman" w:hAnsi="Times New Roman" w:cs="Times New Roman"/>
                <w:color w:val="auto"/>
                <w:szCs w:val="21"/>
                <w:lang w:val="en-US" w:eastAsia="zh-CN"/>
              </w:rPr>
              <w:t>t/a</w:t>
            </w:r>
          </w:p>
        </w:tc>
        <w:tc>
          <w:tcPr>
            <w:tcW w:w="1778" w:type="dxa"/>
            <w:noWrap w:val="0"/>
            <w:vAlign w:val="center"/>
          </w:tcPr>
          <w:p w14:paraId="6BED1938">
            <w:pPr>
              <w:adjustRightInd w:val="0"/>
              <w:snapToGrid w:val="0"/>
              <w:jc w:val="center"/>
              <w:rPr>
                <w:rFonts w:hint="eastAsia" w:ascii="Times New Roman" w:hAnsi="Times New Roman" w:cs="Times New Roman"/>
                <w:color w:val="auto"/>
                <w:szCs w:val="21"/>
                <w:lang w:val="en-US" w:eastAsia="zh-CN"/>
              </w:rPr>
            </w:pPr>
            <w:r>
              <w:rPr>
                <w:rFonts w:hint="eastAsia"/>
                <w:color w:val="auto"/>
                <w:szCs w:val="18"/>
                <w:lang w:val="en-US" w:eastAsia="zh-CN"/>
              </w:rPr>
              <w:t>+61.4</w:t>
            </w:r>
            <w:r>
              <w:rPr>
                <w:rFonts w:hint="default" w:ascii="Times New Roman" w:hAnsi="Times New Roman" w:cs="Times New Roman"/>
                <w:color w:val="auto"/>
                <w:szCs w:val="21"/>
                <w:lang w:val="en-US" w:eastAsia="zh-CN"/>
              </w:rPr>
              <w:t>t/a</w:t>
            </w:r>
          </w:p>
        </w:tc>
      </w:tr>
      <w:tr w14:paraId="3A13C1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vMerge w:val="continue"/>
            <w:noWrap w:val="0"/>
            <w:vAlign w:val="center"/>
          </w:tcPr>
          <w:p w14:paraId="3806CFD3">
            <w:pPr>
              <w:pStyle w:val="30"/>
              <w:spacing w:beforeLines="0" w:afterLines="0" w:line="240" w:lineRule="auto"/>
              <w:rPr>
                <w:rFonts w:hint="eastAsia" w:hAnsi="宋体" w:cs="宋体"/>
                <w:snapToGrid w:val="0"/>
                <w:color w:val="auto"/>
                <w:kern w:val="21"/>
                <w:szCs w:val="21"/>
              </w:rPr>
            </w:pPr>
          </w:p>
        </w:tc>
        <w:tc>
          <w:tcPr>
            <w:tcW w:w="2340" w:type="dxa"/>
            <w:gridSpan w:val="2"/>
            <w:noWrap w:val="0"/>
            <w:vAlign w:val="center"/>
          </w:tcPr>
          <w:p w14:paraId="5C31AF38">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cs="Times New Roman"/>
                <w:color w:val="auto"/>
                <w:szCs w:val="21"/>
                <w:lang w:val="en-US" w:eastAsia="zh-CN"/>
              </w:rPr>
            </w:pPr>
            <w:r>
              <w:rPr>
                <w:rFonts w:hint="eastAsia"/>
                <w:color w:val="auto"/>
                <w:sz w:val="21"/>
                <w:lang w:val="en-US" w:eastAsia="zh-CN"/>
              </w:rPr>
              <w:t>不合格品</w:t>
            </w:r>
          </w:p>
        </w:tc>
        <w:tc>
          <w:tcPr>
            <w:tcW w:w="1499" w:type="dxa"/>
            <w:noWrap w:val="0"/>
            <w:vAlign w:val="center"/>
          </w:tcPr>
          <w:p w14:paraId="157D8A79">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1</w:t>
            </w:r>
            <w:r>
              <w:rPr>
                <w:rFonts w:hint="default" w:ascii="Times New Roman" w:hAnsi="Times New Roman" w:cs="Times New Roman"/>
                <w:color w:val="auto"/>
                <w:szCs w:val="21"/>
                <w:lang w:val="en-US" w:eastAsia="zh-CN"/>
              </w:rPr>
              <w:t>t/a</w:t>
            </w:r>
          </w:p>
        </w:tc>
        <w:tc>
          <w:tcPr>
            <w:tcW w:w="1114" w:type="dxa"/>
            <w:noWrap w:val="0"/>
            <w:vAlign w:val="center"/>
          </w:tcPr>
          <w:p w14:paraId="30ED3CE1">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1</w:t>
            </w:r>
            <w:r>
              <w:rPr>
                <w:rFonts w:hint="default" w:ascii="Times New Roman" w:hAnsi="Times New Roman" w:cs="Times New Roman"/>
                <w:color w:val="auto"/>
                <w:szCs w:val="21"/>
                <w:lang w:val="en-US" w:eastAsia="zh-CN"/>
              </w:rPr>
              <w:t>t/a</w:t>
            </w:r>
          </w:p>
        </w:tc>
        <w:tc>
          <w:tcPr>
            <w:tcW w:w="1739" w:type="dxa"/>
            <w:noWrap w:val="0"/>
            <w:vAlign w:val="center"/>
          </w:tcPr>
          <w:p w14:paraId="4F03DC99">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0CF354EC">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18"/>
                <w:lang w:val="en-US" w:eastAsia="zh-CN"/>
              </w:rPr>
              <w:t>3.38</w:t>
            </w:r>
            <w:r>
              <w:rPr>
                <w:rFonts w:hint="default" w:ascii="Times New Roman" w:hAnsi="Times New Roman" w:cs="Times New Roman"/>
                <w:color w:val="auto"/>
                <w:szCs w:val="21"/>
                <w:lang w:val="en-US" w:eastAsia="zh-CN"/>
              </w:rPr>
              <w:t>t/a</w:t>
            </w:r>
          </w:p>
        </w:tc>
        <w:tc>
          <w:tcPr>
            <w:tcW w:w="1404" w:type="dxa"/>
            <w:noWrap w:val="0"/>
            <w:vAlign w:val="center"/>
          </w:tcPr>
          <w:p w14:paraId="744A2C8E">
            <w:pPr>
              <w:jc w:val="center"/>
              <w:rPr>
                <w:rFonts w:hint="eastAsia"/>
                <w:color w:val="auto"/>
                <w:szCs w:val="21"/>
                <w:lang w:val="en-US" w:eastAsia="zh-CN"/>
              </w:rPr>
            </w:pPr>
            <w:r>
              <w:rPr>
                <w:rFonts w:hint="eastAsia" w:cs="Times New Roman"/>
                <w:color w:val="auto"/>
                <w:szCs w:val="21"/>
                <w:lang w:val="en-US" w:eastAsia="zh-CN"/>
              </w:rPr>
              <w:t>1</w:t>
            </w:r>
            <w:r>
              <w:rPr>
                <w:rFonts w:hint="default" w:ascii="Times New Roman" w:hAnsi="Times New Roman" w:cs="Times New Roman"/>
                <w:color w:val="auto"/>
                <w:szCs w:val="21"/>
                <w:lang w:val="en-US" w:eastAsia="zh-CN"/>
              </w:rPr>
              <w:t>t/a</w:t>
            </w:r>
          </w:p>
        </w:tc>
        <w:tc>
          <w:tcPr>
            <w:tcW w:w="1770" w:type="dxa"/>
            <w:noWrap w:val="0"/>
            <w:vAlign w:val="center"/>
          </w:tcPr>
          <w:p w14:paraId="0A8FA15D">
            <w:pPr>
              <w:adjustRightInd w:val="0"/>
              <w:snapToGrid w:val="0"/>
              <w:jc w:val="center"/>
              <w:rPr>
                <w:rFonts w:hint="eastAsia" w:ascii="Times New Roman" w:hAnsi="Times New Roman" w:cs="Times New Roman"/>
                <w:color w:val="auto"/>
                <w:szCs w:val="21"/>
                <w:lang w:val="en-US" w:eastAsia="zh-CN"/>
              </w:rPr>
            </w:pPr>
            <w:r>
              <w:rPr>
                <w:rFonts w:hint="default" w:ascii="Times New Roman" w:hAnsi="Times New Roman" w:cs="Times New Roman"/>
                <w:color w:val="auto"/>
                <w:szCs w:val="18"/>
                <w:lang w:val="en-US" w:eastAsia="zh-CN"/>
              </w:rPr>
              <w:t>3.38</w:t>
            </w:r>
            <w:r>
              <w:rPr>
                <w:rFonts w:hint="default" w:ascii="Times New Roman" w:hAnsi="Times New Roman" w:cs="Times New Roman"/>
                <w:color w:val="auto"/>
                <w:szCs w:val="21"/>
                <w:lang w:val="en-US" w:eastAsia="zh-CN"/>
              </w:rPr>
              <w:t>t/a</w:t>
            </w:r>
          </w:p>
        </w:tc>
        <w:tc>
          <w:tcPr>
            <w:tcW w:w="1778" w:type="dxa"/>
            <w:noWrap w:val="0"/>
            <w:vAlign w:val="center"/>
          </w:tcPr>
          <w:p w14:paraId="1CCE4571">
            <w:pPr>
              <w:adjustRightInd w:val="0"/>
              <w:snapToGrid w:val="0"/>
              <w:jc w:val="center"/>
              <w:rPr>
                <w:rFonts w:hint="eastAsia" w:ascii="Times New Roman" w:hAnsi="Times New Roman" w:cs="Times New Roman"/>
                <w:color w:val="auto"/>
                <w:szCs w:val="21"/>
                <w:lang w:val="en-US" w:eastAsia="zh-CN"/>
              </w:rPr>
            </w:pPr>
            <w:r>
              <w:rPr>
                <w:rFonts w:hint="eastAsia"/>
                <w:color w:val="auto"/>
                <w:szCs w:val="18"/>
                <w:lang w:val="en-US" w:eastAsia="zh-CN"/>
              </w:rPr>
              <w:t>+2.38</w:t>
            </w:r>
            <w:r>
              <w:rPr>
                <w:rFonts w:hint="default" w:ascii="Times New Roman" w:hAnsi="Times New Roman" w:cs="Times New Roman"/>
                <w:color w:val="auto"/>
                <w:szCs w:val="21"/>
                <w:lang w:val="en-US" w:eastAsia="zh-CN"/>
              </w:rPr>
              <w:t>t/a</w:t>
            </w:r>
          </w:p>
        </w:tc>
      </w:tr>
      <w:tr w14:paraId="1C436C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vMerge w:val="continue"/>
            <w:noWrap w:val="0"/>
            <w:vAlign w:val="center"/>
          </w:tcPr>
          <w:p w14:paraId="07B5205C">
            <w:pPr>
              <w:pStyle w:val="30"/>
              <w:spacing w:beforeLines="0" w:afterLines="0" w:line="240" w:lineRule="auto"/>
              <w:rPr>
                <w:rFonts w:hint="eastAsia" w:hAnsi="宋体" w:cs="宋体"/>
                <w:snapToGrid w:val="0"/>
                <w:color w:val="auto"/>
                <w:kern w:val="21"/>
                <w:szCs w:val="21"/>
              </w:rPr>
            </w:pPr>
          </w:p>
        </w:tc>
        <w:tc>
          <w:tcPr>
            <w:tcW w:w="2340" w:type="dxa"/>
            <w:gridSpan w:val="2"/>
            <w:noWrap w:val="0"/>
            <w:vAlign w:val="center"/>
          </w:tcPr>
          <w:p w14:paraId="1D0D2BEF">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b w:val="0"/>
                <w:color w:val="auto"/>
                <w:sz w:val="21"/>
                <w:szCs w:val="18"/>
                <w:lang w:val="en-US" w:eastAsia="zh-CN"/>
              </w:rPr>
            </w:pPr>
            <w:r>
              <w:rPr>
                <w:rFonts w:hint="eastAsia"/>
                <w:color w:val="auto"/>
                <w:sz w:val="21"/>
                <w:lang w:val="en-US" w:eastAsia="zh-CN"/>
              </w:rPr>
              <w:t>沉渣</w:t>
            </w:r>
          </w:p>
        </w:tc>
        <w:tc>
          <w:tcPr>
            <w:tcW w:w="1499" w:type="dxa"/>
            <w:noWrap w:val="0"/>
            <w:vAlign w:val="center"/>
          </w:tcPr>
          <w:p w14:paraId="664CF845">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1E18DD78">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7BB675CE">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0DF714B4">
            <w:pPr>
              <w:adjustRightInd w:val="0"/>
              <w:snapToGrid w:val="0"/>
              <w:jc w:val="center"/>
              <w:rPr>
                <w:rFonts w:hint="default" w:ascii="Times New Roman" w:hAnsi="Times New Roman" w:cs="Times New Roman"/>
                <w:color w:val="auto"/>
                <w:szCs w:val="18"/>
                <w:lang w:val="en-US" w:eastAsia="zh-CN"/>
              </w:rPr>
            </w:pPr>
            <w:r>
              <w:rPr>
                <w:rFonts w:hint="default" w:ascii="Times New Roman" w:hAnsi="Times New Roman" w:cs="Times New Roman"/>
                <w:color w:val="auto"/>
                <w:szCs w:val="18"/>
                <w:lang w:val="en-US" w:eastAsia="zh-CN"/>
              </w:rPr>
              <w:t>1.56</w:t>
            </w:r>
            <w:r>
              <w:rPr>
                <w:rFonts w:hint="default" w:ascii="Times New Roman" w:hAnsi="Times New Roman" w:cs="Times New Roman"/>
                <w:color w:val="auto"/>
                <w:szCs w:val="21"/>
                <w:lang w:val="en-US" w:eastAsia="zh-CN"/>
              </w:rPr>
              <w:t>t/a</w:t>
            </w:r>
          </w:p>
        </w:tc>
        <w:tc>
          <w:tcPr>
            <w:tcW w:w="1404" w:type="dxa"/>
            <w:noWrap w:val="0"/>
            <w:vAlign w:val="center"/>
          </w:tcPr>
          <w:p w14:paraId="0B92384D">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37ADEF7B">
            <w:pPr>
              <w:adjustRightInd w:val="0"/>
              <w:snapToGrid w:val="0"/>
              <w:jc w:val="center"/>
              <w:rPr>
                <w:rFonts w:hint="eastAsia"/>
                <w:color w:val="auto"/>
                <w:szCs w:val="18"/>
                <w:lang w:val="en-US" w:eastAsia="zh-CN"/>
              </w:rPr>
            </w:pPr>
            <w:r>
              <w:rPr>
                <w:rFonts w:hint="default" w:ascii="Times New Roman" w:hAnsi="Times New Roman" w:cs="Times New Roman"/>
                <w:color w:val="auto"/>
                <w:szCs w:val="18"/>
                <w:lang w:val="en-US" w:eastAsia="zh-CN"/>
              </w:rPr>
              <w:t>1.56</w:t>
            </w:r>
            <w:r>
              <w:rPr>
                <w:rFonts w:hint="default" w:ascii="Times New Roman" w:hAnsi="Times New Roman" w:cs="Times New Roman"/>
                <w:color w:val="auto"/>
                <w:szCs w:val="21"/>
                <w:lang w:val="en-US" w:eastAsia="zh-CN"/>
              </w:rPr>
              <w:t>t/a</w:t>
            </w:r>
          </w:p>
        </w:tc>
        <w:tc>
          <w:tcPr>
            <w:tcW w:w="1778" w:type="dxa"/>
            <w:noWrap w:val="0"/>
            <w:vAlign w:val="center"/>
          </w:tcPr>
          <w:p w14:paraId="2D9880CA">
            <w:pPr>
              <w:adjustRightInd w:val="0"/>
              <w:snapToGrid w:val="0"/>
              <w:jc w:val="center"/>
              <w:rPr>
                <w:rFonts w:hint="eastAsia"/>
                <w:color w:val="auto"/>
                <w:szCs w:val="18"/>
                <w:lang w:val="en-US" w:eastAsia="zh-CN"/>
              </w:rPr>
            </w:pPr>
            <w:r>
              <w:rPr>
                <w:rFonts w:hint="eastAsia"/>
                <w:color w:val="auto"/>
                <w:szCs w:val="18"/>
                <w:lang w:val="en-US" w:eastAsia="zh-CN"/>
              </w:rPr>
              <w:t>+1.56</w:t>
            </w:r>
            <w:r>
              <w:rPr>
                <w:rFonts w:hint="default" w:ascii="Times New Roman" w:hAnsi="Times New Roman" w:cs="Times New Roman"/>
                <w:color w:val="auto"/>
                <w:szCs w:val="21"/>
                <w:lang w:val="en-US" w:eastAsia="zh-CN"/>
              </w:rPr>
              <w:t>t/a</w:t>
            </w:r>
          </w:p>
        </w:tc>
      </w:tr>
      <w:tr w14:paraId="14FD3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vMerge w:val="continue"/>
            <w:noWrap w:val="0"/>
            <w:vAlign w:val="center"/>
          </w:tcPr>
          <w:p w14:paraId="5C1782E1">
            <w:pPr>
              <w:pStyle w:val="30"/>
              <w:spacing w:beforeLines="0" w:afterLines="0" w:line="240" w:lineRule="auto"/>
              <w:rPr>
                <w:rFonts w:hint="eastAsia" w:hAnsi="宋体" w:cs="宋体"/>
                <w:snapToGrid w:val="0"/>
                <w:color w:val="auto"/>
                <w:kern w:val="21"/>
                <w:szCs w:val="21"/>
              </w:rPr>
            </w:pPr>
          </w:p>
        </w:tc>
        <w:tc>
          <w:tcPr>
            <w:tcW w:w="2340" w:type="dxa"/>
            <w:gridSpan w:val="2"/>
            <w:noWrap w:val="0"/>
            <w:vAlign w:val="center"/>
          </w:tcPr>
          <w:p w14:paraId="7104AAD6">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cs="Times New Roman"/>
                <w:b w:val="0"/>
                <w:color w:val="auto"/>
                <w:sz w:val="21"/>
                <w:szCs w:val="18"/>
                <w:lang w:val="en-US" w:eastAsia="zh-CN"/>
              </w:rPr>
            </w:pPr>
            <w:r>
              <w:rPr>
                <w:rFonts w:hint="eastAsia"/>
                <w:color w:val="auto"/>
                <w:sz w:val="21"/>
                <w:lang w:val="en-US" w:eastAsia="zh-CN"/>
              </w:rPr>
              <w:t>废包装材料</w:t>
            </w:r>
          </w:p>
        </w:tc>
        <w:tc>
          <w:tcPr>
            <w:tcW w:w="1499" w:type="dxa"/>
            <w:noWrap w:val="0"/>
            <w:vAlign w:val="center"/>
          </w:tcPr>
          <w:p w14:paraId="41DEB85E">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0.01</w:t>
            </w:r>
            <w:r>
              <w:rPr>
                <w:rFonts w:hint="default" w:ascii="Times New Roman" w:hAnsi="Times New Roman" w:cs="Times New Roman"/>
                <w:color w:val="auto"/>
                <w:szCs w:val="21"/>
                <w:lang w:val="en-US" w:eastAsia="zh-CN"/>
              </w:rPr>
              <w:t>t/a</w:t>
            </w:r>
          </w:p>
        </w:tc>
        <w:tc>
          <w:tcPr>
            <w:tcW w:w="1114" w:type="dxa"/>
            <w:noWrap w:val="0"/>
            <w:vAlign w:val="center"/>
          </w:tcPr>
          <w:p w14:paraId="7B891208">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0.01</w:t>
            </w:r>
            <w:r>
              <w:rPr>
                <w:rFonts w:hint="default" w:ascii="Times New Roman" w:hAnsi="Times New Roman" w:cs="Times New Roman"/>
                <w:color w:val="auto"/>
                <w:szCs w:val="21"/>
                <w:lang w:val="en-US" w:eastAsia="zh-CN"/>
              </w:rPr>
              <w:t>t/a</w:t>
            </w:r>
          </w:p>
        </w:tc>
        <w:tc>
          <w:tcPr>
            <w:tcW w:w="1739" w:type="dxa"/>
            <w:noWrap w:val="0"/>
            <w:vAlign w:val="center"/>
          </w:tcPr>
          <w:p w14:paraId="049720A6">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6D90D133">
            <w:pPr>
              <w:adjustRightInd w:val="0"/>
              <w:snapToGrid w:val="0"/>
              <w:jc w:val="center"/>
              <w:rPr>
                <w:rFonts w:hint="default" w:ascii="Times New Roman" w:hAnsi="Times New Roman" w:cs="Times New Roman"/>
                <w:color w:val="auto"/>
                <w:szCs w:val="18"/>
                <w:lang w:val="en-US" w:eastAsia="zh-CN"/>
              </w:rPr>
            </w:pPr>
            <w:r>
              <w:rPr>
                <w:rFonts w:hint="default" w:ascii="Times New Roman" w:hAnsi="Times New Roman" w:cs="Times New Roman"/>
                <w:color w:val="auto"/>
                <w:szCs w:val="18"/>
                <w:lang w:val="en-US" w:eastAsia="zh-CN"/>
              </w:rPr>
              <w:t>0.02</w:t>
            </w:r>
            <w:r>
              <w:rPr>
                <w:rFonts w:hint="default" w:ascii="Times New Roman" w:hAnsi="Times New Roman" w:cs="Times New Roman"/>
                <w:color w:val="auto"/>
                <w:szCs w:val="21"/>
                <w:lang w:val="en-US" w:eastAsia="zh-CN"/>
              </w:rPr>
              <w:t>t/a</w:t>
            </w:r>
          </w:p>
        </w:tc>
        <w:tc>
          <w:tcPr>
            <w:tcW w:w="1404" w:type="dxa"/>
            <w:noWrap w:val="0"/>
            <w:vAlign w:val="center"/>
          </w:tcPr>
          <w:p w14:paraId="78F00C02">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0.01</w:t>
            </w:r>
            <w:r>
              <w:rPr>
                <w:rFonts w:hint="default" w:ascii="Times New Roman" w:hAnsi="Times New Roman" w:cs="Times New Roman"/>
                <w:color w:val="auto"/>
                <w:szCs w:val="21"/>
                <w:lang w:val="en-US" w:eastAsia="zh-CN"/>
              </w:rPr>
              <w:t>t/a</w:t>
            </w:r>
          </w:p>
        </w:tc>
        <w:tc>
          <w:tcPr>
            <w:tcW w:w="1770" w:type="dxa"/>
            <w:noWrap w:val="0"/>
            <w:vAlign w:val="center"/>
          </w:tcPr>
          <w:p w14:paraId="3E4DBF48">
            <w:pPr>
              <w:adjustRightInd w:val="0"/>
              <w:snapToGrid w:val="0"/>
              <w:jc w:val="center"/>
              <w:rPr>
                <w:rFonts w:hint="eastAsia"/>
                <w:color w:val="auto"/>
                <w:szCs w:val="18"/>
                <w:lang w:val="en-US" w:eastAsia="zh-CN"/>
              </w:rPr>
            </w:pPr>
            <w:r>
              <w:rPr>
                <w:rFonts w:hint="default" w:ascii="Times New Roman" w:hAnsi="Times New Roman" w:cs="Times New Roman"/>
                <w:color w:val="auto"/>
                <w:szCs w:val="18"/>
                <w:lang w:val="en-US" w:eastAsia="zh-CN"/>
              </w:rPr>
              <w:t>0.02</w:t>
            </w:r>
            <w:r>
              <w:rPr>
                <w:rFonts w:hint="default" w:ascii="Times New Roman" w:hAnsi="Times New Roman" w:cs="Times New Roman"/>
                <w:color w:val="auto"/>
                <w:szCs w:val="21"/>
                <w:lang w:val="en-US" w:eastAsia="zh-CN"/>
              </w:rPr>
              <w:t>t/a</w:t>
            </w:r>
          </w:p>
        </w:tc>
        <w:tc>
          <w:tcPr>
            <w:tcW w:w="1778" w:type="dxa"/>
            <w:noWrap w:val="0"/>
            <w:vAlign w:val="center"/>
          </w:tcPr>
          <w:p w14:paraId="78F25274">
            <w:pPr>
              <w:adjustRightInd w:val="0"/>
              <w:snapToGrid w:val="0"/>
              <w:jc w:val="center"/>
              <w:rPr>
                <w:rFonts w:hint="default"/>
                <w:color w:val="auto"/>
                <w:szCs w:val="18"/>
                <w:lang w:val="en-US" w:eastAsia="zh-CN"/>
              </w:rPr>
            </w:pPr>
            <w:r>
              <w:rPr>
                <w:rFonts w:hint="eastAsia"/>
                <w:color w:val="auto"/>
                <w:szCs w:val="18"/>
                <w:lang w:val="en-US" w:eastAsia="zh-CN"/>
              </w:rPr>
              <w:t>+0.01</w:t>
            </w:r>
            <w:r>
              <w:rPr>
                <w:rFonts w:hint="default" w:ascii="Times New Roman" w:hAnsi="Times New Roman" w:cs="Times New Roman"/>
                <w:color w:val="auto"/>
                <w:szCs w:val="21"/>
                <w:lang w:val="en-US" w:eastAsia="zh-CN"/>
              </w:rPr>
              <w:t>t/a</w:t>
            </w:r>
          </w:p>
        </w:tc>
      </w:tr>
      <w:tr w14:paraId="1AD3D5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vMerge w:val="continue"/>
            <w:noWrap w:val="0"/>
            <w:vAlign w:val="center"/>
          </w:tcPr>
          <w:p w14:paraId="2477C55D">
            <w:pPr>
              <w:pStyle w:val="30"/>
              <w:spacing w:beforeLines="0" w:afterLines="0" w:line="240" w:lineRule="auto"/>
              <w:rPr>
                <w:rFonts w:hint="eastAsia" w:hAnsi="宋体" w:cs="宋体"/>
                <w:snapToGrid w:val="0"/>
                <w:color w:val="auto"/>
                <w:kern w:val="21"/>
                <w:szCs w:val="21"/>
              </w:rPr>
            </w:pPr>
          </w:p>
        </w:tc>
        <w:tc>
          <w:tcPr>
            <w:tcW w:w="2340" w:type="dxa"/>
            <w:gridSpan w:val="2"/>
            <w:noWrap w:val="0"/>
            <w:vAlign w:val="center"/>
          </w:tcPr>
          <w:p w14:paraId="7A708169">
            <w:pPr>
              <w:pStyle w:val="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cs="Times New Roman"/>
                <w:b w:val="0"/>
                <w:color w:val="auto"/>
                <w:sz w:val="21"/>
                <w:szCs w:val="18"/>
                <w:lang w:val="en-US" w:eastAsia="zh-CN"/>
              </w:rPr>
            </w:pPr>
            <w:r>
              <w:rPr>
                <w:rFonts w:hint="eastAsia"/>
                <w:color w:val="auto"/>
                <w:sz w:val="21"/>
                <w:lang w:val="en-US" w:eastAsia="zh-CN"/>
              </w:rPr>
              <w:t>铝边角料</w:t>
            </w:r>
          </w:p>
        </w:tc>
        <w:tc>
          <w:tcPr>
            <w:tcW w:w="1499" w:type="dxa"/>
            <w:noWrap w:val="0"/>
            <w:vAlign w:val="center"/>
          </w:tcPr>
          <w:p w14:paraId="4AC6CE5D">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114" w:type="dxa"/>
            <w:noWrap w:val="0"/>
            <w:vAlign w:val="center"/>
          </w:tcPr>
          <w:p w14:paraId="5350950F">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39" w:type="dxa"/>
            <w:noWrap w:val="0"/>
            <w:vAlign w:val="center"/>
          </w:tcPr>
          <w:p w14:paraId="3850E3CF">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779E2FB9">
            <w:pPr>
              <w:adjustRightInd w:val="0"/>
              <w:snapToGrid w:val="0"/>
              <w:jc w:val="center"/>
              <w:rPr>
                <w:rFonts w:hint="default" w:ascii="Times New Roman" w:hAnsi="Times New Roman" w:cs="Times New Roman"/>
                <w:color w:val="auto"/>
                <w:szCs w:val="18"/>
                <w:lang w:val="en-US" w:eastAsia="zh-CN"/>
              </w:rPr>
            </w:pPr>
            <w:r>
              <w:rPr>
                <w:rFonts w:hint="default" w:ascii="Times New Roman" w:hAnsi="Times New Roman" w:cs="Times New Roman"/>
                <w:color w:val="auto"/>
                <w:szCs w:val="18"/>
                <w:lang w:val="en-US" w:eastAsia="zh-CN"/>
              </w:rPr>
              <w:t>0.04</w:t>
            </w:r>
            <w:r>
              <w:rPr>
                <w:rFonts w:hint="default" w:ascii="Times New Roman" w:hAnsi="Times New Roman" w:cs="Times New Roman"/>
                <w:color w:val="auto"/>
                <w:szCs w:val="21"/>
                <w:lang w:val="en-US" w:eastAsia="zh-CN"/>
              </w:rPr>
              <w:t>t/a</w:t>
            </w:r>
          </w:p>
        </w:tc>
        <w:tc>
          <w:tcPr>
            <w:tcW w:w="1404" w:type="dxa"/>
            <w:noWrap w:val="0"/>
            <w:vAlign w:val="center"/>
          </w:tcPr>
          <w:p w14:paraId="71085DA6">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770" w:type="dxa"/>
            <w:noWrap w:val="0"/>
            <w:vAlign w:val="center"/>
          </w:tcPr>
          <w:p w14:paraId="151601E1">
            <w:pPr>
              <w:adjustRightInd w:val="0"/>
              <w:snapToGrid w:val="0"/>
              <w:jc w:val="center"/>
              <w:rPr>
                <w:rFonts w:hint="eastAsia"/>
                <w:color w:val="auto"/>
                <w:szCs w:val="18"/>
                <w:lang w:val="en-US" w:eastAsia="zh-CN"/>
              </w:rPr>
            </w:pPr>
            <w:r>
              <w:rPr>
                <w:rFonts w:hint="default" w:ascii="Times New Roman" w:hAnsi="Times New Roman" w:cs="Times New Roman"/>
                <w:color w:val="auto"/>
                <w:szCs w:val="18"/>
                <w:lang w:val="en-US" w:eastAsia="zh-CN"/>
              </w:rPr>
              <w:t>0.04</w:t>
            </w:r>
            <w:r>
              <w:rPr>
                <w:rFonts w:hint="default" w:ascii="Times New Roman" w:hAnsi="Times New Roman" w:cs="Times New Roman"/>
                <w:color w:val="auto"/>
                <w:szCs w:val="21"/>
                <w:lang w:val="en-US" w:eastAsia="zh-CN"/>
              </w:rPr>
              <w:t>t/a</w:t>
            </w:r>
          </w:p>
        </w:tc>
        <w:tc>
          <w:tcPr>
            <w:tcW w:w="1778" w:type="dxa"/>
            <w:noWrap w:val="0"/>
            <w:vAlign w:val="center"/>
          </w:tcPr>
          <w:p w14:paraId="1AC5DD9A">
            <w:pPr>
              <w:adjustRightInd w:val="0"/>
              <w:snapToGrid w:val="0"/>
              <w:jc w:val="center"/>
              <w:rPr>
                <w:rFonts w:hint="default"/>
                <w:color w:val="auto"/>
                <w:szCs w:val="18"/>
                <w:lang w:val="en-US" w:eastAsia="zh-CN"/>
              </w:rPr>
            </w:pPr>
            <w:r>
              <w:rPr>
                <w:rFonts w:hint="eastAsia"/>
                <w:color w:val="auto"/>
                <w:szCs w:val="18"/>
                <w:lang w:val="en-US" w:eastAsia="zh-CN"/>
              </w:rPr>
              <w:t>+0.04</w:t>
            </w:r>
            <w:r>
              <w:rPr>
                <w:rFonts w:hint="default" w:ascii="Times New Roman" w:hAnsi="Times New Roman" w:cs="Times New Roman"/>
                <w:color w:val="auto"/>
                <w:szCs w:val="21"/>
                <w:lang w:val="en-US" w:eastAsia="zh-CN"/>
              </w:rPr>
              <w:t>t/a</w:t>
            </w:r>
          </w:p>
        </w:tc>
      </w:tr>
      <w:tr w14:paraId="696AA8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vMerge w:val="continue"/>
            <w:noWrap w:val="0"/>
            <w:vAlign w:val="center"/>
          </w:tcPr>
          <w:p w14:paraId="759F0AFC">
            <w:pPr>
              <w:pStyle w:val="30"/>
              <w:spacing w:beforeLines="0" w:afterLines="0" w:line="240" w:lineRule="auto"/>
              <w:rPr>
                <w:rFonts w:hint="eastAsia" w:hAnsi="宋体" w:cs="宋体"/>
                <w:snapToGrid w:val="0"/>
                <w:color w:val="auto"/>
                <w:kern w:val="21"/>
                <w:szCs w:val="21"/>
              </w:rPr>
            </w:pPr>
          </w:p>
        </w:tc>
        <w:tc>
          <w:tcPr>
            <w:tcW w:w="2340" w:type="dxa"/>
            <w:gridSpan w:val="2"/>
            <w:noWrap w:val="0"/>
            <w:vAlign w:val="center"/>
          </w:tcPr>
          <w:p w14:paraId="0B2C4FEB">
            <w:pPr>
              <w:pStyle w:val="30"/>
              <w:bidi w:val="0"/>
              <w:ind w:firstLine="0" w:firstLineChars="0"/>
              <w:rPr>
                <w:rFonts w:hint="eastAsia" w:ascii="Times New Roman" w:hAnsi="Times New Roman" w:cs="Times New Roman"/>
                <w:b w:val="0"/>
                <w:color w:val="auto"/>
                <w:sz w:val="21"/>
                <w:szCs w:val="18"/>
                <w:lang w:val="en-US" w:eastAsia="zh-CN"/>
              </w:rPr>
            </w:pPr>
            <w:r>
              <w:rPr>
                <w:rFonts w:hint="eastAsia"/>
                <w:color w:val="auto"/>
                <w:lang w:val="en-US" w:eastAsia="zh-CN"/>
              </w:rPr>
              <w:t>废硅酮胶包装桶</w:t>
            </w:r>
          </w:p>
        </w:tc>
        <w:tc>
          <w:tcPr>
            <w:tcW w:w="1499" w:type="dxa"/>
            <w:noWrap w:val="0"/>
            <w:vAlign w:val="center"/>
          </w:tcPr>
          <w:p w14:paraId="2742AA1D">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0.1</w:t>
            </w:r>
            <w:r>
              <w:rPr>
                <w:rFonts w:hint="default" w:ascii="Times New Roman" w:hAnsi="Times New Roman" w:cs="Times New Roman"/>
                <w:color w:val="auto"/>
                <w:szCs w:val="21"/>
                <w:lang w:val="en-US" w:eastAsia="zh-CN"/>
              </w:rPr>
              <w:t>t/a</w:t>
            </w:r>
          </w:p>
        </w:tc>
        <w:tc>
          <w:tcPr>
            <w:tcW w:w="1114" w:type="dxa"/>
            <w:noWrap w:val="0"/>
            <w:vAlign w:val="center"/>
          </w:tcPr>
          <w:p w14:paraId="14018654">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0.1</w:t>
            </w:r>
            <w:r>
              <w:rPr>
                <w:rFonts w:hint="default" w:ascii="Times New Roman" w:hAnsi="Times New Roman" w:cs="Times New Roman"/>
                <w:color w:val="auto"/>
                <w:szCs w:val="21"/>
                <w:lang w:val="en-US" w:eastAsia="zh-CN"/>
              </w:rPr>
              <w:t>t/a</w:t>
            </w:r>
          </w:p>
        </w:tc>
        <w:tc>
          <w:tcPr>
            <w:tcW w:w="1739" w:type="dxa"/>
            <w:noWrap w:val="0"/>
            <w:vAlign w:val="center"/>
          </w:tcPr>
          <w:p w14:paraId="449593C6">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5729FEB4">
            <w:pPr>
              <w:adjustRightInd w:val="0"/>
              <w:snapToGrid w:val="0"/>
              <w:jc w:val="center"/>
              <w:rPr>
                <w:rFonts w:hint="default" w:ascii="Times New Roman" w:hAnsi="Times New Roman" w:cs="Times New Roman"/>
                <w:color w:val="auto"/>
                <w:szCs w:val="18"/>
                <w:lang w:val="en-US" w:eastAsia="zh-CN"/>
              </w:rPr>
            </w:pPr>
            <w:r>
              <w:rPr>
                <w:rFonts w:hint="default" w:ascii="Times New Roman" w:hAnsi="Times New Roman" w:cs="Times New Roman"/>
                <w:color w:val="auto"/>
                <w:szCs w:val="18"/>
                <w:lang w:val="en-US" w:eastAsia="zh-CN"/>
              </w:rPr>
              <w:t>0.2</w:t>
            </w:r>
            <w:r>
              <w:rPr>
                <w:rFonts w:hint="default" w:ascii="Times New Roman" w:hAnsi="Times New Roman" w:cs="Times New Roman"/>
                <w:color w:val="auto"/>
                <w:szCs w:val="21"/>
                <w:lang w:val="en-US" w:eastAsia="zh-CN"/>
              </w:rPr>
              <w:t>t/a</w:t>
            </w:r>
          </w:p>
        </w:tc>
        <w:tc>
          <w:tcPr>
            <w:tcW w:w="1404" w:type="dxa"/>
            <w:noWrap w:val="0"/>
            <w:vAlign w:val="center"/>
          </w:tcPr>
          <w:p w14:paraId="3A1F407D">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0.1</w:t>
            </w:r>
            <w:r>
              <w:rPr>
                <w:rFonts w:hint="default" w:ascii="Times New Roman" w:hAnsi="Times New Roman" w:cs="Times New Roman"/>
                <w:color w:val="auto"/>
                <w:szCs w:val="21"/>
                <w:lang w:val="en-US" w:eastAsia="zh-CN"/>
              </w:rPr>
              <w:t>t/a</w:t>
            </w:r>
          </w:p>
        </w:tc>
        <w:tc>
          <w:tcPr>
            <w:tcW w:w="1770" w:type="dxa"/>
            <w:noWrap w:val="0"/>
            <w:vAlign w:val="center"/>
          </w:tcPr>
          <w:p w14:paraId="321C8C4A">
            <w:pPr>
              <w:adjustRightInd w:val="0"/>
              <w:snapToGrid w:val="0"/>
              <w:jc w:val="center"/>
              <w:rPr>
                <w:rFonts w:hint="eastAsia"/>
                <w:color w:val="auto"/>
                <w:szCs w:val="18"/>
                <w:lang w:val="en-US" w:eastAsia="zh-CN"/>
              </w:rPr>
            </w:pPr>
            <w:r>
              <w:rPr>
                <w:rFonts w:hint="default" w:ascii="Times New Roman" w:hAnsi="Times New Roman" w:cs="Times New Roman"/>
                <w:color w:val="auto"/>
                <w:szCs w:val="18"/>
                <w:lang w:val="en-US" w:eastAsia="zh-CN"/>
              </w:rPr>
              <w:t>0.2</w:t>
            </w:r>
            <w:r>
              <w:rPr>
                <w:rFonts w:hint="default" w:ascii="Times New Roman" w:hAnsi="Times New Roman" w:cs="Times New Roman"/>
                <w:color w:val="auto"/>
                <w:szCs w:val="21"/>
                <w:lang w:val="en-US" w:eastAsia="zh-CN"/>
              </w:rPr>
              <w:t>t/a</w:t>
            </w:r>
          </w:p>
        </w:tc>
        <w:tc>
          <w:tcPr>
            <w:tcW w:w="1778" w:type="dxa"/>
            <w:noWrap w:val="0"/>
            <w:vAlign w:val="center"/>
          </w:tcPr>
          <w:p w14:paraId="3821ACA1">
            <w:pPr>
              <w:adjustRightInd w:val="0"/>
              <w:snapToGrid w:val="0"/>
              <w:jc w:val="center"/>
              <w:rPr>
                <w:rFonts w:hint="default"/>
                <w:color w:val="auto"/>
                <w:szCs w:val="18"/>
                <w:lang w:val="en-US" w:eastAsia="zh-CN"/>
              </w:rPr>
            </w:pPr>
            <w:r>
              <w:rPr>
                <w:rFonts w:hint="eastAsia"/>
                <w:color w:val="auto"/>
                <w:szCs w:val="18"/>
                <w:lang w:val="en-US" w:eastAsia="zh-CN"/>
              </w:rPr>
              <w:t>+0.1</w:t>
            </w:r>
            <w:r>
              <w:rPr>
                <w:rFonts w:hint="default" w:ascii="Times New Roman" w:hAnsi="Times New Roman" w:cs="Times New Roman"/>
                <w:color w:val="auto"/>
                <w:szCs w:val="21"/>
                <w:lang w:val="en-US" w:eastAsia="zh-CN"/>
              </w:rPr>
              <w:t>t/a</w:t>
            </w:r>
          </w:p>
        </w:tc>
      </w:tr>
      <w:tr w14:paraId="5A212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vMerge w:val="restart"/>
            <w:noWrap w:val="0"/>
            <w:vAlign w:val="center"/>
          </w:tcPr>
          <w:p w14:paraId="29E5E6DB">
            <w:pPr>
              <w:pStyle w:val="3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lang w:eastAsia="zh-CN"/>
              </w:rPr>
              <w:t xml:space="preserve"> </w:t>
            </w:r>
            <w:r>
              <w:rPr>
                <w:rFonts w:hint="eastAsia" w:hAnsi="宋体" w:cs="宋体"/>
                <w:snapToGrid w:val="0"/>
                <w:color w:val="auto"/>
                <w:kern w:val="21"/>
                <w:szCs w:val="21"/>
              </w:rPr>
              <w:t>危险废物</w:t>
            </w:r>
          </w:p>
        </w:tc>
        <w:tc>
          <w:tcPr>
            <w:tcW w:w="2340" w:type="dxa"/>
            <w:gridSpan w:val="2"/>
            <w:noWrap w:val="0"/>
            <w:vAlign w:val="center"/>
          </w:tcPr>
          <w:p w14:paraId="0BE181D6">
            <w:pPr>
              <w:pStyle w:val="20"/>
              <w:spacing w:before="0" w:beforeAutospacing="0" w:after="0" w:afterAutospacing="0"/>
              <w:jc w:val="center"/>
              <w:outlineLvl w:val="0"/>
              <w:rPr>
                <w:rFonts w:hint="eastAsia" w:ascii="Times New Roman" w:hAnsi="Times New Roman" w:cs="Times New Roman"/>
                <w:color w:val="auto"/>
                <w:szCs w:val="21"/>
                <w:lang w:val="en-US" w:eastAsia="zh-CN"/>
              </w:rPr>
            </w:pPr>
            <w:r>
              <w:rPr>
                <w:rFonts w:hint="eastAsia" w:ascii="Times New Roman" w:hAnsi="Times New Roman"/>
                <w:color w:val="auto"/>
                <w:sz w:val="21"/>
                <w:lang w:val="en-US" w:eastAsia="zh-CN"/>
              </w:rPr>
              <w:t>废硅酮胶包装袋</w:t>
            </w:r>
          </w:p>
        </w:tc>
        <w:tc>
          <w:tcPr>
            <w:tcW w:w="1499" w:type="dxa"/>
            <w:noWrap w:val="0"/>
            <w:vAlign w:val="center"/>
          </w:tcPr>
          <w:p w14:paraId="6B1A9CD5">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0.1</w:t>
            </w:r>
            <w:r>
              <w:rPr>
                <w:rFonts w:hint="default" w:ascii="Times New Roman" w:hAnsi="Times New Roman" w:cs="Times New Roman"/>
                <w:color w:val="auto"/>
                <w:szCs w:val="21"/>
                <w:lang w:val="en-US" w:eastAsia="zh-CN"/>
              </w:rPr>
              <w:t>t/a</w:t>
            </w:r>
          </w:p>
        </w:tc>
        <w:tc>
          <w:tcPr>
            <w:tcW w:w="1114" w:type="dxa"/>
            <w:noWrap w:val="0"/>
            <w:vAlign w:val="center"/>
          </w:tcPr>
          <w:p w14:paraId="3EF5145C">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0.73</w:t>
            </w:r>
            <w:r>
              <w:rPr>
                <w:rFonts w:hint="default" w:ascii="Times New Roman" w:hAnsi="Times New Roman" w:cs="Times New Roman"/>
                <w:color w:val="auto"/>
                <w:szCs w:val="21"/>
                <w:lang w:val="en-US" w:eastAsia="zh-CN"/>
              </w:rPr>
              <w:t>t/a</w:t>
            </w:r>
          </w:p>
        </w:tc>
        <w:tc>
          <w:tcPr>
            <w:tcW w:w="1739" w:type="dxa"/>
            <w:noWrap w:val="0"/>
            <w:vAlign w:val="center"/>
          </w:tcPr>
          <w:p w14:paraId="6F031F3E">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5F1385D0">
            <w:pPr>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18"/>
                <w:lang w:val="en-US" w:eastAsia="zh-CN"/>
              </w:rPr>
              <w:t>0.1</w:t>
            </w:r>
            <w:r>
              <w:rPr>
                <w:rFonts w:hint="default" w:ascii="Times New Roman" w:hAnsi="Times New Roman" w:cs="Times New Roman"/>
                <w:color w:val="auto"/>
                <w:szCs w:val="21"/>
                <w:lang w:val="en-US" w:eastAsia="zh-CN"/>
              </w:rPr>
              <w:t>t/a</w:t>
            </w:r>
          </w:p>
        </w:tc>
        <w:tc>
          <w:tcPr>
            <w:tcW w:w="1404" w:type="dxa"/>
            <w:noWrap w:val="0"/>
            <w:vAlign w:val="center"/>
          </w:tcPr>
          <w:p w14:paraId="4D78F259">
            <w:pPr>
              <w:jc w:val="center"/>
              <w:rPr>
                <w:rFonts w:hint="eastAsia" w:ascii="Times New Roman" w:hAnsi="Times New Roman" w:eastAsia="宋体" w:cs="Times New Roman"/>
                <w:snapToGrid w:val="0"/>
                <w:color w:val="auto"/>
                <w:kern w:val="21"/>
                <w:szCs w:val="21"/>
                <w:lang w:val="en-US" w:eastAsia="zh-CN"/>
              </w:rPr>
            </w:pPr>
            <w:r>
              <w:rPr>
                <w:rFonts w:hint="eastAsia" w:cs="Times New Roman"/>
                <w:color w:val="auto"/>
                <w:szCs w:val="21"/>
                <w:lang w:val="en-US" w:eastAsia="zh-CN"/>
              </w:rPr>
              <w:t>0.1</w:t>
            </w:r>
            <w:r>
              <w:rPr>
                <w:rFonts w:hint="default" w:ascii="Times New Roman" w:hAnsi="Times New Roman" w:cs="Times New Roman"/>
                <w:color w:val="auto"/>
                <w:szCs w:val="21"/>
                <w:lang w:val="en-US" w:eastAsia="zh-CN"/>
              </w:rPr>
              <w:t>t/a</w:t>
            </w:r>
          </w:p>
        </w:tc>
        <w:tc>
          <w:tcPr>
            <w:tcW w:w="1770" w:type="dxa"/>
            <w:noWrap w:val="0"/>
            <w:vAlign w:val="center"/>
          </w:tcPr>
          <w:p w14:paraId="7632727A">
            <w:pPr>
              <w:adjustRightInd w:val="0"/>
              <w:snapToGrid w:val="0"/>
              <w:jc w:val="center"/>
              <w:rPr>
                <w:rFonts w:hint="eastAsia" w:ascii="Times New Roman" w:hAnsi="Times New Roman" w:cs="Times New Roman"/>
                <w:color w:val="auto"/>
                <w:szCs w:val="21"/>
                <w:lang w:val="en-US" w:eastAsia="zh-CN"/>
              </w:rPr>
            </w:pPr>
            <w:r>
              <w:rPr>
                <w:rFonts w:hint="default" w:ascii="Times New Roman" w:hAnsi="Times New Roman" w:cs="Times New Roman"/>
                <w:color w:val="auto"/>
                <w:szCs w:val="18"/>
                <w:lang w:val="en-US" w:eastAsia="zh-CN"/>
              </w:rPr>
              <w:t>0.1</w:t>
            </w:r>
            <w:r>
              <w:rPr>
                <w:rFonts w:hint="default" w:ascii="Times New Roman" w:hAnsi="Times New Roman" w:cs="Times New Roman"/>
                <w:color w:val="auto"/>
                <w:szCs w:val="21"/>
                <w:lang w:val="en-US" w:eastAsia="zh-CN"/>
              </w:rPr>
              <w:t>t/a</w:t>
            </w:r>
          </w:p>
        </w:tc>
        <w:tc>
          <w:tcPr>
            <w:tcW w:w="1778" w:type="dxa"/>
            <w:noWrap w:val="0"/>
            <w:vAlign w:val="center"/>
          </w:tcPr>
          <w:p w14:paraId="500BB708">
            <w:pPr>
              <w:adjustRightInd w:val="0"/>
              <w:snapToGrid w:val="0"/>
              <w:jc w:val="center"/>
              <w:rPr>
                <w:rFonts w:hint="eastAsia" w:ascii="Times New Roman" w:hAnsi="Times New Roman" w:cs="Times New Roman"/>
                <w:color w:val="auto"/>
                <w:szCs w:val="21"/>
                <w:lang w:val="en-US" w:eastAsia="zh-CN"/>
              </w:rPr>
            </w:pPr>
            <w:r>
              <w:rPr>
                <w:rFonts w:hint="eastAsia" w:cs="Times New Roman"/>
                <w:color w:val="auto"/>
                <w:szCs w:val="18"/>
                <w:lang w:val="en-US" w:eastAsia="zh-CN"/>
              </w:rPr>
              <w:t>0</w:t>
            </w:r>
          </w:p>
        </w:tc>
      </w:tr>
      <w:tr w14:paraId="2EC0A6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vMerge w:val="continue"/>
            <w:noWrap w:val="0"/>
            <w:vAlign w:val="center"/>
          </w:tcPr>
          <w:p w14:paraId="7FAAC1AA">
            <w:pPr>
              <w:pStyle w:val="30"/>
              <w:spacing w:beforeLines="0" w:afterLines="0" w:line="240" w:lineRule="auto"/>
              <w:rPr>
                <w:rFonts w:hint="eastAsia" w:hAnsi="宋体" w:cs="宋体"/>
                <w:snapToGrid w:val="0"/>
                <w:color w:val="auto"/>
                <w:kern w:val="21"/>
                <w:szCs w:val="21"/>
                <w:lang w:eastAsia="zh-CN"/>
              </w:rPr>
            </w:pPr>
          </w:p>
        </w:tc>
        <w:tc>
          <w:tcPr>
            <w:tcW w:w="2340" w:type="dxa"/>
            <w:gridSpan w:val="2"/>
            <w:noWrap w:val="0"/>
            <w:vAlign w:val="center"/>
          </w:tcPr>
          <w:p w14:paraId="22935956">
            <w:pPr>
              <w:pStyle w:val="20"/>
              <w:spacing w:before="0" w:beforeAutospacing="0" w:after="0" w:afterAutospacing="0"/>
              <w:jc w:val="center"/>
              <w:outlineLvl w:val="0"/>
              <w:rPr>
                <w:rFonts w:hint="eastAsia" w:ascii="Times New Roman" w:hAnsi="Times New Roman" w:cs="Times New Roman"/>
                <w:b w:val="0"/>
                <w:color w:val="auto"/>
                <w:sz w:val="21"/>
                <w:szCs w:val="18"/>
              </w:rPr>
            </w:pPr>
            <w:r>
              <w:rPr>
                <w:rFonts w:hint="eastAsia" w:ascii="Times New Roman" w:hAnsi="Times New Roman"/>
                <w:color w:val="auto"/>
                <w:sz w:val="21"/>
              </w:rPr>
              <w:t>废活性炭</w:t>
            </w:r>
          </w:p>
        </w:tc>
        <w:tc>
          <w:tcPr>
            <w:tcW w:w="1499" w:type="dxa"/>
            <w:noWrap w:val="0"/>
            <w:vAlign w:val="center"/>
          </w:tcPr>
          <w:p w14:paraId="2DE80F6A">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3.7</w:t>
            </w:r>
            <w:r>
              <w:rPr>
                <w:rFonts w:hint="default" w:ascii="Times New Roman" w:hAnsi="Times New Roman" w:cs="Times New Roman"/>
                <w:color w:val="auto"/>
                <w:szCs w:val="21"/>
                <w:lang w:val="en-US" w:eastAsia="zh-CN"/>
              </w:rPr>
              <w:t>t/a</w:t>
            </w:r>
          </w:p>
        </w:tc>
        <w:tc>
          <w:tcPr>
            <w:tcW w:w="1114" w:type="dxa"/>
            <w:noWrap w:val="0"/>
            <w:vAlign w:val="center"/>
          </w:tcPr>
          <w:p w14:paraId="5A3E36A7">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3.7126</w:t>
            </w:r>
            <w:r>
              <w:rPr>
                <w:rFonts w:hint="default" w:ascii="Times New Roman" w:hAnsi="Times New Roman" w:cs="Times New Roman"/>
                <w:color w:val="auto"/>
                <w:szCs w:val="21"/>
                <w:lang w:val="en-US" w:eastAsia="zh-CN"/>
              </w:rPr>
              <w:t>t/a</w:t>
            </w:r>
          </w:p>
        </w:tc>
        <w:tc>
          <w:tcPr>
            <w:tcW w:w="1739" w:type="dxa"/>
            <w:noWrap w:val="0"/>
            <w:vAlign w:val="center"/>
          </w:tcPr>
          <w:p w14:paraId="3AB8FF0C">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w:t>
            </w:r>
          </w:p>
        </w:tc>
        <w:tc>
          <w:tcPr>
            <w:tcW w:w="1594" w:type="dxa"/>
            <w:noWrap w:val="0"/>
            <w:vAlign w:val="center"/>
          </w:tcPr>
          <w:p w14:paraId="21CF008F">
            <w:pPr>
              <w:adjustRightInd w:val="0"/>
              <w:snapToGrid w:val="0"/>
              <w:jc w:val="center"/>
              <w:rPr>
                <w:rFonts w:hint="default" w:ascii="Times New Roman" w:hAnsi="Times New Roman" w:cs="Times New Roman"/>
                <w:color w:val="auto"/>
                <w:szCs w:val="18"/>
                <w:lang w:val="en-US" w:eastAsia="zh-CN"/>
              </w:rPr>
            </w:pPr>
            <w:r>
              <w:rPr>
                <w:rFonts w:hint="default" w:ascii="Times New Roman" w:hAnsi="Times New Roman" w:cs="Times New Roman"/>
                <w:color w:val="auto"/>
                <w:szCs w:val="18"/>
                <w:lang w:val="en-US" w:eastAsia="zh-CN"/>
              </w:rPr>
              <w:t>2.86</w:t>
            </w:r>
            <w:r>
              <w:rPr>
                <w:rFonts w:hint="default" w:ascii="Times New Roman" w:hAnsi="Times New Roman" w:cs="Times New Roman"/>
                <w:color w:val="auto"/>
                <w:szCs w:val="21"/>
                <w:lang w:val="en-US" w:eastAsia="zh-CN"/>
              </w:rPr>
              <w:t>t/a</w:t>
            </w:r>
          </w:p>
        </w:tc>
        <w:tc>
          <w:tcPr>
            <w:tcW w:w="1404" w:type="dxa"/>
            <w:noWrap w:val="0"/>
            <w:vAlign w:val="center"/>
          </w:tcPr>
          <w:p w14:paraId="57F0A71B">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3.7</w:t>
            </w:r>
            <w:r>
              <w:rPr>
                <w:rFonts w:hint="default" w:ascii="Times New Roman" w:hAnsi="Times New Roman" w:cs="Times New Roman"/>
                <w:color w:val="auto"/>
                <w:szCs w:val="21"/>
                <w:lang w:val="en-US" w:eastAsia="zh-CN"/>
              </w:rPr>
              <w:t>t/a</w:t>
            </w:r>
          </w:p>
        </w:tc>
        <w:tc>
          <w:tcPr>
            <w:tcW w:w="1770" w:type="dxa"/>
            <w:noWrap w:val="0"/>
            <w:vAlign w:val="center"/>
          </w:tcPr>
          <w:p w14:paraId="18E9BEA2">
            <w:pPr>
              <w:adjustRightInd w:val="0"/>
              <w:snapToGrid w:val="0"/>
              <w:jc w:val="center"/>
              <w:rPr>
                <w:rFonts w:hint="eastAsia" w:cs="Times New Roman"/>
                <w:color w:val="auto"/>
                <w:szCs w:val="18"/>
                <w:lang w:val="en-US" w:eastAsia="zh-CN"/>
              </w:rPr>
            </w:pPr>
            <w:r>
              <w:rPr>
                <w:rFonts w:hint="default" w:ascii="Times New Roman" w:hAnsi="Times New Roman" w:cs="Times New Roman"/>
                <w:color w:val="auto"/>
                <w:szCs w:val="18"/>
                <w:lang w:val="en-US" w:eastAsia="zh-CN"/>
              </w:rPr>
              <w:t>2.86</w:t>
            </w:r>
            <w:r>
              <w:rPr>
                <w:rFonts w:hint="default" w:ascii="Times New Roman" w:hAnsi="Times New Roman" w:cs="Times New Roman"/>
                <w:color w:val="auto"/>
                <w:szCs w:val="21"/>
                <w:lang w:val="en-US" w:eastAsia="zh-CN"/>
              </w:rPr>
              <w:t>t/a</w:t>
            </w:r>
          </w:p>
        </w:tc>
        <w:tc>
          <w:tcPr>
            <w:tcW w:w="1778" w:type="dxa"/>
            <w:noWrap w:val="0"/>
            <w:vAlign w:val="center"/>
          </w:tcPr>
          <w:p w14:paraId="2DE9CF2F">
            <w:pPr>
              <w:adjustRightInd w:val="0"/>
              <w:snapToGrid w:val="0"/>
              <w:jc w:val="center"/>
              <w:rPr>
                <w:rFonts w:hint="default" w:cs="Times New Roman"/>
                <w:color w:val="auto"/>
                <w:szCs w:val="18"/>
                <w:lang w:val="en-US" w:eastAsia="zh-CN"/>
              </w:rPr>
            </w:pPr>
            <w:r>
              <w:rPr>
                <w:rFonts w:hint="eastAsia" w:cs="Times New Roman"/>
                <w:color w:val="auto"/>
                <w:szCs w:val="18"/>
                <w:lang w:val="en-US" w:eastAsia="zh-CN"/>
              </w:rPr>
              <w:t>-0.84</w:t>
            </w:r>
            <w:r>
              <w:rPr>
                <w:rFonts w:hint="default" w:ascii="Times New Roman" w:hAnsi="Times New Roman" w:cs="Times New Roman"/>
                <w:color w:val="auto"/>
                <w:szCs w:val="21"/>
                <w:lang w:val="en-US" w:eastAsia="zh-CN"/>
              </w:rPr>
              <w:t>t/a</w:t>
            </w:r>
          </w:p>
        </w:tc>
      </w:tr>
      <w:tr w14:paraId="67E8D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noWrap w:val="0"/>
            <w:vAlign w:val="center"/>
          </w:tcPr>
          <w:p w14:paraId="782934A2">
            <w:pPr>
              <w:pStyle w:val="30"/>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生活固废</w:t>
            </w:r>
          </w:p>
        </w:tc>
        <w:tc>
          <w:tcPr>
            <w:tcW w:w="2340" w:type="dxa"/>
            <w:gridSpan w:val="2"/>
            <w:noWrap w:val="0"/>
            <w:vAlign w:val="center"/>
          </w:tcPr>
          <w:p w14:paraId="70E5C289">
            <w:pPr>
              <w:pStyle w:val="20"/>
              <w:spacing w:before="0" w:beforeAutospacing="0" w:after="0" w:afterAutospacing="0"/>
              <w:jc w:val="center"/>
              <w:outlineLvl w:val="0"/>
              <w:rPr>
                <w:color w:val="auto"/>
                <w:szCs w:val="21"/>
              </w:rPr>
            </w:pPr>
            <w:r>
              <w:rPr>
                <w:rFonts w:hint="eastAsia" w:ascii="Times New Roman" w:hAnsi="Times New Roman"/>
                <w:color w:val="auto"/>
                <w:sz w:val="21"/>
                <w:lang w:val="en-US" w:eastAsia="zh-CN"/>
              </w:rPr>
              <w:t>生活垃圾</w:t>
            </w:r>
          </w:p>
        </w:tc>
        <w:tc>
          <w:tcPr>
            <w:tcW w:w="1499" w:type="dxa"/>
            <w:noWrap w:val="0"/>
            <w:vAlign w:val="center"/>
          </w:tcPr>
          <w:p w14:paraId="64109E4B">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4.2</w:t>
            </w:r>
            <w:r>
              <w:rPr>
                <w:rFonts w:hint="default" w:ascii="Times New Roman" w:hAnsi="Times New Roman" w:cs="Times New Roman"/>
                <w:color w:val="auto"/>
                <w:szCs w:val="21"/>
                <w:lang w:val="en-US" w:eastAsia="zh-CN"/>
              </w:rPr>
              <w:t>t/a</w:t>
            </w:r>
          </w:p>
        </w:tc>
        <w:tc>
          <w:tcPr>
            <w:tcW w:w="1114" w:type="dxa"/>
            <w:noWrap w:val="0"/>
            <w:vAlign w:val="center"/>
          </w:tcPr>
          <w:p w14:paraId="20AEF5EA">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4.5</w:t>
            </w:r>
            <w:r>
              <w:rPr>
                <w:rFonts w:hint="default" w:ascii="Times New Roman" w:hAnsi="Times New Roman" w:cs="Times New Roman"/>
                <w:color w:val="auto"/>
                <w:szCs w:val="21"/>
                <w:lang w:val="en-US" w:eastAsia="zh-CN"/>
              </w:rPr>
              <w:t>t/a</w:t>
            </w:r>
          </w:p>
        </w:tc>
        <w:tc>
          <w:tcPr>
            <w:tcW w:w="1739" w:type="dxa"/>
            <w:noWrap w:val="0"/>
            <w:vAlign w:val="center"/>
          </w:tcPr>
          <w:p w14:paraId="060E6913">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594" w:type="dxa"/>
            <w:noWrap w:val="0"/>
            <w:vAlign w:val="center"/>
          </w:tcPr>
          <w:p w14:paraId="0278BF37">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18"/>
                <w:lang w:val="en-US" w:eastAsia="zh-CN"/>
              </w:rPr>
              <w:t>4.5</w:t>
            </w:r>
            <w:r>
              <w:rPr>
                <w:rFonts w:hint="default" w:ascii="Times New Roman" w:hAnsi="Times New Roman" w:cs="Times New Roman"/>
                <w:color w:val="auto"/>
                <w:szCs w:val="21"/>
                <w:lang w:val="en-US" w:eastAsia="zh-CN"/>
              </w:rPr>
              <w:t>t/a</w:t>
            </w:r>
          </w:p>
        </w:tc>
        <w:tc>
          <w:tcPr>
            <w:tcW w:w="1404" w:type="dxa"/>
            <w:noWrap w:val="0"/>
            <w:vAlign w:val="center"/>
          </w:tcPr>
          <w:p w14:paraId="5E0EF073">
            <w:pPr>
              <w:jc w:val="center"/>
              <w:rPr>
                <w:rFonts w:hint="eastAsia" w:ascii="Times New Roman" w:hAnsi="Times New Roman" w:eastAsia="宋体" w:cs="Times New Roman"/>
                <w:snapToGrid w:val="0"/>
                <w:color w:val="auto"/>
                <w:kern w:val="21"/>
                <w:szCs w:val="21"/>
                <w:lang w:val="en-US" w:eastAsia="zh-CN"/>
              </w:rPr>
            </w:pPr>
            <w:r>
              <w:rPr>
                <w:rFonts w:hint="eastAsia" w:cs="Times New Roman"/>
                <w:color w:val="auto"/>
                <w:szCs w:val="21"/>
                <w:lang w:val="en-US" w:eastAsia="zh-CN"/>
              </w:rPr>
              <w:t>4.2</w:t>
            </w:r>
            <w:r>
              <w:rPr>
                <w:rFonts w:hint="default" w:ascii="Times New Roman" w:hAnsi="Times New Roman" w:cs="Times New Roman"/>
                <w:color w:val="auto"/>
                <w:szCs w:val="21"/>
                <w:lang w:val="en-US" w:eastAsia="zh-CN"/>
              </w:rPr>
              <w:t>t/a</w:t>
            </w:r>
          </w:p>
        </w:tc>
        <w:tc>
          <w:tcPr>
            <w:tcW w:w="1770" w:type="dxa"/>
            <w:noWrap w:val="0"/>
            <w:vAlign w:val="center"/>
          </w:tcPr>
          <w:p w14:paraId="3FA32F8A">
            <w:pPr>
              <w:adjustRightInd w:val="0"/>
              <w:snapToGrid w:val="0"/>
              <w:jc w:val="center"/>
              <w:rPr>
                <w:color w:val="auto"/>
                <w:szCs w:val="21"/>
              </w:rPr>
            </w:pPr>
            <w:r>
              <w:rPr>
                <w:rFonts w:hint="default" w:ascii="Times New Roman" w:hAnsi="Times New Roman" w:cs="Times New Roman"/>
                <w:color w:val="auto"/>
                <w:szCs w:val="18"/>
                <w:lang w:val="en-US" w:eastAsia="zh-CN"/>
              </w:rPr>
              <w:t>4.5</w:t>
            </w:r>
            <w:r>
              <w:rPr>
                <w:rFonts w:hint="default" w:ascii="Times New Roman" w:hAnsi="Times New Roman" w:cs="Times New Roman"/>
                <w:color w:val="auto"/>
                <w:szCs w:val="21"/>
                <w:lang w:val="en-US" w:eastAsia="zh-CN"/>
              </w:rPr>
              <w:t>t/a</w:t>
            </w:r>
          </w:p>
        </w:tc>
        <w:tc>
          <w:tcPr>
            <w:tcW w:w="1778" w:type="dxa"/>
            <w:noWrap w:val="0"/>
            <w:vAlign w:val="center"/>
          </w:tcPr>
          <w:p w14:paraId="3798FDF0">
            <w:pPr>
              <w:adjustRightInd w:val="0"/>
              <w:snapToGrid w:val="0"/>
              <w:jc w:val="center"/>
              <w:rPr>
                <w:rFonts w:hint="default" w:ascii="Times New Roman"/>
                <w:color w:val="auto"/>
                <w:szCs w:val="21"/>
                <w:lang w:val="en-US"/>
              </w:rPr>
            </w:pPr>
            <w:r>
              <w:rPr>
                <w:rFonts w:hint="eastAsia"/>
                <w:color w:val="auto"/>
                <w:szCs w:val="18"/>
                <w:lang w:val="en-US" w:eastAsia="zh-CN"/>
              </w:rPr>
              <w:t>0.3t/a</w:t>
            </w:r>
          </w:p>
        </w:tc>
      </w:tr>
    </w:tbl>
    <w:p w14:paraId="684358D4">
      <w:pPr>
        <w:pStyle w:val="30"/>
        <w:spacing w:before="192" w:beforeLines="80" w:after="24"/>
        <w:jc w:val="left"/>
        <w:rPr>
          <w:rFonts w:hint="default" w:hAnsi="宋体" w:eastAsia="宋体"/>
          <w:color w:val="auto"/>
          <w:lang w:val="en-US" w:eastAsia="zh-CN"/>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int="eastAsia" w:ascii="Times New Roman" w:hAnsi="Times New Roman"/>
          <w:snapToGrid w:val="0"/>
          <w:color w:val="auto"/>
          <w:spacing w:val="-6"/>
          <w:kern w:val="21"/>
          <w:sz w:val="21"/>
          <w:szCs w:val="21"/>
          <w:lang w:val="en-US" w:eastAsia="zh-CN"/>
        </w:rPr>
        <w:t>。</w:t>
      </w:r>
    </w:p>
    <w:sectPr>
      <w:pgSz w:w="16838" w:h="11905" w:orient="landscape"/>
      <w:pgMar w:top="1531" w:right="1701" w:bottom="1531" w:left="2126" w:header="851" w:footer="850" w:gutter="0"/>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1A185FF-3B44-4944-AED9-09C16915C06A}"/>
  </w:font>
  <w:font w:name="黑体">
    <w:panose1 w:val="02010609060101010101"/>
    <w:charset w:val="86"/>
    <w:family w:val="auto"/>
    <w:pitch w:val="default"/>
    <w:sig w:usb0="800002BF" w:usb1="38CF7CFA" w:usb2="00000016" w:usb3="00000000" w:csb0="00040001" w:csb1="00000000"/>
    <w:embedRegular r:id="rId2" w:fontKey="{AC404657-757C-41CA-9F3F-DD2E47267E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67669653-5E4E-4772-A223-2A96C6B28DDA}"/>
  </w:font>
  <w:font w:name="楷体_GB2312">
    <w:panose1 w:val="02010609030101010101"/>
    <w:charset w:val="86"/>
    <w:family w:val="modern"/>
    <w:pitch w:val="default"/>
    <w:sig w:usb0="00000001" w:usb1="080E0000" w:usb2="00000000" w:usb3="00000000" w:csb0="00040000" w:csb1="00000000"/>
    <w:embedRegular r:id="rId4" w:fontKey="{2D827068-8462-43BA-921B-DF649A971F3B}"/>
  </w:font>
  <w:font w:name="仿宋">
    <w:panose1 w:val="02010609060101010101"/>
    <w:charset w:val="86"/>
    <w:family w:val="modern"/>
    <w:pitch w:val="default"/>
    <w:sig w:usb0="800002BF" w:usb1="38CF7CFA" w:usb2="00000016" w:usb3="00000000" w:csb0="00040001" w:csb1="00000000"/>
    <w:embedRegular r:id="rId5" w:fontKey="{986FAEB6-245F-49F4-81C5-0F84D6C922CA}"/>
  </w:font>
  <w:font w:name="方正小标宋_GBK">
    <w:panose1 w:val="02000000000000000000"/>
    <w:charset w:val="86"/>
    <w:family w:val="script"/>
    <w:pitch w:val="default"/>
    <w:sig w:usb0="A00002BF" w:usb1="38CF7CFA" w:usb2="00082016" w:usb3="00000000" w:csb0="00040001" w:csb1="00000000"/>
    <w:embedRegular r:id="rId6" w:fontKey="{8D43F4BB-430A-43BF-93D3-8703B02B037B}"/>
  </w:font>
  <w:font w:name="华文仿宋">
    <w:panose1 w:val="02010600040101010101"/>
    <w:charset w:val="86"/>
    <w:family w:val="auto"/>
    <w:pitch w:val="default"/>
    <w:sig w:usb0="00000287" w:usb1="080F0000" w:usb2="00000000" w:usb3="00000000" w:csb0="0004009F" w:csb1="DFD70000"/>
    <w:embedRegular r:id="rId7" w:fontKey="{B15B9297-3979-4D3D-BD7C-E961751E0551}"/>
  </w:font>
  <w:font w:name="Wingdings 2">
    <w:panose1 w:val="05020102010507070707"/>
    <w:charset w:val="02"/>
    <w:family w:val="auto"/>
    <w:pitch w:val="default"/>
    <w:sig w:usb0="00000000" w:usb1="00000000" w:usb2="00000000" w:usb3="00000000" w:csb0="80000000" w:csb1="00000000"/>
    <w:embedRegular r:id="rId8" w:fontKey="{FC92DEA9-1610-4291-9D50-0281FA761CCC}"/>
  </w:font>
  <w:font w:name="FangSong_GB2312-Identity-H">
    <w:altName w:val="宋体"/>
    <w:panose1 w:val="00000000000000000000"/>
    <w:charset w:val="86"/>
    <w:family w:val="auto"/>
    <w:pitch w:val="default"/>
    <w:sig w:usb0="00000000" w:usb1="00000000" w:usb2="00000010" w:usb3="00000000" w:csb0="00040000" w:csb1="00000000"/>
    <w:embedRegular r:id="rId9" w:fontKey="{FAF0B94E-2FFB-4328-8941-6D61A3D39C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F9AF">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A8FC4">
    <w:pPr>
      <w:pStyle w:val="18"/>
      <w:framePr w:wrap="around" w:vAnchor="text" w:hAnchor="margin" w:xAlign="center" w:y="1"/>
      <w:rPr>
        <w:rStyle w:val="25"/>
      </w:rPr>
    </w:pPr>
    <w:r>
      <w:fldChar w:fldCharType="begin"/>
    </w:r>
    <w:r>
      <w:rPr>
        <w:rStyle w:val="25"/>
      </w:rPr>
      <w:instrText xml:space="preserve">PAGE  </w:instrText>
    </w:r>
    <w:r>
      <w:fldChar w:fldCharType="end"/>
    </w:r>
  </w:p>
  <w:p w14:paraId="3B4D9C40">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C169F">
    <w:pPr>
      <w:pStyle w:val="18"/>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77291F">
                          <w:pPr>
                            <w:pStyle w:val="18"/>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LPhW5zAEAAJ0DAAAOAAAAAAAAAAEAIAAAAB4BAABkcnMvZTJv&#10;RG9jLnhtbFBLBQYAAAAABgAGAFkBAABcBQAAAAA=&#10;">
              <v:fill on="f" focussize="0,0"/>
              <v:stroke on="f"/>
              <v:imagedata o:title=""/>
              <o:lock v:ext="edit" aspectratio="f"/>
              <v:textbox inset="0mm,0mm,0mm,0mm" style="mso-fit-shape-to-text:t;">
                <w:txbxContent>
                  <w:p w14:paraId="2F77291F">
                    <w:pPr>
                      <w:pStyle w:val="1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027BD"/>
    <w:multiLevelType w:val="singleLevel"/>
    <w:tmpl w:val="865027BD"/>
    <w:lvl w:ilvl="0" w:tentative="0">
      <w:start w:val="1"/>
      <w:numFmt w:val="decimal"/>
      <w:suff w:val="nothing"/>
      <w:lvlText w:val="%1"/>
      <w:lvlJc w:val="center"/>
      <w:pPr>
        <w:tabs>
          <w:tab w:val="left" w:pos="0"/>
        </w:tabs>
      </w:pPr>
      <w:rPr>
        <w:rFonts w:hint="default"/>
      </w:rPr>
    </w:lvl>
  </w:abstractNum>
  <w:abstractNum w:abstractNumId="1">
    <w:nsid w:val="917228EE"/>
    <w:multiLevelType w:val="singleLevel"/>
    <w:tmpl w:val="917228EE"/>
    <w:lvl w:ilvl="0" w:tentative="0">
      <w:start w:val="1"/>
      <w:numFmt w:val="decimal"/>
      <w:suff w:val="nothing"/>
      <w:lvlText w:val="%1"/>
      <w:lvlJc w:val="center"/>
      <w:pPr>
        <w:tabs>
          <w:tab w:val="left" w:pos="0"/>
        </w:tabs>
        <w:ind w:left="0" w:leftChars="0" w:firstLine="0" w:firstLineChars="0"/>
      </w:pPr>
      <w:rPr>
        <w:rFonts w:hint="default"/>
      </w:rPr>
    </w:lvl>
  </w:abstractNum>
  <w:abstractNum w:abstractNumId="2">
    <w:nsid w:val="A179A447"/>
    <w:multiLevelType w:val="singleLevel"/>
    <w:tmpl w:val="A179A447"/>
    <w:lvl w:ilvl="0" w:tentative="0">
      <w:start w:val="1"/>
      <w:numFmt w:val="decimal"/>
      <w:suff w:val="nothing"/>
      <w:lvlText w:val="%1"/>
      <w:lvlJc w:val="center"/>
      <w:pPr>
        <w:tabs>
          <w:tab w:val="left" w:pos="0"/>
        </w:tabs>
        <w:ind w:left="0" w:leftChars="0" w:firstLine="0" w:firstLineChars="0"/>
      </w:pPr>
      <w:rPr>
        <w:rFonts w:hint="default"/>
      </w:rPr>
    </w:lvl>
  </w:abstractNum>
  <w:abstractNum w:abstractNumId="3">
    <w:nsid w:val="B1F24B7D"/>
    <w:multiLevelType w:val="singleLevel"/>
    <w:tmpl w:val="B1F24B7D"/>
    <w:lvl w:ilvl="0" w:tentative="0">
      <w:start w:val="1"/>
      <w:numFmt w:val="chineseCounting"/>
      <w:suff w:val="nothing"/>
      <w:lvlText w:val="%1、"/>
      <w:lvlJc w:val="left"/>
      <w:rPr>
        <w:rFonts w:hint="eastAsia"/>
      </w:rPr>
    </w:lvl>
  </w:abstractNum>
  <w:abstractNum w:abstractNumId="4">
    <w:nsid w:val="B6D84C80"/>
    <w:multiLevelType w:val="singleLevel"/>
    <w:tmpl w:val="B6D84C80"/>
    <w:lvl w:ilvl="0" w:tentative="0">
      <w:start w:val="1"/>
      <w:numFmt w:val="decimal"/>
      <w:suff w:val="nothing"/>
      <w:lvlText w:val="%1"/>
      <w:lvlJc w:val="center"/>
      <w:pPr>
        <w:tabs>
          <w:tab w:val="left" w:pos="0"/>
        </w:tabs>
      </w:pPr>
      <w:rPr>
        <w:rFonts w:hint="default"/>
      </w:rPr>
    </w:lvl>
  </w:abstractNum>
  <w:abstractNum w:abstractNumId="5">
    <w:nsid w:val="CA672FAD"/>
    <w:multiLevelType w:val="singleLevel"/>
    <w:tmpl w:val="CA672FAD"/>
    <w:lvl w:ilvl="0" w:tentative="0">
      <w:start w:val="2"/>
      <w:numFmt w:val="decimal"/>
      <w:suff w:val="nothing"/>
      <w:lvlText w:val="%1、"/>
      <w:lvlJc w:val="left"/>
    </w:lvl>
  </w:abstractNum>
  <w:abstractNum w:abstractNumId="6">
    <w:nsid w:val="D201A49D"/>
    <w:multiLevelType w:val="singleLevel"/>
    <w:tmpl w:val="D201A49D"/>
    <w:lvl w:ilvl="0" w:tentative="0">
      <w:start w:val="1"/>
      <w:numFmt w:val="bullet"/>
      <w:pStyle w:val="13"/>
      <w:lvlText w:val=""/>
      <w:lvlJc w:val="left"/>
      <w:pPr>
        <w:tabs>
          <w:tab w:val="left" w:pos="2040"/>
        </w:tabs>
        <w:ind w:left="2040" w:hanging="360"/>
      </w:pPr>
      <w:rPr>
        <w:rFonts w:hint="default" w:ascii="Wingdings" w:hAnsi="Wingdings"/>
      </w:rPr>
    </w:lvl>
  </w:abstractNum>
  <w:abstractNum w:abstractNumId="7">
    <w:nsid w:val="DB534481"/>
    <w:multiLevelType w:val="singleLevel"/>
    <w:tmpl w:val="DB534481"/>
    <w:lvl w:ilvl="0" w:tentative="0">
      <w:start w:val="1"/>
      <w:numFmt w:val="decimal"/>
      <w:suff w:val="nothing"/>
      <w:lvlText w:val="%1"/>
      <w:lvlJc w:val="center"/>
      <w:pPr>
        <w:tabs>
          <w:tab w:val="left" w:pos="0"/>
        </w:tabs>
      </w:pPr>
      <w:rPr>
        <w:rFonts w:hint="default"/>
      </w:rPr>
    </w:lvl>
  </w:abstractNum>
  <w:abstractNum w:abstractNumId="8">
    <w:nsid w:val="F216BE27"/>
    <w:multiLevelType w:val="singleLevel"/>
    <w:tmpl w:val="F216BE27"/>
    <w:lvl w:ilvl="0" w:tentative="0">
      <w:start w:val="1"/>
      <w:numFmt w:val="decimal"/>
      <w:suff w:val="nothing"/>
      <w:lvlText w:val="%1"/>
      <w:lvlJc w:val="center"/>
      <w:pPr>
        <w:tabs>
          <w:tab w:val="left" w:pos="0"/>
        </w:tabs>
        <w:ind w:left="0" w:leftChars="0" w:firstLine="0" w:firstLineChars="0"/>
      </w:pPr>
      <w:rPr>
        <w:rFonts w:hint="default"/>
      </w:rPr>
    </w:lvl>
  </w:abstractNum>
  <w:abstractNum w:abstractNumId="9">
    <w:nsid w:val="21DA77B0"/>
    <w:multiLevelType w:val="singleLevel"/>
    <w:tmpl w:val="21DA77B0"/>
    <w:lvl w:ilvl="0" w:tentative="0">
      <w:start w:val="2"/>
      <w:numFmt w:val="decimal"/>
      <w:suff w:val="nothing"/>
      <w:lvlText w:val="%1）"/>
      <w:lvlJc w:val="left"/>
    </w:lvl>
  </w:abstractNum>
  <w:abstractNum w:abstractNumId="10">
    <w:nsid w:val="2F14FDC5"/>
    <w:multiLevelType w:val="singleLevel"/>
    <w:tmpl w:val="2F14FDC5"/>
    <w:lvl w:ilvl="0" w:tentative="0">
      <w:start w:val="1"/>
      <w:numFmt w:val="decimal"/>
      <w:suff w:val="nothing"/>
      <w:lvlText w:val="%1"/>
      <w:lvlJc w:val="center"/>
      <w:pPr>
        <w:tabs>
          <w:tab w:val="left" w:pos="0"/>
        </w:tabs>
      </w:pPr>
      <w:rPr>
        <w:rFonts w:hint="default"/>
      </w:rPr>
    </w:lvl>
  </w:abstractNum>
  <w:abstractNum w:abstractNumId="11">
    <w:nsid w:val="5F5B4C61"/>
    <w:multiLevelType w:val="singleLevel"/>
    <w:tmpl w:val="5F5B4C61"/>
    <w:lvl w:ilvl="0" w:tentative="0">
      <w:start w:val="1"/>
      <w:numFmt w:val="decimal"/>
      <w:suff w:val="nothing"/>
      <w:lvlText w:val="%1"/>
      <w:lvlJc w:val="center"/>
      <w:pPr>
        <w:tabs>
          <w:tab w:val="left" w:pos="0"/>
        </w:tabs>
        <w:ind w:left="0" w:leftChars="0" w:firstLine="0" w:firstLineChars="0"/>
      </w:pPr>
      <w:rPr>
        <w:rFonts w:hint="default"/>
      </w:rPr>
    </w:lvl>
  </w:abstractNum>
  <w:abstractNum w:abstractNumId="12">
    <w:nsid w:val="65116B3F"/>
    <w:multiLevelType w:val="singleLevel"/>
    <w:tmpl w:val="65116B3F"/>
    <w:lvl w:ilvl="0" w:tentative="0">
      <w:start w:val="1"/>
      <w:numFmt w:val="decimal"/>
      <w:suff w:val="nothing"/>
      <w:lvlText w:val="%1"/>
      <w:lvlJc w:val="left"/>
      <w:pPr>
        <w:ind w:left="0" w:firstLine="0"/>
      </w:pPr>
      <w:rPr>
        <w:rFonts w:hint="default"/>
      </w:rPr>
    </w:lvl>
  </w:abstractNum>
  <w:abstractNum w:abstractNumId="13">
    <w:nsid w:val="68317FEA"/>
    <w:multiLevelType w:val="singleLevel"/>
    <w:tmpl w:val="68317FEA"/>
    <w:lvl w:ilvl="0" w:tentative="0">
      <w:start w:val="1"/>
      <w:numFmt w:val="decimal"/>
      <w:suff w:val="nothing"/>
      <w:lvlText w:val="%1"/>
      <w:lvlJc w:val="center"/>
      <w:pPr>
        <w:ind w:left="0" w:leftChars="0" w:firstLine="0" w:firstLineChars="0"/>
      </w:pPr>
      <w:rPr>
        <w:rFonts w:hint="default"/>
      </w:rPr>
    </w:lvl>
  </w:abstractNum>
  <w:abstractNum w:abstractNumId="14">
    <w:nsid w:val="6FFD9082"/>
    <w:multiLevelType w:val="singleLevel"/>
    <w:tmpl w:val="6FFD9082"/>
    <w:lvl w:ilvl="0" w:tentative="0">
      <w:start w:val="1"/>
      <w:numFmt w:val="upperLetter"/>
      <w:suff w:val="nothing"/>
      <w:lvlText w:val="%1、"/>
      <w:lvlJc w:val="left"/>
      <w:pPr>
        <w:ind w:left="1176" w:firstLine="0"/>
      </w:pPr>
    </w:lvl>
  </w:abstractNum>
  <w:num w:numId="1">
    <w:abstractNumId w:val="6"/>
  </w:num>
  <w:num w:numId="2">
    <w:abstractNumId w:val="3"/>
  </w:num>
  <w:num w:numId="3">
    <w:abstractNumId w:val="4"/>
  </w:num>
  <w:num w:numId="4">
    <w:abstractNumId w:val="7"/>
  </w:num>
  <w:num w:numId="5">
    <w:abstractNumId w:val="12"/>
  </w:num>
  <w:num w:numId="6">
    <w:abstractNumId w:val="5"/>
  </w:num>
  <w:num w:numId="7">
    <w:abstractNumId w:val="13"/>
  </w:num>
  <w:num w:numId="8">
    <w:abstractNumId w:val="1"/>
  </w:num>
  <w:num w:numId="9">
    <w:abstractNumId w:val="2"/>
  </w:num>
  <w:num w:numId="10">
    <w:abstractNumId w:val="11"/>
  </w:num>
  <w:num w:numId="11">
    <w:abstractNumId w:val="14"/>
  </w:num>
  <w:num w:numId="12">
    <w:abstractNumId w:val="8"/>
  </w:num>
  <w:num w:numId="13">
    <w:abstractNumId w:val="10"/>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OGQyMWVjOTk5YzMwMDdmYjcwZDA3YjJmZDM2NDU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67D3"/>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6FFD"/>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672B9"/>
    <w:rsid w:val="00484B9B"/>
    <w:rsid w:val="004855F6"/>
    <w:rsid w:val="0048661E"/>
    <w:rsid w:val="00494670"/>
    <w:rsid w:val="004A3823"/>
    <w:rsid w:val="004A54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1588"/>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C"/>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05CA"/>
    <w:rsid w:val="009C7DD5"/>
    <w:rsid w:val="009E227D"/>
    <w:rsid w:val="009E5019"/>
    <w:rsid w:val="00A04F1B"/>
    <w:rsid w:val="00A0501B"/>
    <w:rsid w:val="00A14947"/>
    <w:rsid w:val="00A32A83"/>
    <w:rsid w:val="00A368DB"/>
    <w:rsid w:val="00A423AA"/>
    <w:rsid w:val="00A53EC6"/>
    <w:rsid w:val="00A55C0F"/>
    <w:rsid w:val="00A67D58"/>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66CD3"/>
    <w:rsid w:val="00C704E9"/>
    <w:rsid w:val="00C763C9"/>
    <w:rsid w:val="00C80057"/>
    <w:rsid w:val="00C82232"/>
    <w:rsid w:val="00C82913"/>
    <w:rsid w:val="00C972B1"/>
    <w:rsid w:val="00CA2CCE"/>
    <w:rsid w:val="00CA43FD"/>
    <w:rsid w:val="00CA7EF8"/>
    <w:rsid w:val="00CB67CC"/>
    <w:rsid w:val="00CC489B"/>
    <w:rsid w:val="00CD2BCD"/>
    <w:rsid w:val="00CD3A4C"/>
    <w:rsid w:val="00CE10E9"/>
    <w:rsid w:val="00CE2910"/>
    <w:rsid w:val="00CE5393"/>
    <w:rsid w:val="00CF36BE"/>
    <w:rsid w:val="00CF6000"/>
    <w:rsid w:val="00D003F3"/>
    <w:rsid w:val="00D0364F"/>
    <w:rsid w:val="00D06834"/>
    <w:rsid w:val="00D308ED"/>
    <w:rsid w:val="00D36D86"/>
    <w:rsid w:val="00D40BB2"/>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0432"/>
    <w:rsid w:val="00F027DB"/>
    <w:rsid w:val="00F14A7A"/>
    <w:rsid w:val="00F22985"/>
    <w:rsid w:val="00F3383E"/>
    <w:rsid w:val="00F465A7"/>
    <w:rsid w:val="00F50B7C"/>
    <w:rsid w:val="00F550E6"/>
    <w:rsid w:val="00F5545E"/>
    <w:rsid w:val="00F74345"/>
    <w:rsid w:val="00F80A0A"/>
    <w:rsid w:val="00F82B19"/>
    <w:rsid w:val="00F9212D"/>
    <w:rsid w:val="00F965DA"/>
    <w:rsid w:val="00FA406A"/>
    <w:rsid w:val="00FB503A"/>
    <w:rsid w:val="00FB516C"/>
    <w:rsid w:val="00FD0236"/>
    <w:rsid w:val="00FD18F4"/>
    <w:rsid w:val="00FD54DB"/>
    <w:rsid w:val="00FD619F"/>
    <w:rsid w:val="010B22B0"/>
    <w:rsid w:val="01102381"/>
    <w:rsid w:val="01290F7E"/>
    <w:rsid w:val="014D4677"/>
    <w:rsid w:val="015D1E09"/>
    <w:rsid w:val="0166457E"/>
    <w:rsid w:val="017C0447"/>
    <w:rsid w:val="01883AB1"/>
    <w:rsid w:val="01E4322D"/>
    <w:rsid w:val="01EF5B45"/>
    <w:rsid w:val="01FE4B99"/>
    <w:rsid w:val="020403A9"/>
    <w:rsid w:val="02390404"/>
    <w:rsid w:val="02697903"/>
    <w:rsid w:val="028E2EB6"/>
    <w:rsid w:val="02B01361"/>
    <w:rsid w:val="02C1356F"/>
    <w:rsid w:val="02D14340"/>
    <w:rsid w:val="02F96569"/>
    <w:rsid w:val="03457CFC"/>
    <w:rsid w:val="03821492"/>
    <w:rsid w:val="038500F8"/>
    <w:rsid w:val="03AC7D7B"/>
    <w:rsid w:val="03EA7B21"/>
    <w:rsid w:val="03F65FB7"/>
    <w:rsid w:val="03F7159C"/>
    <w:rsid w:val="041E339D"/>
    <w:rsid w:val="042725FF"/>
    <w:rsid w:val="051361B0"/>
    <w:rsid w:val="05931DE8"/>
    <w:rsid w:val="05CE09B5"/>
    <w:rsid w:val="05DA5CB6"/>
    <w:rsid w:val="05F83EAE"/>
    <w:rsid w:val="06326DDF"/>
    <w:rsid w:val="063E7D85"/>
    <w:rsid w:val="06624BC9"/>
    <w:rsid w:val="069F41B1"/>
    <w:rsid w:val="069F5975"/>
    <w:rsid w:val="070D208A"/>
    <w:rsid w:val="07177C01"/>
    <w:rsid w:val="07293586"/>
    <w:rsid w:val="07295285"/>
    <w:rsid w:val="07442251"/>
    <w:rsid w:val="07636392"/>
    <w:rsid w:val="076A23DD"/>
    <w:rsid w:val="07747C1B"/>
    <w:rsid w:val="07770C56"/>
    <w:rsid w:val="07A03867"/>
    <w:rsid w:val="07C20F75"/>
    <w:rsid w:val="07CD2615"/>
    <w:rsid w:val="081D7E86"/>
    <w:rsid w:val="0843450B"/>
    <w:rsid w:val="086707D7"/>
    <w:rsid w:val="08AF79C5"/>
    <w:rsid w:val="08BF1B87"/>
    <w:rsid w:val="08BF7403"/>
    <w:rsid w:val="08C711B3"/>
    <w:rsid w:val="08D17B86"/>
    <w:rsid w:val="08EA18FB"/>
    <w:rsid w:val="08EE7D90"/>
    <w:rsid w:val="09067F2D"/>
    <w:rsid w:val="091175B6"/>
    <w:rsid w:val="092217DD"/>
    <w:rsid w:val="093A7294"/>
    <w:rsid w:val="094019C6"/>
    <w:rsid w:val="09812927"/>
    <w:rsid w:val="09AF5ECF"/>
    <w:rsid w:val="09CD0A4B"/>
    <w:rsid w:val="0A00672A"/>
    <w:rsid w:val="0A263993"/>
    <w:rsid w:val="0A2D3AC2"/>
    <w:rsid w:val="0A454A85"/>
    <w:rsid w:val="0AA755DF"/>
    <w:rsid w:val="0AC17553"/>
    <w:rsid w:val="0ACB74E3"/>
    <w:rsid w:val="0ADD4147"/>
    <w:rsid w:val="0AF52007"/>
    <w:rsid w:val="0B0E4E77"/>
    <w:rsid w:val="0B120D44"/>
    <w:rsid w:val="0B2662C4"/>
    <w:rsid w:val="0B275F39"/>
    <w:rsid w:val="0BBA012E"/>
    <w:rsid w:val="0BC43A9C"/>
    <w:rsid w:val="0BD27BF6"/>
    <w:rsid w:val="0BE26659"/>
    <w:rsid w:val="0BF00A21"/>
    <w:rsid w:val="0BFC6399"/>
    <w:rsid w:val="0C3721AC"/>
    <w:rsid w:val="0C3B3C7D"/>
    <w:rsid w:val="0C3D5924"/>
    <w:rsid w:val="0C4A1EDF"/>
    <w:rsid w:val="0CAB2EAE"/>
    <w:rsid w:val="0CB71849"/>
    <w:rsid w:val="0CC82817"/>
    <w:rsid w:val="0CDF2F6F"/>
    <w:rsid w:val="0D0E660E"/>
    <w:rsid w:val="0D2D78BE"/>
    <w:rsid w:val="0D543C03"/>
    <w:rsid w:val="0D556C4D"/>
    <w:rsid w:val="0D5D20CF"/>
    <w:rsid w:val="0D621C7D"/>
    <w:rsid w:val="0D75262D"/>
    <w:rsid w:val="0D8B35F4"/>
    <w:rsid w:val="0E0F696D"/>
    <w:rsid w:val="0E484B44"/>
    <w:rsid w:val="0E6F7190"/>
    <w:rsid w:val="0E73034D"/>
    <w:rsid w:val="0E8D2749"/>
    <w:rsid w:val="0E99714E"/>
    <w:rsid w:val="0EA23597"/>
    <w:rsid w:val="0EC00B7E"/>
    <w:rsid w:val="0ECF3E91"/>
    <w:rsid w:val="0EF645A0"/>
    <w:rsid w:val="0F13775A"/>
    <w:rsid w:val="0F3C57CB"/>
    <w:rsid w:val="0F3D38EF"/>
    <w:rsid w:val="0F5372FC"/>
    <w:rsid w:val="0F5F45FE"/>
    <w:rsid w:val="0F6F26D0"/>
    <w:rsid w:val="0F9A112B"/>
    <w:rsid w:val="10625C40"/>
    <w:rsid w:val="106D2F64"/>
    <w:rsid w:val="1084730F"/>
    <w:rsid w:val="10A66D3E"/>
    <w:rsid w:val="10B63710"/>
    <w:rsid w:val="10D65381"/>
    <w:rsid w:val="10F10820"/>
    <w:rsid w:val="110C60E7"/>
    <w:rsid w:val="111C2F7A"/>
    <w:rsid w:val="114C6A50"/>
    <w:rsid w:val="115B5E44"/>
    <w:rsid w:val="11665CA1"/>
    <w:rsid w:val="116E0C65"/>
    <w:rsid w:val="11784980"/>
    <w:rsid w:val="11A55E09"/>
    <w:rsid w:val="11AB5777"/>
    <w:rsid w:val="11FE2B90"/>
    <w:rsid w:val="12402E84"/>
    <w:rsid w:val="129E7947"/>
    <w:rsid w:val="12A55086"/>
    <w:rsid w:val="12EC1060"/>
    <w:rsid w:val="133E6515"/>
    <w:rsid w:val="134753CA"/>
    <w:rsid w:val="13533D6F"/>
    <w:rsid w:val="136418A2"/>
    <w:rsid w:val="13697C3D"/>
    <w:rsid w:val="137361BF"/>
    <w:rsid w:val="13951726"/>
    <w:rsid w:val="139E30E9"/>
    <w:rsid w:val="13B30CB1"/>
    <w:rsid w:val="14042750"/>
    <w:rsid w:val="14224F75"/>
    <w:rsid w:val="1433594E"/>
    <w:rsid w:val="14396509"/>
    <w:rsid w:val="14DD2C3C"/>
    <w:rsid w:val="15052220"/>
    <w:rsid w:val="15B64A89"/>
    <w:rsid w:val="15DA64B5"/>
    <w:rsid w:val="16087E1D"/>
    <w:rsid w:val="16336340"/>
    <w:rsid w:val="16491459"/>
    <w:rsid w:val="165D5133"/>
    <w:rsid w:val="16EF6BE5"/>
    <w:rsid w:val="17057F60"/>
    <w:rsid w:val="17356A4A"/>
    <w:rsid w:val="17701D14"/>
    <w:rsid w:val="17735226"/>
    <w:rsid w:val="17E458DD"/>
    <w:rsid w:val="17E60711"/>
    <w:rsid w:val="17FE0A79"/>
    <w:rsid w:val="181D6DA1"/>
    <w:rsid w:val="184E5D35"/>
    <w:rsid w:val="189F624C"/>
    <w:rsid w:val="18D30F86"/>
    <w:rsid w:val="18F356AC"/>
    <w:rsid w:val="195A0AF3"/>
    <w:rsid w:val="197F59B8"/>
    <w:rsid w:val="19843555"/>
    <w:rsid w:val="19A74E14"/>
    <w:rsid w:val="19C85E66"/>
    <w:rsid w:val="1A1C66C0"/>
    <w:rsid w:val="1A265FD0"/>
    <w:rsid w:val="1A42393B"/>
    <w:rsid w:val="1A4679FD"/>
    <w:rsid w:val="1A7D7923"/>
    <w:rsid w:val="1AAD45DE"/>
    <w:rsid w:val="1B046F80"/>
    <w:rsid w:val="1B1E1106"/>
    <w:rsid w:val="1B3267B5"/>
    <w:rsid w:val="1B40161D"/>
    <w:rsid w:val="1B441859"/>
    <w:rsid w:val="1B4F2B0D"/>
    <w:rsid w:val="1B4F71F5"/>
    <w:rsid w:val="1B6606B1"/>
    <w:rsid w:val="1B742AD4"/>
    <w:rsid w:val="1B75684C"/>
    <w:rsid w:val="1BC0211B"/>
    <w:rsid w:val="1BC82E20"/>
    <w:rsid w:val="1BF70D0C"/>
    <w:rsid w:val="1BFB4237"/>
    <w:rsid w:val="1C195764"/>
    <w:rsid w:val="1C5E7925"/>
    <w:rsid w:val="1C6445E7"/>
    <w:rsid w:val="1CCB47C7"/>
    <w:rsid w:val="1CCE6334"/>
    <w:rsid w:val="1CE80FDE"/>
    <w:rsid w:val="1CF21F84"/>
    <w:rsid w:val="1CF71C0F"/>
    <w:rsid w:val="1CFD070F"/>
    <w:rsid w:val="1D5F6196"/>
    <w:rsid w:val="1D6132A5"/>
    <w:rsid w:val="1D617B99"/>
    <w:rsid w:val="1D721295"/>
    <w:rsid w:val="1D8E56D5"/>
    <w:rsid w:val="1D99700A"/>
    <w:rsid w:val="1DF63111"/>
    <w:rsid w:val="1E1A4FF0"/>
    <w:rsid w:val="1E7A43DA"/>
    <w:rsid w:val="1E894AFB"/>
    <w:rsid w:val="1EFB52BB"/>
    <w:rsid w:val="1F1E56A3"/>
    <w:rsid w:val="1F470500"/>
    <w:rsid w:val="1F5B34D7"/>
    <w:rsid w:val="1F7D351C"/>
    <w:rsid w:val="1FBD0C37"/>
    <w:rsid w:val="1FDC6E9A"/>
    <w:rsid w:val="1FE12059"/>
    <w:rsid w:val="1FE7539E"/>
    <w:rsid w:val="20462904"/>
    <w:rsid w:val="20671BE0"/>
    <w:rsid w:val="20686980"/>
    <w:rsid w:val="207227D1"/>
    <w:rsid w:val="2072480B"/>
    <w:rsid w:val="20963CB8"/>
    <w:rsid w:val="20A81A1B"/>
    <w:rsid w:val="20B07FB6"/>
    <w:rsid w:val="20B646FB"/>
    <w:rsid w:val="20D04DF4"/>
    <w:rsid w:val="20F2349D"/>
    <w:rsid w:val="21066D67"/>
    <w:rsid w:val="213B74B1"/>
    <w:rsid w:val="215A2310"/>
    <w:rsid w:val="21DE318A"/>
    <w:rsid w:val="21EF5B80"/>
    <w:rsid w:val="220F17A9"/>
    <w:rsid w:val="224E7E1E"/>
    <w:rsid w:val="22576990"/>
    <w:rsid w:val="228A55EF"/>
    <w:rsid w:val="22BB548D"/>
    <w:rsid w:val="22E03FC4"/>
    <w:rsid w:val="22F47480"/>
    <w:rsid w:val="232C0139"/>
    <w:rsid w:val="23925C30"/>
    <w:rsid w:val="23DE1C48"/>
    <w:rsid w:val="23F46EA8"/>
    <w:rsid w:val="240210CD"/>
    <w:rsid w:val="2423656D"/>
    <w:rsid w:val="24284D18"/>
    <w:rsid w:val="243279D1"/>
    <w:rsid w:val="2445593D"/>
    <w:rsid w:val="2458707D"/>
    <w:rsid w:val="24BF09F7"/>
    <w:rsid w:val="24ED5D86"/>
    <w:rsid w:val="250A5BD3"/>
    <w:rsid w:val="250D339F"/>
    <w:rsid w:val="252D53FE"/>
    <w:rsid w:val="254B6F9C"/>
    <w:rsid w:val="25593BBC"/>
    <w:rsid w:val="25C5511C"/>
    <w:rsid w:val="25EC2D81"/>
    <w:rsid w:val="26192562"/>
    <w:rsid w:val="26B40B71"/>
    <w:rsid w:val="26D053FB"/>
    <w:rsid w:val="26F1004D"/>
    <w:rsid w:val="27267910"/>
    <w:rsid w:val="276240DD"/>
    <w:rsid w:val="277057A2"/>
    <w:rsid w:val="277B34AD"/>
    <w:rsid w:val="279F537D"/>
    <w:rsid w:val="282628B6"/>
    <w:rsid w:val="28F95420"/>
    <w:rsid w:val="2917435F"/>
    <w:rsid w:val="29206EB8"/>
    <w:rsid w:val="29240848"/>
    <w:rsid w:val="29431F26"/>
    <w:rsid w:val="294F4B81"/>
    <w:rsid w:val="29512C9E"/>
    <w:rsid w:val="29595666"/>
    <w:rsid w:val="295E4DC4"/>
    <w:rsid w:val="29786A70"/>
    <w:rsid w:val="2980504B"/>
    <w:rsid w:val="2987056A"/>
    <w:rsid w:val="29874881"/>
    <w:rsid w:val="29D30045"/>
    <w:rsid w:val="29E2799A"/>
    <w:rsid w:val="29E325E0"/>
    <w:rsid w:val="29EC5A35"/>
    <w:rsid w:val="2A452503"/>
    <w:rsid w:val="2A644099"/>
    <w:rsid w:val="2A952A67"/>
    <w:rsid w:val="2A981AA7"/>
    <w:rsid w:val="2ABE5B1A"/>
    <w:rsid w:val="2B5E10AB"/>
    <w:rsid w:val="2BA936A8"/>
    <w:rsid w:val="2C061FF9"/>
    <w:rsid w:val="2C315A5A"/>
    <w:rsid w:val="2C4B1C25"/>
    <w:rsid w:val="2C51732D"/>
    <w:rsid w:val="2C89576E"/>
    <w:rsid w:val="2CA4263F"/>
    <w:rsid w:val="2CD70D11"/>
    <w:rsid w:val="2CD755B9"/>
    <w:rsid w:val="2CD930DF"/>
    <w:rsid w:val="2CF25F4F"/>
    <w:rsid w:val="2D0536F0"/>
    <w:rsid w:val="2D0C78D0"/>
    <w:rsid w:val="2D281971"/>
    <w:rsid w:val="2D340B98"/>
    <w:rsid w:val="2D5A445D"/>
    <w:rsid w:val="2D7A5022"/>
    <w:rsid w:val="2D876374"/>
    <w:rsid w:val="2D9E56F5"/>
    <w:rsid w:val="2DA13989"/>
    <w:rsid w:val="2DA77776"/>
    <w:rsid w:val="2DAD4075"/>
    <w:rsid w:val="2DB3278C"/>
    <w:rsid w:val="2DF3523C"/>
    <w:rsid w:val="2E335602"/>
    <w:rsid w:val="2E344345"/>
    <w:rsid w:val="2E63164B"/>
    <w:rsid w:val="2E667F96"/>
    <w:rsid w:val="2E7D5901"/>
    <w:rsid w:val="2E8226AB"/>
    <w:rsid w:val="2E8F3FF6"/>
    <w:rsid w:val="2E973D75"/>
    <w:rsid w:val="2EA73A95"/>
    <w:rsid w:val="2EDE6B85"/>
    <w:rsid w:val="2EFB7CE2"/>
    <w:rsid w:val="2F1C3757"/>
    <w:rsid w:val="2F4F58DB"/>
    <w:rsid w:val="2F843CC3"/>
    <w:rsid w:val="2FD065E6"/>
    <w:rsid w:val="2FD96870"/>
    <w:rsid w:val="300F5684"/>
    <w:rsid w:val="302A5E34"/>
    <w:rsid w:val="302E1F1C"/>
    <w:rsid w:val="30580BC9"/>
    <w:rsid w:val="30824D76"/>
    <w:rsid w:val="30A11D05"/>
    <w:rsid w:val="30E95A30"/>
    <w:rsid w:val="311E2ED7"/>
    <w:rsid w:val="314F20F2"/>
    <w:rsid w:val="315619EE"/>
    <w:rsid w:val="315C449C"/>
    <w:rsid w:val="31A054CA"/>
    <w:rsid w:val="31B36638"/>
    <w:rsid w:val="31B82709"/>
    <w:rsid w:val="31C75BF4"/>
    <w:rsid w:val="31D05482"/>
    <w:rsid w:val="31DE3363"/>
    <w:rsid w:val="32400B34"/>
    <w:rsid w:val="325422DF"/>
    <w:rsid w:val="32591C6C"/>
    <w:rsid w:val="329E6876"/>
    <w:rsid w:val="32B37F2E"/>
    <w:rsid w:val="332A0D96"/>
    <w:rsid w:val="333015F2"/>
    <w:rsid w:val="3341553A"/>
    <w:rsid w:val="334B6320"/>
    <w:rsid w:val="335C6818"/>
    <w:rsid w:val="336124DA"/>
    <w:rsid w:val="33AA1331"/>
    <w:rsid w:val="33D934D4"/>
    <w:rsid w:val="33E934A8"/>
    <w:rsid w:val="33EC27EE"/>
    <w:rsid w:val="33FE2F6A"/>
    <w:rsid w:val="340E07E5"/>
    <w:rsid w:val="34235BF7"/>
    <w:rsid w:val="34395F12"/>
    <w:rsid w:val="34540F6C"/>
    <w:rsid w:val="349A6501"/>
    <w:rsid w:val="34A67DBD"/>
    <w:rsid w:val="34B300E6"/>
    <w:rsid w:val="34C27960"/>
    <w:rsid w:val="350F4436"/>
    <w:rsid w:val="35150A2C"/>
    <w:rsid w:val="353465A5"/>
    <w:rsid w:val="353E0DC1"/>
    <w:rsid w:val="355624D7"/>
    <w:rsid w:val="356276C1"/>
    <w:rsid w:val="35635CEF"/>
    <w:rsid w:val="356B2D42"/>
    <w:rsid w:val="358C5FA8"/>
    <w:rsid w:val="359A1D11"/>
    <w:rsid w:val="359A37F3"/>
    <w:rsid w:val="35C15DF1"/>
    <w:rsid w:val="36074A7F"/>
    <w:rsid w:val="3608593D"/>
    <w:rsid w:val="36226226"/>
    <w:rsid w:val="365B4B65"/>
    <w:rsid w:val="36923549"/>
    <w:rsid w:val="36B75FBF"/>
    <w:rsid w:val="36BD0C45"/>
    <w:rsid w:val="371E2C7C"/>
    <w:rsid w:val="37B2729C"/>
    <w:rsid w:val="37DB6A4E"/>
    <w:rsid w:val="37E00298"/>
    <w:rsid w:val="38195BB2"/>
    <w:rsid w:val="38387D6B"/>
    <w:rsid w:val="38402264"/>
    <w:rsid w:val="38653A79"/>
    <w:rsid w:val="38784A60"/>
    <w:rsid w:val="38B302F9"/>
    <w:rsid w:val="38C529E3"/>
    <w:rsid w:val="38F12CD3"/>
    <w:rsid w:val="38F94775"/>
    <w:rsid w:val="39154918"/>
    <w:rsid w:val="391F631E"/>
    <w:rsid w:val="39262387"/>
    <w:rsid w:val="392971ED"/>
    <w:rsid w:val="39325651"/>
    <w:rsid w:val="39C12C7D"/>
    <w:rsid w:val="39CB77EF"/>
    <w:rsid w:val="39D16A4D"/>
    <w:rsid w:val="3A09555E"/>
    <w:rsid w:val="3A4D6EBA"/>
    <w:rsid w:val="3A681F56"/>
    <w:rsid w:val="3A6E71CA"/>
    <w:rsid w:val="3A872856"/>
    <w:rsid w:val="3AA3524E"/>
    <w:rsid w:val="3B111182"/>
    <w:rsid w:val="3B3763D1"/>
    <w:rsid w:val="3B6F75E7"/>
    <w:rsid w:val="3BA8620D"/>
    <w:rsid w:val="3BB84D09"/>
    <w:rsid w:val="3BE94334"/>
    <w:rsid w:val="3C0071B0"/>
    <w:rsid w:val="3C157564"/>
    <w:rsid w:val="3C1744FA"/>
    <w:rsid w:val="3C2F6E1E"/>
    <w:rsid w:val="3C402634"/>
    <w:rsid w:val="3C4F64BA"/>
    <w:rsid w:val="3C504EDC"/>
    <w:rsid w:val="3CBC6FA9"/>
    <w:rsid w:val="3CC73485"/>
    <w:rsid w:val="3CCD42E3"/>
    <w:rsid w:val="3CDA245A"/>
    <w:rsid w:val="3CDC6A44"/>
    <w:rsid w:val="3D1E06B7"/>
    <w:rsid w:val="3D8F1598"/>
    <w:rsid w:val="3DB54DD9"/>
    <w:rsid w:val="3DF77869"/>
    <w:rsid w:val="3E0E4BB3"/>
    <w:rsid w:val="3E2F7EC4"/>
    <w:rsid w:val="3E32271E"/>
    <w:rsid w:val="3E5D6C69"/>
    <w:rsid w:val="3E7964D0"/>
    <w:rsid w:val="3E855C8C"/>
    <w:rsid w:val="3E9E1B96"/>
    <w:rsid w:val="3EDA0523"/>
    <w:rsid w:val="3F053902"/>
    <w:rsid w:val="3F50093D"/>
    <w:rsid w:val="3F68632A"/>
    <w:rsid w:val="3FA77C5C"/>
    <w:rsid w:val="3FAF1393"/>
    <w:rsid w:val="400A374B"/>
    <w:rsid w:val="401D43BA"/>
    <w:rsid w:val="40246631"/>
    <w:rsid w:val="40363F4D"/>
    <w:rsid w:val="40774C14"/>
    <w:rsid w:val="407A6407"/>
    <w:rsid w:val="407E0275"/>
    <w:rsid w:val="40AA200A"/>
    <w:rsid w:val="40D05DC7"/>
    <w:rsid w:val="414517BC"/>
    <w:rsid w:val="414B3477"/>
    <w:rsid w:val="419A3DF2"/>
    <w:rsid w:val="41A2189A"/>
    <w:rsid w:val="41AC739C"/>
    <w:rsid w:val="41C061C4"/>
    <w:rsid w:val="41CB5A26"/>
    <w:rsid w:val="41F823AB"/>
    <w:rsid w:val="41FC1829"/>
    <w:rsid w:val="4200449D"/>
    <w:rsid w:val="423A3BCC"/>
    <w:rsid w:val="42436E99"/>
    <w:rsid w:val="42440744"/>
    <w:rsid w:val="424E57D2"/>
    <w:rsid w:val="42634626"/>
    <w:rsid w:val="42683702"/>
    <w:rsid w:val="42701998"/>
    <w:rsid w:val="42725710"/>
    <w:rsid w:val="42A76DCA"/>
    <w:rsid w:val="42B26C49"/>
    <w:rsid w:val="42BC7E98"/>
    <w:rsid w:val="42DD4FC2"/>
    <w:rsid w:val="42EF3074"/>
    <w:rsid w:val="42FE5101"/>
    <w:rsid w:val="43192D7A"/>
    <w:rsid w:val="433A6FE6"/>
    <w:rsid w:val="43480868"/>
    <w:rsid w:val="434F476D"/>
    <w:rsid w:val="4350713C"/>
    <w:rsid w:val="436653E0"/>
    <w:rsid w:val="43776D56"/>
    <w:rsid w:val="43790D20"/>
    <w:rsid w:val="43C4431A"/>
    <w:rsid w:val="43C5363E"/>
    <w:rsid w:val="43DF29D6"/>
    <w:rsid w:val="43E150D0"/>
    <w:rsid w:val="43F13A06"/>
    <w:rsid w:val="443D76C4"/>
    <w:rsid w:val="44562E10"/>
    <w:rsid w:val="44B951CC"/>
    <w:rsid w:val="44CD14E0"/>
    <w:rsid w:val="44F20B0B"/>
    <w:rsid w:val="452E5F4C"/>
    <w:rsid w:val="45612018"/>
    <w:rsid w:val="457B3A1C"/>
    <w:rsid w:val="458946E9"/>
    <w:rsid w:val="45A47C0E"/>
    <w:rsid w:val="45CC3775"/>
    <w:rsid w:val="462F49B1"/>
    <w:rsid w:val="46420921"/>
    <w:rsid w:val="46577FD6"/>
    <w:rsid w:val="46835DB4"/>
    <w:rsid w:val="468F3C95"/>
    <w:rsid w:val="46A37E04"/>
    <w:rsid w:val="46BB51AC"/>
    <w:rsid w:val="46D82E57"/>
    <w:rsid w:val="46D955A7"/>
    <w:rsid w:val="46FF778E"/>
    <w:rsid w:val="47133957"/>
    <w:rsid w:val="47950834"/>
    <w:rsid w:val="479C7AC0"/>
    <w:rsid w:val="47A07E0C"/>
    <w:rsid w:val="47A82877"/>
    <w:rsid w:val="47BA5463"/>
    <w:rsid w:val="47D429C9"/>
    <w:rsid w:val="483D0BB9"/>
    <w:rsid w:val="4870272E"/>
    <w:rsid w:val="487815A6"/>
    <w:rsid w:val="488F00C6"/>
    <w:rsid w:val="48A456EC"/>
    <w:rsid w:val="48BA396D"/>
    <w:rsid w:val="48C51160"/>
    <w:rsid w:val="48D11CBD"/>
    <w:rsid w:val="48EF1C42"/>
    <w:rsid w:val="49493543"/>
    <w:rsid w:val="49653BCB"/>
    <w:rsid w:val="49A63EF1"/>
    <w:rsid w:val="49BA69B6"/>
    <w:rsid w:val="49DB1DED"/>
    <w:rsid w:val="49DC7715"/>
    <w:rsid w:val="49F53858"/>
    <w:rsid w:val="49F639FC"/>
    <w:rsid w:val="49F7299F"/>
    <w:rsid w:val="4A023139"/>
    <w:rsid w:val="4A436112"/>
    <w:rsid w:val="4A5111CC"/>
    <w:rsid w:val="4A7B576F"/>
    <w:rsid w:val="4A904B0F"/>
    <w:rsid w:val="4A98169F"/>
    <w:rsid w:val="4AF561A9"/>
    <w:rsid w:val="4B241572"/>
    <w:rsid w:val="4B264571"/>
    <w:rsid w:val="4B614574"/>
    <w:rsid w:val="4B614AD2"/>
    <w:rsid w:val="4B645E12"/>
    <w:rsid w:val="4B736055"/>
    <w:rsid w:val="4BC36FDC"/>
    <w:rsid w:val="4BCA1F7C"/>
    <w:rsid w:val="4BD1526B"/>
    <w:rsid w:val="4C324162"/>
    <w:rsid w:val="4C4A0649"/>
    <w:rsid w:val="4C4E6E54"/>
    <w:rsid w:val="4C5E0C8F"/>
    <w:rsid w:val="4C7E5ECA"/>
    <w:rsid w:val="4C876AA5"/>
    <w:rsid w:val="4CFC1B5C"/>
    <w:rsid w:val="4D0E00FB"/>
    <w:rsid w:val="4D175F8A"/>
    <w:rsid w:val="4D176606"/>
    <w:rsid w:val="4D616471"/>
    <w:rsid w:val="4D783DF7"/>
    <w:rsid w:val="4D7D6BEE"/>
    <w:rsid w:val="4DD80E25"/>
    <w:rsid w:val="4DEB3B2A"/>
    <w:rsid w:val="4DEC4FB0"/>
    <w:rsid w:val="4E075D8A"/>
    <w:rsid w:val="4E6A0EE2"/>
    <w:rsid w:val="4E7E005C"/>
    <w:rsid w:val="4E803E01"/>
    <w:rsid w:val="4E8B3A55"/>
    <w:rsid w:val="4EC00FAD"/>
    <w:rsid w:val="4EC654D0"/>
    <w:rsid w:val="4ED35788"/>
    <w:rsid w:val="4F46050D"/>
    <w:rsid w:val="4F5166AD"/>
    <w:rsid w:val="4F583EE0"/>
    <w:rsid w:val="4F5A7C58"/>
    <w:rsid w:val="4F652159"/>
    <w:rsid w:val="4F9843DC"/>
    <w:rsid w:val="4FC62A8C"/>
    <w:rsid w:val="4FE20F0D"/>
    <w:rsid w:val="4FE51552"/>
    <w:rsid w:val="4FE6666E"/>
    <w:rsid w:val="500A4CC0"/>
    <w:rsid w:val="50150DFA"/>
    <w:rsid w:val="502348F8"/>
    <w:rsid w:val="50504C4B"/>
    <w:rsid w:val="509C6E7C"/>
    <w:rsid w:val="50C858DE"/>
    <w:rsid w:val="50EB7AFF"/>
    <w:rsid w:val="510234A7"/>
    <w:rsid w:val="5162104E"/>
    <w:rsid w:val="516E7BEC"/>
    <w:rsid w:val="51782617"/>
    <w:rsid w:val="51AE00D0"/>
    <w:rsid w:val="51CC64BF"/>
    <w:rsid w:val="51ED4DB3"/>
    <w:rsid w:val="521265C8"/>
    <w:rsid w:val="52140592"/>
    <w:rsid w:val="525677EB"/>
    <w:rsid w:val="525A4854"/>
    <w:rsid w:val="52801EF1"/>
    <w:rsid w:val="52F446A8"/>
    <w:rsid w:val="53095C83"/>
    <w:rsid w:val="534D716A"/>
    <w:rsid w:val="53803A05"/>
    <w:rsid w:val="53A039CC"/>
    <w:rsid w:val="53A1505A"/>
    <w:rsid w:val="54063E08"/>
    <w:rsid w:val="541008E5"/>
    <w:rsid w:val="543437E8"/>
    <w:rsid w:val="5436341E"/>
    <w:rsid w:val="549E44D1"/>
    <w:rsid w:val="54AA6037"/>
    <w:rsid w:val="54B77630"/>
    <w:rsid w:val="54F73313"/>
    <w:rsid w:val="54F80955"/>
    <w:rsid w:val="552A1E7A"/>
    <w:rsid w:val="555170A7"/>
    <w:rsid w:val="555B1233"/>
    <w:rsid w:val="5587536D"/>
    <w:rsid w:val="559B174B"/>
    <w:rsid w:val="55A00B58"/>
    <w:rsid w:val="55A0213D"/>
    <w:rsid w:val="55C74080"/>
    <w:rsid w:val="55CE0CF4"/>
    <w:rsid w:val="56680EAC"/>
    <w:rsid w:val="56766218"/>
    <w:rsid w:val="56B22A9C"/>
    <w:rsid w:val="56D229EE"/>
    <w:rsid w:val="571F6D7F"/>
    <w:rsid w:val="574C062F"/>
    <w:rsid w:val="57911D3D"/>
    <w:rsid w:val="579B770F"/>
    <w:rsid w:val="57B72A76"/>
    <w:rsid w:val="57C3426C"/>
    <w:rsid w:val="57CE1F93"/>
    <w:rsid w:val="58836B83"/>
    <w:rsid w:val="588743D1"/>
    <w:rsid w:val="5887701A"/>
    <w:rsid w:val="589C27CA"/>
    <w:rsid w:val="58B55EFF"/>
    <w:rsid w:val="58F809AC"/>
    <w:rsid w:val="59012CD9"/>
    <w:rsid w:val="593A630D"/>
    <w:rsid w:val="593C3F2A"/>
    <w:rsid w:val="596D4C99"/>
    <w:rsid w:val="597933D0"/>
    <w:rsid w:val="59C0439F"/>
    <w:rsid w:val="59CF1242"/>
    <w:rsid w:val="5ABE2233"/>
    <w:rsid w:val="5AC661A1"/>
    <w:rsid w:val="5ACA709B"/>
    <w:rsid w:val="5ADD2319"/>
    <w:rsid w:val="5B010DC9"/>
    <w:rsid w:val="5B150ED7"/>
    <w:rsid w:val="5B5767E8"/>
    <w:rsid w:val="5B70435F"/>
    <w:rsid w:val="5B7A1F99"/>
    <w:rsid w:val="5B7A2A00"/>
    <w:rsid w:val="5B8F0C89"/>
    <w:rsid w:val="5BDF5D95"/>
    <w:rsid w:val="5BFE7528"/>
    <w:rsid w:val="5C0F39F3"/>
    <w:rsid w:val="5C2D3061"/>
    <w:rsid w:val="5C626894"/>
    <w:rsid w:val="5CCB27AD"/>
    <w:rsid w:val="5CEE4816"/>
    <w:rsid w:val="5D41173C"/>
    <w:rsid w:val="5D532B83"/>
    <w:rsid w:val="5DA12EED"/>
    <w:rsid w:val="5DB63499"/>
    <w:rsid w:val="5DF04D4E"/>
    <w:rsid w:val="5E196F30"/>
    <w:rsid w:val="5E1A3539"/>
    <w:rsid w:val="5E234848"/>
    <w:rsid w:val="5E2467F1"/>
    <w:rsid w:val="5E2C27BF"/>
    <w:rsid w:val="5E84084D"/>
    <w:rsid w:val="5EBA2DDB"/>
    <w:rsid w:val="5ED66BCF"/>
    <w:rsid w:val="5EE20870"/>
    <w:rsid w:val="5EF17D9A"/>
    <w:rsid w:val="5F1A2B43"/>
    <w:rsid w:val="5F3D09FC"/>
    <w:rsid w:val="5F7B3972"/>
    <w:rsid w:val="5FAD62F6"/>
    <w:rsid w:val="5FB803E7"/>
    <w:rsid w:val="5FB837BB"/>
    <w:rsid w:val="604D2EC1"/>
    <w:rsid w:val="60964198"/>
    <w:rsid w:val="609D5BF6"/>
    <w:rsid w:val="60CC405A"/>
    <w:rsid w:val="60D513BE"/>
    <w:rsid w:val="60EB6E0E"/>
    <w:rsid w:val="60FA23DF"/>
    <w:rsid w:val="611D2893"/>
    <w:rsid w:val="611F1682"/>
    <w:rsid w:val="613100ED"/>
    <w:rsid w:val="61A705D9"/>
    <w:rsid w:val="61BB564B"/>
    <w:rsid w:val="61E215D8"/>
    <w:rsid w:val="621B3775"/>
    <w:rsid w:val="62364782"/>
    <w:rsid w:val="62614A02"/>
    <w:rsid w:val="62C31218"/>
    <w:rsid w:val="62D80A1D"/>
    <w:rsid w:val="63130AC4"/>
    <w:rsid w:val="63133F4E"/>
    <w:rsid w:val="631B2E02"/>
    <w:rsid w:val="63757F56"/>
    <w:rsid w:val="6394356A"/>
    <w:rsid w:val="63C61B2C"/>
    <w:rsid w:val="63CB067A"/>
    <w:rsid w:val="63D40BE9"/>
    <w:rsid w:val="63E44A84"/>
    <w:rsid w:val="63E63A4F"/>
    <w:rsid w:val="63EB5CF9"/>
    <w:rsid w:val="64102431"/>
    <w:rsid w:val="644D291F"/>
    <w:rsid w:val="646D37B6"/>
    <w:rsid w:val="64907C8E"/>
    <w:rsid w:val="64A5243A"/>
    <w:rsid w:val="64C24E1B"/>
    <w:rsid w:val="64D5528C"/>
    <w:rsid w:val="64F531DE"/>
    <w:rsid w:val="65373578"/>
    <w:rsid w:val="65750D3B"/>
    <w:rsid w:val="65D0781C"/>
    <w:rsid w:val="65D26342"/>
    <w:rsid w:val="66042121"/>
    <w:rsid w:val="66E46BDF"/>
    <w:rsid w:val="671F124A"/>
    <w:rsid w:val="67386535"/>
    <w:rsid w:val="674E0FD2"/>
    <w:rsid w:val="67515F42"/>
    <w:rsid w:val="67753429"/>
    <w:rsid w:val="677A33C6"/>
    <w:rsid w:val="68040309"/>
    <w:rsid w:val="681A5D7E"/>
    <w:rsid w:val="681D13CB"/>
    <w:rsid w:val="681F6961"/>
    <w:rsid w:val="68373209"/>
    <w:rsid w:val="68610A2F"/>
    <w:rsid w:val="68771D91"/>
    <w:rsid w:val="68805514"/>
    <w:rsid w:val="688B27D8"/>
    <w:rsid w:val="68C736F8"/>
    <w:rsid w:val="68DB72BC"/>
    <w:rsid w:val="68FD4D2A"/>
    <w:rsid w:val="690F51B7"/>
    <w:rsid w:val="692E26CD"/>
    <w:rsid w:val="69316E2F"/>
    <w:rsid w:val="694E2071"/>
    <w:rsid w:val="695426CA"/>
    <w:rsid w:val="69627926"/>
    <w:rsid w:val="69766163"/>
    <w:rsid w:val="697A3B33"/>
    <w:rsid w:val="69D44760"/>
    <w:rsid w:val="6A520EC7"/>
    <w:rsid w:val="6A5470FB"/>
    <w:rsid w:val="6A923BF5"/>
    <w:rsid w:val="6A995FD8"/>
    <w:rsid w:val="6AD37D33"/>
    <w:rsid w:val="6AF87E20"/>
    <w:rsid w:val="6B2516BA"/>
    <w:rsid w:val="6B322639"/>
    <w:rsid w:val="6B7D6F7B"/>
    <w:rsid w:val="6BB12556"/>
    <w:rsid w:val="6C0134DD"/>
    <w:rsid w:val="6C5E45D5"/>
    <w:rsid w:val="6C636C38"/>
    <w:rsid w:val="6C991968"/>
    <w:rsid w:val="6CC80D05"/>
    <w:rsid w:val="6CC964EB"/>
    <w:rsid w:val="6D003795"/>
    <w:rsid w:val="6D3F3B91"/>
    <w:rsid w:val="6D6F091A"/>
    <w:rsid w:val="6DB34098"/>
    <w:rsid w:val="6DB545B6"/>
    <w:rsid w:val="6DC15D22"/>
    <w:rsid w:val="6DE02FB4"/>
    <w:rsid w:val="6DF32430"/>
    <w:rsid w:val="6DF505A2"/>
    <w:rsid w:val="6DFF66DD"/>
    <w:rsid w:val="6E255C8E"/>
    <w:rsid w:val="6E261FE6"/>
    <w:rsid w:val="6E514CED"/>
    <w:rsid w:val="6E652526"/>
    <w:rsid w:val="6E881C94"/>
    <w:rsid w:val="6EB563D5"/>
    <w:rsid w:val="6ED76777"/>
    <w:rsid w:val="6ED92677"/>
    <w:rsid w:val="6EE222F2"/>
    <w:rsid w:val="6F225983"/>
    <w:rsid w:val="6F7C2F7F"/>
    <w:rsid w:val="6FB97C2B"/>
    <w:rsid w:val="6FCF744E"/>
    <w:rsid w:val="6FFC5590"/>
    <w:rsid w:val="70084BE8"/>
    <w:rsid w:val="701A7EF7"/>
    <w:rsid w:val="702F4391"/>
    <w:rsid w:val="703012F9"/>
    <w:rsid w:val="705309A3"/>
    <w:rsid w:val="705F019F"/>
    <w:rsid w:val="705F3D12"/>
    <w:rsid w:val="706D1DD0"/>
    <w:rsid w:val="707831E0"/>
    <w:rsid w:val="70856B87"/>
    <w:rsid w:val="708B53EB"/>
    <w:rsid w:val="70A66401"/>
    <w:rsid w:val="70D527EE"/>
    <w:rsid w:val="715B5300"/>
    <w:rsid w:val="71623D54"/>
    <w:rsid w:val="719E58AB"/>
    <w:rsid w:val="71D27F8A"/>
    <w:rsid w:val="72485159"/>
    <w:rsid w:val="72553024"/>
    <w:rsid w:val="72964253"/>
    <w:rsid w:val="72C2329A"/>
    <w:rsid w:val="730104CF"/>
    <w:rsid w:val="73122968"/>
    <w:rsid w:val="731735E6"/>
    <w:rsid w:val="731F5D5E"/>
    <w:rsid w:val="73306456"/>
    <w:rsid w:val="73946A9B"/>
    <w:rsid w:val="73BE7F06"/>
    <w:rsid w:val="73C51AD5"/>
    <w:rsid w:val="741E793C"/>
    <w:rsid w:val="74277859"/>
    <w:rsid w:val="742D6E39"/>
    <w:rsid w:val="74324450"/>
    <w:rsid w:val="745E3944"/>
    <w:rsid w:val="748C0C36"/>
    <w:rsid w:val="74E53270"/>
    <w:rsid w:val="74ED5798"/>
    <w:rsid w:val="751108E9"/>
    <w:rsid w:val="75387B43"/>
    <w:rsid w:val="753B617D"/>
    <w:rsid w:val="75422471"/>
    <w:rsid w:val="75427C9E"/>
    <w:rsid w:val="755C190B"/>
    <w:rsid w:val="755E016A"/>
    <w:rsid w:val="75634271"/>
    <w:rsid w:val="756A34D5"/>
    <w:rsid w:val="75774077"/>
    <w:rsid w:val="75D92B73"/>
    <w:rsid w:val="75F220E9"/>
    <w:rsid w:val="761C3675"/>
    <w:rsid w:val="762B1157"/>
    <w:rsid w:val="7635099D"/>
    <w:rsid w:val="7662726E"/>
    <w:rsid w:val="76A827A7"/>
    <w:rsid w:val="76FF4ABD"/>
    <w:rsid w:val="77073E11"/>
    <w:rsid w:val="771C1E27"/>
    <w:rsid w:val="775B3E7F"/>
    <w:rsid w:val="77762421"/>
    <w:rsid w:val="7778770E"/>
    <w:rsid w:val="77952179"/>
    <w:rsid w:val="77B04009"/>
    <w:rsid w:val="77B56B1F"/>
    <w:rsid w:val="77D00208"/>
    <w:rsid w:val="780F09F4"/>
    <w:rsid w:val="788534BD"/>
    <w:rsid w:val="789B1AF3"/>
    <w:rsid w:val="78A90480"/>
    <w:rsid w:val="78B741F3"/>
    <w:rsid w:val="79200D1B"/>
    <w:rsid w:val="793B1DCD"/>
    <w:rsid w:val="79600A9C"/>
    <w:rsid w:val="79912F32"/>
    <w:rsid w:val="79CB60E3"/>
    <w:rsid w:val="7A0A5C53"/>
    <w:rsid w:val="7A2039F2"/>
    <w:rsid w:val="7A364017"/>
    <w:rsid w:val="7A392094"/>
    <w:rsid w:val="7A8265E1"/>
    <w:rsid w:val="7A831561"/>
    <w:rsid w:val="7AA0795A"/>
    <w:rsid w:val="7AA37E55"/>
    <w:rsid w:val="7AFF156B"/>
    <w:rsid w:val="7B2E7324"/>
    <w:rsid w:val="7B686D42"/>
    <w:rsid w:val="7B713A12"/>
    <w:rsid w:val="7B841746"/>
    <w:rsid w:val="7BB25107"/>
    <w:rsid w:val="7BB76594"/>
    <w:rsid w:val="7C077F47"/>
    <w:rsid w:val="7C1903CF"/>
    <w:rsid w:val="7C3A0345"/>
    <w:rsid w:val="7C6C5AC7"/>
    <w:rsid w:val="7C987887"/>
    <w:rsid w:val="7CC63144"/>
    <w:rsid w:val="7CC6544B"/>
    <w:rsid w:val="7CD65E64"/>
    <w:rsid w:val="7CF077E0"/>
    <w:rsid w:val="7D0239FF"/>
    <w:rsid w:val="7D534DD0"/>
    <w:rsid w:val="7D5E40CD"/>
    <w:rsid w:val="7DCD56F2"/>
    <w:rsid w:val="7DDA593C"/>
    <w:rsid w:val="7DE71E07"/>
    <w:rsid w:val="7DF37669"/>
    <w:rsid w:val="7E0D5D12"/>
    <w:rsid w:val="7E313C18"/>
    <w:rsid w:val="7E8B4E88"/>
    <w:rsid w:val="7EC915BE"/>
    <w:rsid w:val="7F001CE7"/>
    <w:rsid w:val="7F5759FB"/>
    <w:rsid w:val="7FA72A65"/>
    <w:rsid w:val="7FA814F7"/>
    <w:rsid w:val="7FE467BE"/>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10">
    <w:name w:val="heading 4"/>
    <w:basedOn w:val="1"/>
    <w:next w:val="1"/>
    <w:autoRedefine/>
    <w:qFormat/>
    <w:locked/>
    <w:uiPriority w:val="0"/>
    <w:pPr>
      <w:keepNext/>
      <w:spacing w:line="520" w:lineRule="exact"/>
      <w:ind w:right="102"/>
      <w:jc w:val="center"/>
      <w:outlineLvl w:val="3"/>
    </w:pPr>
    <w:rPr>
      <w:rFonts w:eastAsia="仿宋_GB2312"/>
      <w:color w:val="FF0000"/>
      <w:sz w:val="28"/>
      <w:szCs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next w:val="6"/>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标题 段落4级"/>
    <w:basedOn w:val="4"/>
    <w:next w:val="5"/>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4">
    <w:name w:val="正文 文本"/>
    <w:autoRedefine/>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paragraph" w:styleId="5">
    <w:name w:val="annotation text"/>
    <w:basedOn w:val="1"/>
    <w:link w:val="29"/>
    <w:autoRedefine/>
    <w:semiHidden/>
    <w:qFormat/>
    <w:uiPriority w:val="0"/>
    <w:pPr>
      <w:jc w:val="left"/>
    </w:pPr>
    <w:rPr>
      <w:kern w:val="0"/>
      <w:sz w:val="24"/>
      <w:szCs w:val="20"/>
    </w:rPr>
  </w:style>
  <w:style w:type="paragraph" w:styleId="6">
    <w:name w:val="Body Text First Indent 2"/>
    <w:basedOn w:val="7"/>
    <w:next w:val="2"/>
    <w:autoRedefine/>
    <w:qFormat/>
    <w:locked/>
    <w:uiPriority w:val="0"/>
    <w:pPr>
      <w:ind w:firstLine="420" w:firstLineChars="200"/>
    </w:pPr>
  </w:style>
  <w:style w:type="paragraph" w:styleId="7">
    <w:name w:val="Body Text Indent"/>
    <w:basedOn w:val="1"/>
    <w:next w:val="8"/>
    <w:link w:val="32"/>
    <w:autoRedefine/>
    <w:qFormat/>
    <w:uiPriority w:val="0"/>
    <w:pPr>
      <w:spacing w:after="120"/>
      <w:ind w:left="420" w:leftChars="200"/>
    </w:pPr>
    <w:rPr>
      <w:kern w:val="0"/>
      <w:sz w:val="24"/>
      <w:szCs w:val="20"/>
    </w:rPr>
  </w:style>
  <w:style w:type="paragraph" w:styleId="8">
    <w:name w:val="Normal Indent"/>
    <w:basedOn w:val="1"/>
    <w:next w:val="1"/>
    <w:autoRedefine/>
    <w:qFormat/>
    <w:locked/>
    <w:uiPriority w:val="0"/>
    <w:pPr>
      <w:ind w:firstLine="420" w:firstLineChars="200"/>
    </w:pPr>
    <w:rPr>
      <w:szCs w:val="20"/>
    </w:rPr>
  </w:style>
  <w:style w:type="paragraph" w:styleId="11">
    <w:name w:val="caption"/>
    <w:basedOn w:val="1"/>
    <w:next w:val="1"/>
    <w:autoRedefine/>
    <w:qFormat/>
    <w:locked/>
    <w:uiPriority w:val="0"/>
    <w:rPr>
      <w:rFonts w:ascii="Arial" w:hAnsi="Arial" w:eastAsia="黑体" w:cs="Arial"/>
      <w:sz w:val="20"/>
      <w:szCs w:val="20"/>
    </w:rPr>
  </w:style>
  <w:style w:type="paragraph" w:styleId="12">
    <w:name w:val="Body Text"/>
    <w:basedOn w:val="1"/>
    <w:next w:val="13"/>
    <w:link w:val="33"/>
    <w:autoRedefine/>
    <w:qFormat/>
    <w:uiPriority w:val="0"/>
    <w:pPr>
      <w:widowControl/>
      <w:snapToGrid w:val="0"/>
      <w:spacing w:before="60" w:after="160" w:line="259" w:lineRule="auto"/>
      <w:ind w:right="113"/>
    </w:pPr>
    <w:rPr>
      <w:kern w:val="0"/>
      <w:sz w:val="18"/>
      <w:szCs w:val="20"/>
    </w:rPr>
  </w:style>
  <w:style w:type="paragraph" w:styleId="13">
    <w:name w:val="List Bullet 5"/>
    <w:basedOn w:val="1"/>
    <w:autoRedefine/>
    <w:qFormat/>
    <w:locked/>
    <w:uiPriority w:val="0"/>
    <w:pPr>
      <w:numPr>
        <w:ilvl w:val="0"/>
        <w:numId w:val="1"/>
      </w:numPr>
    </w:pPr>
  </w:style>
  <w:style w:type="paragraph" w:styleId="14">
    <w:name w:val="Block Text"/>
    <w:basedOn w:val="1"/>
    <w:autoRedefine/>
    <w:qFormat/>
    <w:locked/>
    <w:uiPriority w:val="0"/>
    <w:pPr>
      <w:widowControl/>
      <w:spacing w:after="120"/>
      <w:ind w:left="1440" w:leftChars="700" w:right="1440" w:rightChars="700"/>
      <w:jc w:val="left"/>
    </w:pPr>
    <w:rPr>
      <w:rFonts w:ascii="宋体" w:hAnsi="宋体" w:cs="宋体"/>
      <w:kern w:val="0"/>
      <w:sz w:val="24"/>
    </w:rPr>
  </w:style>
  <w:style w:type="paragraph" w:styleId="15">
    <w:name w:val="Plain Text"/>
    <w:basedOn w:val="1"/>
    <w:autoRedefine/>
    <w:qFormat/>
    <w:locked/>
    <w:uiPriority w:val="0"/>
    <w:rPr>
      <w:rFonts w:ascii="宋体" w:hAnsi="Courier New" w:cs="Courier New"/>
      <w:sz w:val="21"/>
      <w:szCs w:val="21"/>
    </w:rPr>
  </w:style>
  <w:style w:type="paragraph" w:styleId="16">
    <w:name w:val="Date"/>
    <w:basedOn w:val="1"/>
    <w:next w:val="1"/>
    <w:link w:val="34"/>
    <w:autoRedefine/>
    <w:qFormat/>
    <w:uiPriority w:val="0"/>
    <w:pPr>
      <w:ind w:left="100" w:leftChars="2500"/>
    </w:pPr>
    <w:rPr>
      <w:kern w:val="0"/>
      <w:sz w:val="24"/>
      <w:szCs w:val="20"/>
    </w:rPr>
  </w:style>
  <w:style w:type="paragraph" w:styleId="17">
    <w:name w:val="Balloon Text"/>
    <w:basedOn w:val="1"/>
    <w:link w:val="35"/>
    <w:autoRedefine/>
    <w:semiHidden/>
    <w:qFormat/>
    <w:uiPriority w:val="0"/>
    <w:rPr>
      <w:kern w:val="0"/>
      <w:sz w:val="18"/>
      <w:szCs w:val="20"/>
    </w:rPr>
  </w:style>
  <w:style w:type="paragraph" w:styleId="18">
    <w:name w:val="footer"/>
    <w:basedOn w:val="1"/>
    <w:link w:val="36"/>
    <w:autoRedefine/>
    <w:qFormat/>
    <w:uiPriority w:val="99"/>
    <w:pPr>
      <w:tabs>
        <w:tab w:val="center" w:pos="4153"/>
        <w:tab w:val="right" w:pos="8306"/>
      </w:tabs>
      <w:snapToGrid w:val="0"/>
      <w:jc w:val="left"/>
    </w:pPr>
    <w:rPr>
      <w:kern w:val="0"/>
      <w:sz w:val="18"/>
      <w:szCs w:val="20"/>
    </w:rPr>
  </w:style>
  <w:style w:type="paragraph" w:styleId="19">
    <w:name w:val="header"/>
    <w:basedOn w:val="1"/>
    <w:link w:val="37"/>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Normal (Web)"/>
    <w:basedOn w:val="1"/>
    <w:link w:val="38"/>
    <w:autoRedefine/>
    <w:qFormat/>
    <w:uiPriority w:val="0"/>
    <w:pPr>
      <w:widowControl/>
      <w:spacing w:before="100" w:beforeAutospacing="1" w:after="100" w:afterAutospacing="1"/>
      <w:jc w:val="left"/>
    </w:pPr>
    <w:rPr>
      <w:rFonts w:ascii="宋体" w:hAnsi="宋体"/>
      <w:kern w:val="0"/>
      <w:sz w:val="24"/>
      <w:szCs w:val="20"/>
    </w:rPr>
  </w:style>
  <w:style w:type="paragraph" w:styleId="21">
    <w:name w:val="annotation subject"/>
    <w:basedOn w:val="5"/>
    <w:next w:val="5"/>
    <w:link w:val="39"/>
    <w:autoRedefine/>
    <w:semiHidden/>
    <w:qFormat/>
    <w:uiPriority w:val="0"/>
    <w:rPr>
      <w:b/>
      <w:sz w:val="24"/>
      <w:szCs w:val="20"/>
    </w:rPr>
  </w:style>
  <w:style w:type="table" w:styleId="23">
    <w:name w:val="Table Grid"/>
    <w:basedOn w:val="22"/>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locked/>
    <w:uiPriority w:val="0"/>
  </w:style>
  <w:style w:type="character" w:styleId="26">
    <w:name w:val="FollowedHyperlink"/>
    <w:basedOn w:val="24"/>
    <w:autoRedefine/>
    <w:qFormat/>
    <w:locked/>
    <w:uiPriority w:val="0"/>
    <w:rPr>
      <w:color w:val="800080"/>
      <w:u w:val="single"/>
    </w:rPr>
  </w:style>
  <w:style w:type="character" w:styleId="27">
    <w:name w:val="Hyperlink"/>
    <w:basedOn w:val="24"/>
    <w:autoRedefine/>
    <w:qFormat/>
    <w:locked/>
    <w:uiPriority w:val="0"/>
    <w:rPr>
      <w:color w:val="0000FF"/>
      <w:u w:val="single"/>
    </w:rPr>
  </w:style>
  <w:style w:type="character" w:styleId="28">
    <w:name w:val="annotation reference"/>
    <w:autoRedefine/>
    <w:semiHidden/>
    <w:qFormat/>
    <w:uiPriority w:val="0"/>
    <w:rPr>
      <w:sz w:val="21"/>
    </w:rPr>
  </w:style>
  <w:style w:type="character" w:customStyle="1" w:styleId="29">
    <w:name w:val="批注文字 Char"/>
    <w:link w:val="5"/>
    <w:autoRedefine/>
    <w:qFormat/>
    <w:locked/>
    <w:uiPriority w:val="0"/>
    <w:rPr>
      <w:rFonts w:ascii="Times New Roman" w:hAnsi="Times New Roman" w:eastAsia="宋体"/>
      <w:sz w:val="24"/>
    </w:rPr>
  </w:style>
  <w:style w:type="paragraph" w:customStyle="1" w:styleId="30">
    <w:name w:val="表格"/>
    <w:basedOn w:val="1"/>
    <w:link w:val="31"/>
    <w:autoRedefine/>
    <w:qFormat/>
    <w:uiPriority w:val="0"/>
    <w:pPr>
      <w:adjustRightInd w:val="0"/>
      <w:snapToGrid w:val="0"/>
      <w:spacing w:beforeLines="10" w:afterLines="10" w:line="259" w:lineRule="auto"/>
      <w:jc w:val="center"/>
    </w:pPr>
    <w:rPr>
      <w:rFonts w:ascii="宋体"/>
      <w:kern w:val="0"/>
      <w:szCs w:val="20"/>
    </w:rPr>
  </w:style>
  <w:style w:type="character" w:customStyle="1" w:styleId="31">
    <w:name w:val="表格 Char"/>
    <w:link w:val="30"/>
    <w:autoRedefine/>
    <w:qFormat/>
    <w:locked/>
    <w:uiPriority w:val="0"/>
    <w:rPr>
      <w:rFonts w:ascii="宋体"/>
      <w:sz w:val="21"/>
    </w:rPr>
  </w:style>
  <w:style w:type="character" w:customStyle="1" w:styleId="32">
    <w:name w:val="正文文本缩进 Char"/>
    <w:link w:val="7"/>
    <w:autoRedefine/>
    <w:semiHidden/>
    <w:qFormat/>
    <w:locked/>
    <w:uiPriority w:val="0"/>
    <w:rPr>
      <w:rFonts w:ascii="Times New Roman" w:hAnsi="Times New Roman" w:eastAsia="宋体"/>
      <w:sz w:val="24"/>
    </w:rPr>
  </w:style>
  <w:style w:type="character" w:customStyle="1" w:styleId="33">
    <w:name w:val="正文文本 Char"/>
    <w:link w:val="12"/>
    <w:autoRedefine/>
    <w:qFormat/>
    <w:locked/>
    <w:uiPriority w:val="0"/>
    <w:rPr>
      <w:sz w:val="18"/>
    </w:rPr>
  </w:style>
  <w:style w:type="character" w:customStyle="1" w:styleId="34">
    <w:name w:val="日期 Char"/>
    <w:link w:val="16"/>
    <w:autoRedefine/>
    <w:qFormat/>
    <w:locked/>
    <w:uiPriority w:val="0"/>
    <w:rPr>
      <w:rFonts w:ascii="Times New Roman" w:hAnsi="Times New Roman" w:eastAsia="宋体"/>
      <w:sz w:val="24"/>
    </w:rPr>
  </w:style>
  <w:style w:type="character" w:customStyle="1" w:styleId="35">
    <w:name w:val="批注框文本 Char"/>
    <w:link w:val="17"/>
    <w:autoRedefine/>
    <w:semiHidden/>
    <w:qFormat/>
    <w:locked/>
    <w:uiPriority w:val="0"/>
    <w:rPr>
      <w:rFonts w:ascii="Times New Roman" w:hAnsi="Times New Roman" w:eastAsia="宋体"/>
      <w:sz w:val="18"/>
    </w:rPr>
  </w:style>
  <w:style w:type="character" w:customStyle="1" w:styleId="36">
    <w:name w:val="页脚 Char"/>
    <w:link w:val="18"/>
    <w:autoRedefine/>
    <w:qFormat/>
    <w:locked/>
    <w:uiPriority w:val="99"/>
    <w:rPr>
      <w:sz w:val="18"/>
    </w:rPr>
  </w:style>
  <w:style w:type="character" w:customStyle="1" w:styleId="37">
    <w:name w:val="页眉 Char"/>
    <w:link w:val="19"/>
    <w:autoRedefine/>
    <w:qFormat/>
    <w:locked/>
    <w:uiPriority w:val="0"/>
    <w:rPr>
      <w:sz w:val="18"/>
    </w:rPr>
  </w:style>
  <w:style w:type="character" w:customStyle="1" w:styleId="38">
    <w:name w:val="普通(网站) Char"/>
    <w:link w:val="20"/>
    <w:autoRedefine/>
    <w:qFormat/>
    <w:locked/>
    <w:uiPriority w:val="0"/>
    <w:rPr>
      <w:rFonts w:ascii="宋体" w:hAnsi="宋体" w:eastAsia="宋体"/>
      <w:sz w:val="24"/>
    </w:rPr>
  </w:style>
  <w:style w:type="character" w:customStyle="1" w:styleId="39">
    <w:name w:val="批注主题 Char"/>
    <w:link w:val="21"/>
    <w:autoRedefine/>
    <w:semiHidden/>
    <w:qFormat/>
    <w:locked/>
    <w:uiPriority w:val="0"/>
    <w:rPr>
      <w:rFonts w:ascii="Times New Roman" w:hAnsi="Times New Roman" w:eastAsia="宋体"/>
      <w:b/>
      <w:kern w:val="2"/>
      <w:sz w:val="24"/>
    </w:rPr>
  </w:style>
  <w:style w:type="paragraph" w:customStyle="1" w:styleId="40">
    <w:name w:val="纯文本1"/>
    <w:basedOn w:val="1"/>
    <w:autoRedefine/>
    <w:qFormat/>
    <w:uiPriority w:val="0"/>
    <w:pPr>
      <w:adjustRightInd w:val="0"/>
    </w:pPr>
    <w:rPr>
      <w:rFonts w:ascii="宋体" w:hAnsi="Courier New"/>
      <w:szCs w:val="20"/>
    </w:rPr>
  </w:style>
  <w:style w:type="character" w:customStyle="1" w:styleId="41">
    <w:name w:val="页脚 字符"/>
    <w:basedOn w:val="24"/>
    <w:autoRedefine/>
    <w:qFormat/>
    <w:uiPriority w:val="99"/>
  </w:style>
  <w:style w:type="character" w:customStyle="1" w:styleId="42">
    <w:name w:val="正文文本 字符1"/>
    <w:autoRedefine/>
    <w:semiHidden/>
    <w:qFormat/>
    <w:uiPriority w:val="0"/>
    <w:rPr>
      <w:rFonts w:ascii="Times New Roman" w:hAnsi="Times New Roman" w:eastAsia="宋体"/>
      <w:sz w:val="24"/>
    </w:rPr>
  </w:style>
  <w:style w:type="character" w:customStyle="1" w:styleId="43">
    <w:name w:val="日期 字符"/>
    <w:autoRedefine/>
    <w:semiHidden/>
    <w:qFormat/>
    <w:uiPriority w:val="0"/>
    <w:rPr>
      <w:rFonts w:ascii="Times New Roman" w:hAnsi="Times New Roman" w:eastAsia="宋体"/>
      <w:sz w:val="24"/>
    </w:rPr>
  </w:style>
  <w:style w:type="character" w:customStyle="1" w:styleId="44">
    <w:name w:val="批注文字 字符1"/>
    <w:autoRedefine/>
    <w:semiHidden/>
    <w:qFormat/>
    <w:uiPriority w:val="0"/>
    <w:rPr>
      <w:rFonts w:ascii="Times New Roman" w:hAnsi="Times New Roman" w:eastAsia="宋体"/>
      <w:sz w:val="24"/>
    </w:rPr>
  </w:style>
  <w:style w:type="paragraph" w:customStyle="1" w:styleId="45">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47">
    <w:name w:val="表格文字2"/>
    <w:basedOn w:val="1"/>
    <w:autoRedefine/>
    <w:qFormat/>
    <w:uiPriority w:val="0"/>
    <w:pPr>
      <w:tabs>
        <w:tab w:val="left" w:pos="277"/>
        <w:tab w:val="left" w:pos="600"/>
        <w:tab w:val="left" w:pos="780"/>
        <w:tab w:val="left" w:pos="2517"/>
      </w:tabs>
      <w:adjustRightInd w:val="0"/>
      <w:snapToGrid w:val="0"/>
      <w:jc w:val="center"/>
      <w:textAlignment w:val="baseline"/>
    </w:pPr>
    <w:rPr>
      <w:kern w:val="0"/>
      <w:szCs w:val="21"/>
    </w:rPr>
  </w:style>
  <w:style w:type="paragraph" w:customStyle="1" w:styleId="48">
    <w:name w:val="报告表正文"/>
    <w:basedOn w:val="1"/>
    <w:autoRedefine/>
    <w:qFormat/>
    <w:uiPriority w:val="0"/>
    <w:pPr>
      <w:adjustRightInd w:val="0"/>
      <w:spacing w:line="312" w:lineRule="auto"/>
      <w:ind w:left="113" w:right="113" w:firstLine="482"/>
      <w:jc w:val="left"/>
      <w:textAlignment w:val="baseline"/>
    </w:pPr>
    <w:rPr>
      <w:kern w:val="0"/>
      <w:sz w:val="24"/>
      <w:szCs w:val="20"/>
    </w:rPr>
  </w:style>
  <w:style w:type="paragraph" w:customStyle="1" w:styleId="49">
    <w:name w:val="填表内容"/>
    <w:basedOn w:val="1"/>
    <w:autoRedefine/>
    <w:qFormat/>
    <w:uiPriority w:val="0"/>
    <w:pPr>
      <w:adjustRightInd w:val="0"/>
      <w:spacing w:line="480" w:lineRule="exact"/>
      <w:ind w:firstLine="560" w:firstLineChars="200"/>
      <w:jc w:val="left"/>
      <w:textAlignment w:val="baseline"/>
    </w:pPr>
    <w:rPr>
      <w:rFonts w:ascii="楷体_GB2312" w:eastAsia="楷体_GB2312"/>
      <w:sz w:val="28"/>
      <w:szCs w:val="20"/>
    </w:rPr>
  </w:style>
  <w:style w:type="paragraph" w:customStyle="1" w:styleId="50">
    <w:name w:val="0表格格式"/>
    <w:basedOn w:val="1"/>
    <w:autoRedefine/>
    <w:qFormat/>
    <w:uiPriority w:val="0"/>
    <w:pPr>
      <w:widowControl/>
      <w:jc w:val="center"/>
    </w:pPr>
    <w:rPr>
      <w:rFonts w:ascii="宋体" w:hAnsi="宋体" w:cs="宋体"/>
      <w:kern w:val="0"/>
      <w:szCs w:val="21"/>
    </w:rPr>
  </w:style>
  <w:style w:type="paragraph" w:customStyle="1" w:styleId="51">
    <w:name w:val="表头"/>
    <w:basedOn w:val="1"/>
    <w:autoRedefine/>
    <w:qFormat/>
    <w:uiPriority w:val="0"/>
    <w:pPr>
      <w:widowControl/>
      <w:spacing w:beforeAutospacing="0" w:afterAutospacing="0" w:line="240" w:lineRule="auto"/>
      <w:ind w:firstLine="0" w:firstLineChars="0"/>
      <w:jc w:val="center"/>
      <w:outlineLvl w:val="0"/>
    </w:pPr>
    <w:rPr>
      <w:rFonts w:hint="default" w:ascii="Times New Roman" w:hAnsi="Times New Roman" w:eastAsia="宋体"/>
      <w:b/>
      <w:bCs/>
      <w:snapToGrid w:val="0"/>
      <w:color w:val="auto"/>
      <w:kern w:val="0"/>
      <w:sz w:val="21"/>
      <w:szCs w:val="21"/>
    </w:rPr>
  </w:style>
  <w:style w:type="paragraph" w:customStyle="1" w:styleId="52">
    <w:name w:val="A表头"/>
    <w:basedOn w:val="53"/>
    <w:qFormat/>
    <w:uiPriority w:val="0"/>
    <w:pPr>
      <w:ind w:firstLine="0" w:firstLineChars="0"/>
      <w:jc w:val="center"/>
      <w:outlineLvl w:val="2"/>
    </w:pPr>
    <w:rPr>
      <w:rFonts w:hAnsi="宋体"/>
      <w:b/>
      <w:bCs/>
      <w:spacing w:val="-1"/>
      <w:lang w:val="zh-CN" w:bidi="zh-CN"/>
    </w:rPr>
  </w:style>
  <w:style w:type="paragraph" w:customStyle="1" w:styleId="53">
    <w:name w:val="A正文"/>
    <w:basedOn w:val="1"/>
    <w:qFormat/>
    <w:uiPriority w:val="0"/>
    <w:pPr>
      <w:adjustRightInd w:val="0"/>
      <w:snapToGrid w:val="0"/>
      <w:spacing w:line="288" w:lineRule="auto"/>
      <w:ind w:firstLine="420" w:firstLineChars="200"/>
    </w:pPr>
    <w:rPr>
      <w:rFonts w:eastAsia="仿宋"/>
      <w:snapToGrid w:val="0"/>
      <w:kern w:val="0"/>
      <w:szCs w:val="21"/>
    </w:rPr>
  </w:style>
  <w:style w:type="paragraph" w:customStyle="1" w:styleId="54">
    <w:name w:val="Table Paragraph"/>
    <w:basedOn w:val="1"/>
    <w:qFormat/>
    <w:uiPriority w:val="0"/>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footer" Target="footer2.xml"/><Relationship Id="rId39" Type="http://schemas.openxmlformats.org/officeDocument/2006/relationships/image" Target="media/image17.wmf"/><Relationship Id="rId38" Type="http://schemas.openxmlformats.org/officeDocument/2006/relationships/oleObject" Target="embeddings/oleObject16.bin"/><Relationship Id="rId37" Type="http://schemas.openxmlformats.org/officeDocument/2006/relationships/image" Target="media/image16.wmf"/><Relationship Id="rId36" Type="http://schemas.openxmlformats.org/officeDocument/2006/relationships/oleObject" Target="embeddings/oleObject15.bin"/><Relationship Id="rId35" Type="http://schemas.openxmlformats.org/officeDocument/2006/relationships/image" Target="media/image15.wmf"/><Relationship Id="rId34" Type="http://schemas.openxmlformats.org/officeDocument/2006/relationships/oleObject" Target="embeddings/oleObject14.bin"/><Relationship Id="rId33" Type="http://schemas.openxmlformats.org/officeDocument/2006/relationships/image" Target="media/image14.wmf"/><Relationship Id="rId32" Type="http://schemas.openxmlformats.org/officeDocument/2006/relationships/oleObject" Target="embeddings/oleObject13.bin"/><Relationship Id="rId31" Type="http://schemas.openxmlformats.org/officeDocument/2006/relationships/image" Target="media/image13.wmf"/><Relationship Id="rId30" Type="http://schemas.openxmlformats.org/officeDocument/2006/relationships/oleObject" Target="embeddings/oleObject12.bin"/><Relationship Id="rId3" Type="http://schemas.openxmlformats.org/officeDocument/2006/relationships/footer" Target="footer1.xml"/><Relationship Id="rId29" Type="http://schemas.openxmlformats.org/officeDocument/2006/relationships/image" Target="media/image12.wmf"/><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png"/><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cmpd="sng">
          <a:solidFill>
            <a:schemeClr val="tx1"/>
          </a:solidFill>
          <a:prstDash val="solid"/>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2610"/>
    <customShpInfo spid="_x0000_s2618"/>
    <customShpInfo spid="_x0000_s2612"/>
    <customShpInfo spid="_x0000_s2613"/>
    <customShpInfo spid="_x0000_s2617"/>
    <customShpInfo spid="_x0000_s2615"/>
    <customShpInfo spid="_x0000_s25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95</Pages>
  <Words>21032</Words>
  <Characters>22906</Characters>
  <Lines>324</Lines>
  <Paragraphs>91</Paragraphs>
  <TotalTime>16</TotalTime>
  <ScaleCrop>false</ScaleCrop>
  <LinksUpToDate>false</LinksUpToDate>
  <CharactersWithSpaces>22948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loser</dc:creator>
  <cp:lastModifiedBy>a moon</cp:lastModifiedBy>
  <cp:lastPrinted>2020-12-29T02:43:00Z</cp:lastPrinted>
  <dcterms:modified xsi:type="dcterms:W3CDTF">2025-03-03T01:06:07Z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3E06816F835C4C2B92F7F877B8B02933_13</vt:lpwstr>
  </property>
  <property fmtid="{D5CDD505-2E9C-101B-9397-08002B2CF9AE}" pid="4" name="KSOTemplateDocerSaveRecord">
    <vt:lpwstr>eyJoZGlkIjoiOWIwOTc1N2ZjYTgzNTU1ZjhhMzEzZTEwYjExMzIyNmIiLCJ1c2VySWQiOiIyNjEyMzM3ODAifQ==</vt:lpwstr>
  </property>
</Properties>
</file>